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December 3, 2013</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ClearOne,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80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4"/>
              </w:rPr>
              <w:t>Utah</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0"/>
              </w:rPr>
              <w:t>001-33660</w:t>
            </w:r>
          </w:p>
        </w:tc>
        <w:tc>
          <w:tcPr>
            <w:tcW w:w="280" w:type="dxa"/>
            <w:vAlign w:val="bottom"/>
          </w:tcPr>
          <w:p>
            <w:pPr>
              <w:spacing w:after="0"/>
              <w:rPr>
                <w:sz w:val="20"/>
                <w:szCs w:val="20"/>
                <w:color w:val="auto"/>
              </w:rPr>
            </w:pPr>
          </w:p>
        </w:tc>
        <w:tc>
          <w:tcPr>
            <w:tcW w:w="20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87-0398877</w:t>
            </w:r>
          </w:p>
        </w:tc>
        <w:tc>
          <w:tcPr>
            <w:tcW w:w="640" w:type="dxa"/>
            <w:vAlign w:val="bottom"/>
          </w:tcPr>
          <w:p>
            <w:pPr>
              <w:spacing w:after="0"/>
              <w:rPr>
                <w:sz w:val="20"/>
                <w:szCs w:val="20"/>
                <w:color w:val="auto"/>
              </w:rPr>
            </w:pPr>
          </w:p>
        </w:tc>
      </w:tr>
      <w:tr>
        <w:trPr>
          <w:trHeight w:val="27"/>
        </w:trPr>
        <w:tc>
          <w:tcPr>
            <w:tcW w:w="6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2"/>
        </w:trPr>
        <w:tc>
          <w:tcPr>
            <w:tcW w:w="346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(State or Other Jurisdiction</w:t>
            </w:r>
          </w:p>
        </w:tc>
        <w:tc>
          <w:tcPr>
            <w:tcW w:w="34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(Commission</w:t>
            </w:r>
          </w:p>
        </w:tc>
        <w:tc>
          <w:tcPr>
            <w:tcW w:w="2660" w:type="dxa"/>
            <w:vAlign w:val="bottom"/>
            <w:gridSpan w:val="4"/>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660" w:type="dxa"/>
            <w:vAlign w:val="bottom"/>
          </w:tcPr>
          <w:p>
            <w:pPr>
              <w:spacing w:after="0"/>
              <w:rPr>
                <w:sz w:val="20"/>
                <w:szCs w:val="20"/>
                <w:color w:val="auto"/>
              </w:rPr>
            </w:pPr>
          </w:p>
        </w:tc>
        <w:tc>
          <w:tcPr>
            <w:tcW w:w="280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of Incorporation)</w:t>
            </w:r>
          </w:p>
        </w:tc>
        <w:tc>
          <w:tcPr>
            <w:tcW w:w="34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File Number)</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837"/>
        </w:trPr>
        <w:tc>
          <w:tcPr>
            <w:tcW w:w="660" w:type="dxa"/>
            <w:vAlign w:val="bottom"/>
          </w:tcPr>
          <w:p>
            <w:pPr>
              <w:spacing w:after="0"/>
              <w:rPr>
                <w:sz w:val="24"/>
                <w:szCs w:val="24"/>
                <w:color w:val="auto"/>
              </w:rPr>
            </w:pPr>
          </w:p>
        </w:tc>
        <w:tc>
          <w:tcPr>
            <w:tcW w:w="6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202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84116</w:t>
            </w:r>
          </w:p>
        </w:tc>
        <w:tc>
          <w:tcPr>
            <w:tcW w:w="640" w:type="dxa"/>
            <w:vAlign w:val="bottom"/>
          </w:tcPr>
          <w:p>
            <w:pPr>
              <w:spacing w:after="0"/>
              <w:rPr>
                <w:sz w:val="24"/>
                <w:szCs w:val="24"/>
                <w:color w:val="auto"/>
              </w:rPr>
            </w:pPr>
          </w:p>
        </w:tc>
      </w:tr>
      <w:tr>
        <w:trPr>
          <w:trHeight w:val="27"/>
        </w:trPr>
        <w:tc>
          <w:tcPr>
            <w:tcW w:w="660" w:type="dxa"/>
            <w:vAlign w:val="bottom"/>
          </w:tcPr>
          <w:p>
            <w:pPr>
              <w:spacing w:after="0"/>
              <w:rPr>
                <w:sz w:val="2"/>
                <w:szCs w:val="2"/>
                <w:color w:val="auto"/>
              </w:rPr>
            </w:pPr>
          </w:p>
        </w:tc>
        <w:tc>
          <w:tcPr>
            <w:tcW w:w="622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62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gridSpan w:val="2"/>
          </w:tcPr>
          <w:p>
            <w:pPr>
              <w:jc w:val="center"/>
              <w:ind w:right="64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4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324"/>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324"/>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240.14d-2(b))</w:t>
            </w:r>
          </w:p>
        </w:tc>
      </w:tr>
      <w:tr>
        <w:trPr>
          <w:trHeight w:val="324"/>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1"/>
              </w:rPr>
              <w:t>Pre-commencement communication pursuant to Rule 13e-4(c) under the Exchange Act (17 CFR 240.13e-4(c))</w:t>
            </w:r>
          </w:p>
        </w:tc>
      </w:tr>
    </w:tbl>
    <w:p>
      <w:pPr>
        <w:sectPr>
          <w:pgSz w:w="11900" w:h="16838" w:orient="portrait"/>
          <w:cols w:equalWidth="0" w:num="1">
            <w:col w:w="11400"/>
          </w:cols>
          <w:pgMar w:left="240" w:top="472"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December 3, 2013, ClearOne, Inc. held its 2013 Annual Meeting of Shareholders at which ClearOne’s shareholders voted on the five proposals listed below. The final voting results with respect to each proposal are also set forth below. As of October 15, 2013, the record date for the meeting, there were 8,989,153 shares of common stock were issued and outstanding.</w:t>
      </w:r>
    </w:p>
    <w:p>
      <w:pPr>
        <w:spacing w:after="0" w:line="181"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Election of Directors: All four directors were re-elected to serve a term expiring at the 2014 Annual Meeting of Shareholders of the Company.</w:t>
      </w:r>
    </w:p>
    <w:p>
      <w:pPr>
        <w:spacing w:after="0" w:line="39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Nominee</w:t>
            </w: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Votes For</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Votes Withheld</w:t>
            </w:r>
          </w:p>
        </w:tc>
        <w:tc>
          <w:tcPr>
            <w:tcW w:w="1960" w:type="dxa"/>
            <w:vAlign w:val="bottom"/>
          </w:tcPr>
          <w:p>
            <w:pPr>
              <w:jc w:val="right"/>
              <w:spacing w:after="0"/>
              <w:rPr>
                <w:sz w:val="20"/>
                <w:szCs w:val="20"/>
                <w:color w:val="auto"/>
              </w:rPr>
            </w:pPr>
            <w:r>
              <w:rPr>
                <w:rFonts w:ascii="Arial" w:cs="Arial" w:eastAsia="Arial" w:hAnsi="Arial"/>
                <w:sz w:val="18"/>
                <w:szCs w:val="18"/>
                <w:color w:val="auto"/>
              </w:rPr>
              <w:t>Broker Non-Votes</w:t>
            </w:r>
          </w:p>
        </w:tc>
      </w:tr>
      <w:tr>
        <w:trPr>
          <w:trHeight w:val="27"/>
        </w:trPr>
        <w:tc>
          <w:tcPr>
            <w:tcW w:w="25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Brad R. Baldwin</w:t>
            </w:r>
          </w:p>
        </w:tc>
        <w:tc>
          <w:tcPr>
            <w:tcW w:w="1320" w:type="dxa"/>
            <w:vAlign w:val="bottom"/>
          </w:tcPr>
          <w:p>
            <w:pPr>
              <w:jc w:val="right"/>
              <w:spacing w:after="0"/>
              <w:rPr>
                <w:sz w:val="20"/>
                <w:szCs w:val="20"/>
                <w:color w:val="auto"/>
              </w:rPr>
            </w:pPr>
            <w:r>
              <w:rPr>
                <w:rFonts w:ascii="Arial" w:cs="Arial" w:eastAsia="Arial" w:hAnsi="Arial"/>
                <w:sz w:val="18"/>
                <w:szCs w:val="18"/>
                <w:color w:val="auto"/>
              </w:rPr>
              <w:t>3,154,957</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107,135</w:t>
            </w:r>
          </w:p>
        </w:tc>
        <w:tc>
          <w:tcPr>
            <w:tcW w:w="32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1,667,960</w:t>
            </w:r>
          </w:p>
        </w:tc>
      </w:tr>
      <w:tr>
        <w:trPr>
          <w:trHeight w:val="27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Zeynep Hakimoglu</w:t>
            </w:r>
          </w:p>
        </w:tc>
        <w:tc>
          <w:tcPr>
            <w:tcW w:w="1320" w:type="dxa"/>
            <w:vAlign w:val="bottom"/>
          </w:tcPr>
          <w:p>
            <w:pPr>
              <w:jc w:val="right"/>
              <w:spacing w:after="0"/>
              <w:rPr>
                <w:sz w:val="20"/>
                <w:szCs w:val="20"/>
                <w:color w:val="auto"/>
              </w:rPr>
            </w:pPr>
            <w:r>
              <w:rPr>
                <w:rFonts w:ascii="Arial" w:cs="Arial" w:eastAsia="Arial" w:hAnsi="Arial"/>
                <w:sz w:val="18"/>
                <w:szCs w:val="18"/>
                <w:color w:val="auto"/>
              </w:rPr>
              <w:t>3,156,209</w:t>
            </w: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105,883</w:t>
            </w:r>
          </w:p>
        </w:tc>
        <w:tc>
          <w:tcPr>
            <w:tcW w:w="3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1,667,960</w:t>
            </w:r>
          </w:p>
        </w:tc>
      </w:tr>
      <w:tr>
        <w:trPr>
          <w:trHeight w:val="27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Larry R. Hendricks</w:t>
            </w:r>
          </w:p>
        </w:tc>
        <w:tc>
          <w:tcPr>
            <w:tcW w:w="1320" w:type="dxa"/>
            <w:vAlign w:val="bottom"/>
          </w:tcPr>
          <w:p>
            <w:pPr>
              <w:jc w:val="right"/>
              <w:spacing w:after="0"/>
              <w:rPr>
                <w:sz w:val="20"/>
                <w:szCs w:val="20"/>
                <w:color w:val="auto"/>
              </w:rPr>
            </w:pPr>
            <w:r>
              <w:rPr>
                <w:rFonts w:ascii="Arial" w:cs="Arial" w:eastAsia="Arial" w:hAnsi="Arial"/>
                <w:sz w:val="18"/>
                <w:szCs w:val="18"/>
                <w:color w:val="auto"/>
              </w:rPr>
              <w:t>3,153,644</w:t>
            </w: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108,448</w:t>
            </w:r>
          </w:p>
        </w:tc>
        <w:tc>
          <w:tcPr>
            <w:tcW w:w="3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1,667,960</w:t>
            </w:r>
          </w:p>
        </w:tc>
      </w:tr>
      <w:tr>
        <w:trPr>
          <w:trHeight w:val="27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Scott M. Huntsman</w:t>
            </w:r>
          </w:p>
        </w:tc>
        <w:tc>
          <w:tcPr>
            <w:tcW w:w="1320" w:type="dxa"/>
            <w:vAlign w:val="bottom"/>
          </w:tcPr>
          <w:p>
            <w:pPr>
              <w:jc w:val="right"/>
              <w:spacing w:after="0"/>
              <w:rPr>
                <w:sz w:val="20"/>
                <w:szCs w:val="20"/>
                <w:color w:val="auto"/>
              </w:rPr>
            </w:pPr>
            <w:r>
              <w:rPr>
                <w:rFonts w:ascii="Arial" w:cs="Arial" w:eastAsia="Arial" w:hAnsi="Arial"/>
                <w:sz w:val="18"/>
                <w:szCs w:val="18"/>
                <w:color w:val="auto"/>
              </w:rPr>
              <w:t>3,154,157</w:t>
            </w: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107,935</w:t>
            </w:r>
          </w:p>
        </w:tc>
        <w:tc>
          <w:tcPr>
            <w:tcW w:w="3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1,667,960</w:t>
            </w:r>
          </w:p>
        </w:tc>
      </w:tr>
    </w:tbl>
    <w:p>
      <w:pPr>
        <w:spacing w:after="0" w:line="200" w:lineRule="exact"/>
        <w:rPr>
          <w:sz w:val="20"/>
          <w:szCs w:val="20"/>
          <w:color w:val="auto"/>
        </w:rPr>
      </w:pPr>
    </w:p>
    <w:p>
      <w:pPr>
        <w:spacing w:after="0" w:line="245" w:lineRule="exact"/>
        <w:rPr>
          <w:sz w:val="20"/>
          <w:szCs w:val="20"/>
          <w:color w:val="auto"/>
        </w:rPr>
      </w:pPr>
    </w:p>
    <w:p>
      <w:pPr>
        <w:ind w:left="340" w:right="2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Ratification of the appointment of McGladrey, LLP as ClearOne’s independent public accountants: Our shareholders ratified the appointment of McGladrey, LLP as our independent public accountants.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460" w:type="dxa"/>
            <w:vAlign w:val="bottom"/>
            <w:gridSpan w:val="2"/>
          </w:tcPr>
          <w:p>
            <w:pPr>
              <w:jc w:val="right"/>
              <w:ind w:right="400"/>
              <w:spacing w:after="0"/>
              <w:rPr>
                <w:sz w:val="20"/>
                <w:szCs w:val="20"/>
                <w:color w:val="auto"/>
              </w:rPr>
            </w:pPr>
            <w:r>
              <w:rPr>
                <w:rFonts w:ascii="Arial" w:cs="Arial" w:eastAsia="Arial" w:hAnsi="Arial"/>
                <w:sz w:val="18"/>
                <w:szCs w:val="18"/>
                <w:color w:val="auto"/>
              </w:rPr>
              <w:t>Votes for</w:t>
            </w:r>
          </w:p>
        </w:tc>
        <w:tc>
          <w:tcPr>
            <w:tcW w:w="2240" w:type="dxa"/>
            <w:vAlign w:val="bottom"/>
            <w:gridSpan w:val="2"/>
          </w:tcPr>
          <w:p>
            <w:pPr>
              <w:jc w:val="right"/>
              <w:ind w:right="380"/>
              <w:spacing w:after="0"/>
              <w:rPr>
                <w:sz w:val="20"/>
                <w:szCs w:val="20"/>
                <w:color w:val="auto"/>
              </w:rPr>
            </w:pPr>
            <w:r>
              <w:rPr>
                <w:rFonts w:ascii="Arial" w:cs="Arial" w:eastAsia="Arial" w:hAnsi="Arial"/>
                <w:sz w:val="18"/>
                <w:szCs w:val="18"/>
                <w:color w:val="auto"/>
              </w:rPr>
              <w:t>Votes against</w:t>
            </w:r>
          </w:p>
        </w:tc>
        <w:tc>
          <w:tcPr>
            <w:tcW w:w="2440" w:type="dxa"/>
            <w:vAlign w:val="bottom"/>
            <w:gridSpan w:val="2"/>
          </w:tcPr>
          <w:p>
            <w:pPr>
              <w:jc w:val="right"/>
              <w:ind w:right="380"/>
              <w:spacing w:after="0"/>
              <w:rPr>
                <w:sz w:val="20"/>
                <w:szCs w:val="20"/>
                <w:color w:val="auto"/>
              </w:rPr>
            </w:pPr>
            <w:r>
              <w:rPr>
                <w:rFonts w:ascii="Arial" w:cs="Arial" w:eastAsia="Arial" w:hAnsi="Arial"/>
                <w:sz w:val="18"/>
                <w:szCs w:val="18"/>
                <w:color w:val="auto"/>
              </w:rPr>
              <w:t>Votes abstained</w:t>
            </w:r>
          </w:p>
        </w:tc>
        <w:tc>
          <w:tcPr>
            <w:tcW w:w="2260" w:type="dxa"/>
            <w:vAlign w:val="bottom"/>
          </w:tcPr>
          <w:p>
            <w:pPr>
              <w:jc w:val="right"/>
              <w:spacing w:after="0"/>
              <w:rPr>
                <w:sz w:val="20"/>
                <w:szCs w:val="20"/>
                <w:color w:val="auto"/>
              </w:rPr>
            </w:pPr>
            <w:r>
              <w:rPr>
                <w:rFonts w:ascii="Arial" w:cs="Arial" w:eastAsia="Arial" w:hAnsi="Arial"/>
                <w:sz w:val="18"/>
                <w:szCs w:val="18"/>
                <w:color w:val="auto"/>
              </w:rPr>
              <w:t>Broker Non-votes</w:t>
            </w:r>
          </w:p>
        </w:tc>
      </w:tr>
      <w:tr>
        <w:trPr>
          <w:trHeight w:val="27"/>
        </w:trPr>
        <w:tc>
          <w:tcPr>
            <w:tcW w:w="20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37"/>
        </w:trPr>
        <w:tc>
          <w:tcPr>
            <w:tcW w:w="2080" w:type="dxa"/>
            <w:vAlign w:val="bottom"/>
          </w:tcPr>
          <w:p>
            <w:pPr>
              <w:jc w:val="right"/>
              <w:spacing w:after="0"/>
              <w:rPr>
                <w:sz w:val="20"/>
                <w:szCs w:val="20"/>
                <w:color w:val="auto"/>
              </w:rPr>
            </w:pPr>
            <w:r>
              <w:rPr>
                <w:rFonts w:ascii="Arial" w:cs="Arial" w:eastAsia="Arial" w:hAnsi="Arial"/>
                <w:sz w:val="18"/>
                <w:szCs w:val="18"/>
                <w:color w:val="auto"/>
              </w:rPr>
              <w:t>4,685,333</w:t>
            </w:r>
          </w:p>
        </w:tc>
        <w:tc>
          <w:tcPr>
            <w:tcW w:w="3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107,201</w:t>
            </w:r>
          </w:p>
        </w:tc>
        <w:tc>
          <w:tcPr>
            <w:tcW w:w="36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137,518</w:t>
            </w:r>
          </w:p>
        </w:tc>
        <w:tc>
          <w:tcPr>
            <w:tcW w:w="36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2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Advisory vote on the compensation of our named executive officers: Our shareholders approved the compensation of our named executive officers.</w:t>
      </w:r>
    </w:p>
    <w:p>
      <w:pPr>
        <w:spacing w:after="0" w:line="39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460" w:type="dxa"/>
            <w:vAlign w:val="bottom"/>
            <w:gridSpan w:val="2"/>
          </w:tcPr>
          <w:p>
            <w:pPr>
              <w:jc w:val="right"/>
              <w:ind w:right="400"/>
              <w:spacing w:after="0"/>
              <w:rPr>
                <w:sz w:val="20"/>
                <w:szCs w:val="20"/>
                <w:color w:val="auto"/>
              </w:rPr>
            </w:pPr>
            <w:r>
              <w:rPr>
                <w:rFonts w:ascii="Arial" w:cs="Arial" w:eastAsia="Arial" w:hAnsi="Arial"/>
                <w:sz w:val="18"/>
                <w:szCs w:val="18"/>
                <w:color w:val="auto"/>
              </w:rPr>
              <w:t>Votes for</w:t>
            </w:r>
          </w:p>
        </w:tc>
        <w:tc>
          <w:tcPr>
            <w:tcW w:w="2240" w:type="dxa"/>
            <w:vAlign w:val="bottom"/>
            <w:gridSpan w:val="2"/>
          </w:tcPr>
          <w:p>
            <w:pPr>
              <w:jc w:val="right"/>
              <w:ind w:right="380"/>
              <w:spacing w:after="0"/>
              <w:rPr>
                <w:sz w:val="20"/>
                <w:szCs w:val="20"/>
                <w:color w:val="auto"/>
              </w:rPr>
            </w:pPr>
            <w:r>
              <w:rPr>
                <w:rFonts w:ascii="Arial" w:cs="Arial" w:eastAsia="Arial" w:hAnsi="Arial"/>
                <w:sz w:val="18"/>
                <w:szCs w:val="18"/>
                <w:color w:val="auto"/>
              </w:rPr>
              <w:t>Votes against</w:t>
            </w:r>
          </w:p>
        </w:tc>
        <w:tc>
          <w:tcPr>
            <w:tcW w:w="2440" w:type="dxa"/>
            <w:vAlign w:val="bottom"/>
            <w:gridSpan w:val="2"/>
          </w:tcPr>
          <w:p>
            <w:pPr>
              <w:jc w:val="right"/>
              <w:ind w:right="380"/>
              <w:spacing w:after="0"/>
              <w:rPr>
                <w:sz w:val="20"/>
                <w:szCs w:val="20"/>
                <w:color w:val="auto"/>
              </w:rPr>
            </w:pPr>
            <w:r>
              <w:rPr>
                <w:rFonts w:ascii="Arial" w:cs="Arial" w:eastAsia="Arial" w:hAnsi="Arial"/>
                <w:sz w:val="18"/>
                <w:szCs w:val="18"/>
                <w:color w:val="auto"/>
              </w:rPr>
              <w:t>Votes abstained</w:t>
            </w:r>
          </w:p>
        </w:tc>
        <w:tc>
          <w:tcPr>
            <w:tcW w:w="2260" w:type="dxa"/>
            <w:vAlign w:val="bottom"/>
          </w:tcPr>
          <w:p>
            <w:pPr>
              <w:jc w:val="right"/>
              <w:spacing w:after="0"/>
              <w:rPr>
                <w:sz w:val="20"/>
                <w:szCs w:val="20"/>
                <w:color w:val="auto"/>
              </w:rPr>
            </w:pPr>
            <w:r>
              <w:rPr>
                <w:rFonts w:ascii="Arial" w:cs="Arial" w:eastAsia="Arial" w:hAnsi="Arial"/>
                <w:sz w:val="18"/>
                <w:szCs w:val="18"/>
                <w:color w:val="auto"/>
              </w:rPr>
              <w:t>Broker Non-votes</w:t>
            </w:r>
          </w:p>
        </w:tc>
      </w:tr>
      <w:tr>
        <w:trPr>
          <w:trHeight w:val="27"/>
        </w:trPr>
        <w:tc>
          <w:tcPr>
            <w:tcW w:w="20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37"/>
        </w:trPr>
        <w:tc>
          <w:tcPr>
            <w:tcW w:w="2080" w:type="dxa"/>
            <w:vAlign w:val="bottom"/>
          </w:tcPr>
          <w:p>
            <w:pPr>
              <w:jc w:val="right"/>
              <w:spacing w:after="0"/>
              <w:rPr>
                <w:sz w:val="20"/>
                <w:szCs w:val="20"/>
                <w:color w:val="auto"/>
              </w:rPr>
            </w:pPr>
            <w:r>
              <w:rPr>
                <w:rFonts w:ascii="Arial" w:cs="Arial" w:eastAsia="Arial" w:hAnsi="Arial"/>
                <w:sz w:val="18"/>
                <w:szCs w:val="18"/>
                <w:color w:val="auto"/>
              </w:rPr>
              <w:t>3,082,604</w:t>
            </w:r>
          </w:p>
        </w:tc>
        <w:tc>
          <w:tcPr>
            <w:tcW w:w="3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92,316</w:t>
            </w:r>
          </w:p>
        </w:tc>
        <w:tc>
          <w:tcPr>
            <w:tcW w:w="36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87,172</w:t>
            </w:r>
          </w:p>
        </w:tc>
        <w:tc>
          <w:tcPr>
            <w:tcW w:w="36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1,667,960</w:t>
            </w:r>
          </w:p>
        </w:tc>
      </w:tr>
    </w:tbl>
    <w:p>
      <w:pPr>
        <w:spacing w:after="0" w:line="229" w:lineRule="exact"/>
        <w:rPr>
          <w:sz w:val="20"/>
          <w:szCs w:val="20"/>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Advisory vote on the frequency of advisory vote on compensation of our named executive officers: Our shareholders approved “one year” as the frequency of advisory vote on compensation of our named executive officers.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680" w:type="dxa"/>
            <w:vAlign w:val="bottom"/>
            <w:gridSpan w:val="2"/>
          </w:tcPr>
          <w:p>
            <w:pPr>
              <w:jc w:val="right"/>
              <w:ind w:right="400"/>
              <w:spacing w:after="0"/>
              <w:rPr>
                <w:sz w:val="20"/>
                <w:szCs w:val="20"/>
                <w:color w:val="auto"/>
              </w:rPr>
            </w:pPr>
            <w:r>
              <w:rPr>
                <w:rFonts w:ascii="Arial" w:cs="Arial" w:eastAsia="Arial" w:hAnsi="Arial"/>
                <w:sz w:val="18"/>
                <w:szCs w:val="18"/>
                <w:color w:val="auto"/>
              </w:rPr>
              <w:t>One year</w:t>
            </w:r>
          </w:p>
        </w:tc>
        <w:tc>
          <w:tcPr>
            <w:tcW w:w="1600" w:type="dxa"/>
            <w:vAlign w:val="bottom"/>
            <w:gridSpan w:val="2"/>
          </w:tcPr>
          <w:p>
            <w:pPr>
              <w:jc w:val="right"/>
              <w:ind w:right="400"/>
              <w:spacing w:after="0"/>
              <w:rPr>
                <w:sz w:val="20"/>
                <w:szCs w:val="20"/>
                <w:color w:val="auto"/>
              </w:rPr>
            </w:pPr>
            <w:r>
              <w:rPr>
                <w:rFonts w:ascii="Arial" w:cs="Arial" w:eastAsia="Arial" w:hAnsi="Arial"/>
                <w:sz w:val="18"/>
                <w:szCs w:val="18"/>
                <w:color w:val="auto"/>
              </w:rPr>
              <w:t>Two years</w:t>
            </w: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Three years</w:t>
            </w:r>
          </w:p>
        </w:tc>
        <w:tc>
          <w:tcPr>
            <w:tcW w:w="2140" w:type="dxa"/>
            <w:vAlign w:val="bottom"/>
            <w:gridSpan w:val="2"/>
          </w:tcPr>
          <w:p>
            <w:pPr>
              <w:jc w:val="right"/>
              <w:ind w:right="380"/>
              <w:spacing w:after="0"/>
              <w:rPr>
                <w:sz w:val="20"/>
                <w:szCs w:val="20"/>
                <w:color w:val="auto"/>
              </w:rPr>
            </w:pPr>
            <w:r>
              <w:rPr>
                <w:rFonts w:ascii="Arial" w:cs="Arial" w:eastAsia="Arial" w:hAnsi="Arial"/>
                <w:sz w:val="18"/>
                <w:szCs w:val="18"/>
                <w:color w:val="auto"/>
              </w:rPr>
              <w:t>Votes abstained</w:t>
            </w:r>
          </w:p>
        </w:tc>
        <w:tc>
          <w:tcPr>
            <w:tcW w:w="2220" w:type="dxa"/>
            <w:vAlign w:val="bottom"/>
          </w:tcPr>
          <w:p>
            <w:pPr>
              <w:jc w:val="right"/>
              <w:spacing w:after="0"/>
              <w:rPr>
                <w:sz w:val="20"/>
                <w:szCs w:val="20"/>
                <w:color w:val="auto"/>
              </w:rPr>
            </w:pPr>
            <w:r>
              <w:rPr>
                <w:rFonts w:ascii="Arial" w:cs="Arial" w:eastAsia="Arial" w:hAnsi="Arial"/>
                <w:sz w:val="18"/>
                <w:szCs w:val="18"/>
                <w:color w:val="auto"/>
              </w:rPr>
              <w:t>Broker Non-votes</w:t>
            </w:r>
          </w:p>
        </w:tc>
      </w:tr>
      <w:tr>
        <w:trPr>
          <w:trHeight w:val="27"/>
        </w:trPr>
        <w:tc>
          <w:tcPr>
            <w:tcW w:w="13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37"/>
        </w:trPr>
        <w:tc>
          <w:tcPr>
            <w:tcW w:w="1300" w:type="dxa"/>
            <w:vAlign w:val="bottom"/>
          </w:tcPr>
          <w:p>
            <w:pPr>
              <w:jc w:val="right"/>
              <w:spacing w:after="0"/>
              <w:rPr>
                <w:sz w:val="20"/>
                <w:szCs w:val="20"/>
                <w:color w:val="auto"/>
              </w:rPr>
            </w:pPr>
            <w:r>
              <w:rPr>
                <w:rFonts w:ascii="Arial" w:cs="Arial" w:eastAsia="Arial" w:hAnsi="Arial"/>
                <w:sz w:val="18"/>
                <w:szCs w:val="18"/>
                <w:color w:val="auto"/>
              </w:rPr>
              <w:t>1,743,222</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124,193</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1,343,328</w:t>
            </w:r>
          </w:p>
        </w:tc>
        <w:tc>
          <w:tcPr>
            <w:tcW w:w="3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51,349</w:t>
            </w:r>
          </w:p>
        </w:tc>
        <w:tc>
          <w:tcPr>
            <w:tcW w:w="36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1,667,960</w:t>
            </w:r>
          </w:p>
        </w:tc>
      </w:tr>
    </w:tbl>
    <w:p>
      <w:pPr>
        <w:spacing w:after="0" w:line="22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to restore voting rights to certain control shares: Our shareholders voted not to restore voting rights to certain control shares.</w:t>
      </w:r>
    </w:p>
    <w:p>
      <w:pPr>
        <w:spacing w:after="0" w:line="3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460" w:type="dxa"/>
            <w:vAlign w:val="bottom"/>
            <w:gridSpan w:val="2"/>
          </w:tcPr>
          <w:p>
            <w:pPr>
              <w:jc w:val="right"/>
              <w:ind w:right="400"/>
              <w:spacing w:after="0"/>
              <w:rPr>
                <w:sz w:val="20"/>
                <w:szCs w:val="20"/>
                <w:color w:val="auto"/>
              </w:rPr>
            </w:pPr>
            <w:r>
              <w:rPr>
                <w:rFonts w:ascii="Arial" w:cs="Arial" w:eastAsia="Arial" w:hAnsi="Arial"/>
                <w:sz w:val="18"/>
                <w:szCs w:val="18"/>
                <w:color w:val="auto"/>
              </w:rPr>
              <w:t>Votes for</w:t>
            </w:r>
          </w:p>
        </w:tc>
        <w:tc>
          <w:tcPr>
            <w:tcW w:w="2240" w:type="dxa"/>
            <w:vAlign w:val="bottom"/>
            <w:gridSpan w:val="2"/>
          </w:tcPr>
          <w:p>
            <w:pPr>
              <w:jc w:val="right"/>
              <w:ind w:right="380"/>
              <w:spacing w:after="0"/>
              <w:rPr>
                <w:sz w:val="20"/>
                <w:szCs w:val="20"/>
                <w:color w:val="auto"/>
              </w:rPr>
            </w:pPr>
            <w:r>
              <w:rPr>
                <w:rFonts w:ascii="Arial" w:cs="Arial" w:eastAsia="Arial" w:hAnsi="Arial"/>
                <w:sz w:val="18"/>
                <w:szCs w:val="18"/>
                <w:color w:val="auto"/>
              </w:rPr>
              <w:t>Votes against</w:t>
            </w:r>
          </w:p>
        </w:tc>
        <w:tc>
          <w:tcPr>
            <w:tcW w:w="2440" w:type="dxa"/>
            <w:vAlign w:val="bottom"/>
            <w:gridSpan w:val="2"/>
          </w:tcPr>
          <w:p>
            <w:pPr>
              <w:jc w:val="right"/>
              <w:ind w:right="380"/>
              <w:spacing w:after="0"/>
              <w:rPr>
                <w:sz w:val="20"/>
                <w:szCs w:val="20"/>
                <w:color w:val="auto"/>
              </w:rPr>
            </w:pPr>
            <w:r>
              <w:rPr>
                <w:rFonts w:ascii="Arial" w:cs="Arial" w:eastAsia="Arial" w:hAnsi="Arial"/>
                <w:sz w:val="18"/>
                <w:szCs w:val="18"/>
                <w:color w:val="auto"/>
              </w:rPr>
              <w:t>Votes abstained</w:t>
            </w:r>
          </w:p>
        </w:tc>
        <w:tc>
          <w:tcPr>
            <w:tcW w:w="2260" w:type="dxa"/>
            <w:vAlign w:val="bottom"/>
          </w:tcPr>
          <w:p>
            <w:pPr>
              <w:jc w:val="right"/>
              <w:spacing w:after="0"/>
              <w:rPr>
                <w:sz w:val="20"/>
                <w:szCs w:val="20"/>
                <w:color w:val="auto"/>
              </w:rPr>
            </w:pPr>
            <w:r>
              <w:rPr>
                <w:rFonts w:ascii="Arial" w:cs="Arial" w:eastAsia="Arial" w:hAnsi="Arial"/>
                <w:sz w:val="18"/>
                <w:szCs w:val="18"/>
                <w:color w:val="auto"/>
              </w:rPr>
              <w:t>Broker Non-votes</w:t>
            </w:r>
          </w:p>
        </w:tc>
      </w:tr>
      <w:tr>
        <w:trPr>
          <w:trHeight w:val="27"/>
        </w:trPr>
        <w:tc>
          <w:tcPr>
            <w:tcW w:w="20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37"/>
        </w:trPr>
        <w:tc>
          <w:tcPr>
            <w:tcW w:w="2080" w:type="dxa"/>
            <w:vAlign w:val="bottom"/>
          </w:tcPr>
          <w:p>
            <w:pPr>
              <w:jc w:val="right"/>
              <w:spacing w:after="0"/>
              <w:rPr>
                <w:sz w:val="20"/>
                <w:szCs w:val="20"/>
                <w:color w:val="auto"/>
              </w:rPr>
            </w:pPr>
            <w:r>
              <w:rPr>
                <w:rFonts w:ascii="Arial" w:cs="Arial" w:eastAsia="Arial" w:hAnsi="Arial"/>
                <w:sz w:val="18"/>
                <w:szCs w:val="18"/>
                <w:color w:val="auto"/>
              </w:rPr>
              <w:t>2,390,894</w:t>
            </w:r>
          </w:p>
        </w:tc>
        <w:tc>
          <w:tcPr>
            <w:tcW w:w="3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733,324</w:t>
            </w:r>
          </w:p>
        </w:tc>
        <w:tc>
          <w:tcPr>
            <w:tcW w:w="36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60,498</w:t>
            </w:r>
          </w:p>
        </w:tc>
        <w:tc>
          <w:tcPr>
            <w:tcW w:w="36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1,667,960</w:t>
            </w:r>
          </w:p>
        </w:tc>
      </w:tr>
    </w:tbl>
    <w:p>
      <w:pPr>
        <w:sectPr>
          <w:pgSz w:w="11900" w:h="16838" w:orient="portrait"/>
          <w:cols w:equalWidth="0" w:num="1">
            <w:col w:w="11420"/>
          </w:cols>
          <w:pgMar w:left="240" w:top="783"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CLEARONE,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tabs>
          <w:tab w:leader="none" w:pos="4140" w:val="left"/>
          <w:tab w:leader="none" w:pos="4900" w:val="left"/>
        </w:tabs>
        <w:rPr>
          <w:sz w:val="20"/>
          <w:szCs w:val="20"/>
          <w:color w:val="auto"/>
        </w:rPr>
      </w:pPr>
      <w:r>
        <w:rPr>
          <w:rFonts w:ascii="Arial" w:cs="Arial" w:eastAsia="Arial" w:hAnsi="Arial"/>
          <w:sz w:val="18"/>
          <w:szCs w:val="18"/>
          <w:color w:val="auto"/>
        </w:rPr>
        <w:t>Date: December 3,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Zee Hakimoglu</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Zee Hakimoglu</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President &amp; Chief Executive Officer</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2019-12-06T03:20:38Z</dcterms:created>
  <dcterms:modified xsi:type="dcterms:W3CDTF">2019-12-06T03:20:38Z</dcterms:modified>
</cp:coreProperties>
</file>