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16"/>
          <w:szCs w:val="16"/>
          <w:b w:val="1"/>
          <w:bCs w:val="1"/>
          <w:color w:val="auto"/>
        </w:rPr>
        <w:t>UNITED STATES</w:t>
      </w:r>
    </w:p>
    <w:p>
      <w:pPr>
        <w:spacing w:after="0" w:line="23" w:lineRule="exact"/>
        <w:rPr>
          <w:sz w:val="24"/>
          <w:szCs w:val="24"/>
          <w:color w:val="auto"/>
        </w:rPr>
      </w:pPr>
    </w:p>
    <w:p>
      <w:pPr>
        <w:jc w:val="center"/>
        <w:ind w:right="-19"/>
        <w:spacing w:after="0"/>
        <w:rPr>
          <w:sz w:val="20"/>
          <w:szCs w:val="20"/>
          <w:color w:val="auto"/>
        </w:rPr>
      </w:pPr>
      <w:r>
        <w:rPr>
          <w:rFonts w:ascii="Arial" w:cs="Arial" w:eastAsia="Arial" w:hAnsi="Arial"/>
          <w:sz w:val="16"/>
          <w:szCs w:val="16"/>
          <w:b w:val="1"/>
          <w:bCs w:val="1"/>
          <w:color w:val="auto"/>
        </w:rPr>
        <w:t>SECURITIES AND EXCHANGE COMMISSION</w:t>
      </w:r>
    </w:p>
    <w:p>
      <w:pPr>
        <w:spacing w:after="0" w:line="5" w:lineRule="exact"/>
        <w:rPr>
          <w:sz w:val="24"/>
          <w:szCs w:val="24"/>
          <w:color w:val="auto"/>
        </w:rPr>
      </w:pPr>
    </w:p>
    <w:p>
      <w:pPr>
        <w:jc w:val="center"/>
        <w:ind w:right="-19"/>
        <w:spacing w:after="0"/>
        <w:rPr>
          <w:sz w:val="20"/>
          <w:szCs w:val="20"/>
          <w:color w:val="auto"/>
        </w:rPr>
      </w:pPr>
      <w:r>
        <w:rPr>
          <w:rFonts w:ascii="Arial" w:cs="Arial" w:eastAsia="Arial" w:hAnsi="Arial"/>
          <w:sz w:val="16"/>
          <w:szCs w:val="16"/>
          <w:b w:val="1"/>
          <w:bCs w:val="1"/>
          <w:color w:val="auto"/>
        </w:rPr>
        <w:t>WASHINGTON, D.C. 20549</w:t>
      </w:r>
    </w:p>
    <w:p>
      <w:pPr>
        <w:spacing w:after="0" w:line="189"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FORM 10-Q</w:t>
      </w:r>
    </w:p>
    <w:p>
      <w:pPr>
        <w:spacing w:after="0" w:line="217" w:lineRule="exact"/>
        <w:rPr>
          <w:sz w:val="24"/>
          <w:szCs w:val="24"/>
          <w:color w:val="auto"/>
        </w:rPr>
      </w:pPr>
    </w:p>
    <w:p>
      <w:pPr>
        <w:spacing w:after="0"/>
        <w:rPr>
          <w:sz w:val="20"/>
          <w:szCs w:val="20"/>
          <w:color w:val="auto"/>
        </w:rPr>
      </w:pPr>
      <w:r>
        <w:rPr>
          <w:rFonts w:ascii="Arial" w:cs="Arial" w:eastAsia="Arial" w:hAnsi="Arial"/>
          <w:sz w:val="16"/>
          <w:szCs w:val="16"/>
          <w:color w:val="auto"/>
        </w:rPr>
        <w:t>(Mark One)</w:t>
      </w:r>
    </w:p>
    <w:p>
      <w:pPr>
        <w:spacing w:after="0" w:line="190" w:lineRule="exact"/>
        <w:rPr>
          <w:sz w:val="24"/>
          <w:szCs w:val="24"/>
          <w:color w:val="auto"/>
        </w:rPr>
      </w:pPr>
    </w:p>
    <w:p>
      <w:pPr>
        <w:ind w:left="660" w:right="2780" w:hanging="652"/>
        <w:spacing w:after="0" w:line="258" w:lineRule="auto"/>
        <w:tabs>
          <w:tab w:leader="none" w:pos="363" w:val="left"/>
        </w:tabs>
        <w:numPr>
          <w:ilvl w:val="0"/>
          <w:numId w:val="1"/>
        </w:numPr>
        <w:rPr>
          <w:rFonts w:ascii="Arial" w:cs="Arial" w:eastAsia="Arial" w:hAnsi="Arial"/>
          <w:sz w:val="16"/>
          <w:szCs w:val="16"/>
          <w:color w:val="auto"/>
        </w:rPr>
      </w:pPr>
      <w:r>
        <w:rPr>
          <w:rFonts w:ascii="Arial" w:cs="Arial" w:eastAsia="Arial" w:hAnsi="Arial"/>
          <w:sz w:val="16"/>
          <w:szCs w:val="16"/>
          <w:b w:val="1"/>
          <w:bCs w:val="1"/>
          <w:color w:val="auto"/>
        </w:rPr>
        <w:t xml:space="preserve">QUARTERLY REPORT PURSUANT TO SECTION 13 OR 15(D) OF THE SECURITIES EXCHANGE ACT OF 1934 </w:t>
      </w:r>
      <w:r>
        <w:rPr>
          <w:rFonts w:ascii="Arial" w:cs="Arial" w:eastAsia="Arial" w:hAnsi="Arial"/>
          <w:sz w:val="16"/>
          <w:szCs w:val="16"/>
          <w:color w:val="auto"/>
        </w:rPr>
        <w:t xml:space="preserve">For the quarterly period ended </w:t>
      </w:r>
      <w:r>
        <w:rPr>
          <w:rFonts w:ascii="Arial" w:cs="Arial" w:eastAsia="Arial" w:hAnsi="Arial"/>
          <w:sz w:val="16"/>
          <w:szCs w:val="16"/>
          <w:u w:val="single" w:color="auto"/>
          <w:color w:val="auto"/>
        </w:rPr>
        <w:t>September 30, 2014</w:t>
      </w:r>
    </w:p>
    <w:p>
      <w:pPr>
        <w:ind w:left="1300"/>
        <w:spacing w:after="0"/>
        <w:rPr>
          <w:rFonts w:ascii="Arial" w:cs="Arial" w:eastAsia="Arial" w:hAnsi="Arial"/>
          <w:sz w:val="16"/>
          <w:szCs w:val="16"/>
          <w:color w:val="auto"/>
        </w:rPr>
      </w:pPr>
      <w:r>
        <w:rPr>
          <w:rFonts w:ascii="Arial" w:cs="Arial" w:eastAsia="Arial" w:hAnsi="Arial"/>
          <w:sz w:val="16"/>
          <w:szCs w:val="16"/>
          <w:color w:val="auto"/>
        </w:rPr>
        <w:t>or</w:t>
      </w:r>
    </w:p>
    <w:p>
      <w:pPr>
        <w:spacing w:after="0" w:line="5" w:lineRule="exact"/>
        <w:rPr>
          <w:sz w:val="24"/>
          <w:szCs w:val="24"/>
          <w:color w:val="auto"/>
        </w:rPr>
      </w:pPr>
    </w:p>
    <w:p>
      <w:pPr>
        <w:ind w:left="660" w:right="2840" w:hanging="652"/>
        <w:spacing w:after="0" w:line="257" w:lineRule="auto"/>
        <w:tabs>
          <w:tab w:leader="none" w:pos="106" w:val="left"/>
        </w:tabs>
        <w:numPr>
          <w:ilvl w:val="0"/>
          <w:numId w:val="2"/>
        </w:numPr>
        <w:rPr>
          <w:rFonts w:ascii="Arial" w:cs="Arial" w:eastAsia="Arial" w:hAnsi="Arial"/>
          <w:sz w:val="16"/>
          <w:szCs w:val="16"/>
          <w:color w:val="auto"/>
        </w:rPr>
      </w:pPr>
      <w:r>
        <w:rPr>
          <w:rFonts w:ascii="Arial" w:cs="Arial" w:eastAsia="Arial" w:hAnsi="Arial"/>
          <w:sz w:val="16"/>
          <w:szCs w:val="16"/>
          <w:color w:val="auto"/>
        </w:rPr>
        <w:t xml:space="preserve">] </w:t>
      </w:r>
      <w:r>
        <w:rPr>
          <w:rFonts w:ascii="Arial" w:cs="Arial" w:eastAsia="Arial" w:hAnsi="Arial"/>
          <w:sz w:val="16"/>
          <w:szCs w:val="16"/>
          <w:b w:val="1"/>
          <w:bCs w:val="1"/>
          <w:color w:val="auto"/>
        </w:rPr>
        <w:t>TRANSITION REPORT PURSUANT TO SECTION 13 OR 15(d) OF THE SECURITIES EXCHANGE ACT OF 1934</w:t>
      </w:r>
      <w:r>
        <w:rPr>
          <w:rFonts w:ascii="Arial" w:cs="Arial" w:eastAsia="Arial" w:hAnsi="Arial"/>
          <w:sz w:val="16"/>
          <w:szCs w:val="16"/>
          <w:color w:val="auto"/>
        </w:rPr>
        <w:t xml:space="preserve"> For the transition period _______ to _______</w:t>
      </w:r>
    </w:p>
    <w:p>
      <w:pPr>
        <w:spacing w:after="0" w:line="155" w:lineRule="exact"/>
        <w:rPr>
          <w:sz w:val="24"/>
          <w:szCs w:val="24"/>
          <w:color w:val="auto"/>
        </w:rPr>
      </w:pPr>
    </w:p>
    <w:p>
      <w:pPr>
        <w:spacing w:after="0"/>
        <w:rPr>
          <w:sz w:val="20"/>
          <w:szCs w:val="20"/>
          <w:color w:val="auto"/>
        </w:rPr>
      </w:pPr>
      <w:r>
        <w:rPr>
          <w:rFonts w:ascii="Arial" w:cs="Arial" w:eastAsia="Arial" w:hAnsi="Arial"/>
          <w:sz w:val="16"/>
          <w:szCs w:val="16"/>
          <w:color w:val="auto"/>
        </w:rPr>
        <w:t xml:space="preserve">Commission file number: </w:t>
      </w:r>
      <w:r>
        <w:rPr>
          <w:rFonts w:ascii="Arial" w:cs="Arial" w:eastAsia="Arial" w:hAnsi="Arial"/>
          <w:sz w:val="16"/>
          <w:szCs w:val="16"/>
          <w:b w:val="1"/>
          <w:bCs w:val="1"/>
          <w:u w:val="single" w:color="auto"/>
          <w:color w:val="auto"/>
        </w:rPr>
        <w:t>001-33660</w:t>
      </w:r>
    </w:p>
    <w:p>
      <w:pPr>
        <w:spacing w:after="0" w:line="200" w:lineRule="exact"/>
        <w:rPr>
          <w:sz w:val="24"/>
          <w:szCs w:val="24"/>
          <w:color w:val="auto"/>
        </w:rPr>
      </w:pPr>
    </w:p>
    <w:p>
      <w:pPr>
        <w:spacing w:after="0" w:line="264" w:lineRule="exact"/>
        <w:rPr>
          <w:sz w:val="24"/>
          <w:szCs w:val="24"/>
          <w:color w:val="auto"/>
        </w:rPr>
      </w:pPr>
    </w:p>
    <w:p>
      <w:pPr>
        <w:jc w:val="center"/>
        <w:ind w:right="-19"/>
        <w:spacing w:after="0"/>
        <w:rPr>
          <w:sz w:val="20"/>
          <w:szCs w:val="20"/>
          <w:color w:val="auto"/>
        </w:rPr>
      </w:pPr>
      <w:r>
        <w:rPr>
          <w:rFonts w:ascii="Arial" w:cs="Arial" w:eastAsia="Arial" w:hAnsi="Arial"/>
          <w:sz w:val="16"/>
          <w:szCs w:val="16"/>
          <w:b w:val="1"/>
          <w:bCs w:val="1"/>
          <w:color w:val="auto"/>
        </w:rPr>
        <w:t>CLEARONE, INC.</w:t>
      </w:r>
    </w:p>
    <w:p>
      <w:pPr>
        <w:spacing w:after="0" w:line="23" w:lineRule="exact"/>
        <w:rPr>
          <w:sz w:val="24"/>
          <w:szCs w:val="24"/>
          <w:color w:val="auto"/>
        </w:rPr>
      </w:pPr>
    </w:p>
    <w:p>
      <w:pPr>
        <w:jc w:val="center"/>
        <w:ind w:right="-19"/>
        <w:spacing w:after="0"/>
        <w:rPr>
          <w:sz w:val="20"/>
          <w:szCs w:val="20"/>
          <w:color w:val="auto"/>
        </w:rPr>
      </w:pPr>
      <w:r>
        <w:rPr>
          <w:rFonts w:ascii="Arial" w:cs="Arial" w:eastAsia="Arial" w:hAnsi="Arial"/>
          <w:sz w:val="16"/>
          <w:szCs w:val="16"/>
          <w:color w:val="auto"/>
        </w:rPr>
        <w:t>(Exact name of registrant as specified in its charter)</w:t>
      </w:r>
    </w:p>
    <w:p>
      <w:pPr>
        <w:spacing w:after="0" w:line="149" w:lineRule="exact"/>
        <w:rPr>
          <w:sz w:val="24"/>
          <w:szCs w:val="24"/>
          <w:color w:val="auto"/>
        </w:rPr>
      </w:pPr>
    </w:p>
    <w:tbl>
      <w:tblPr>
        <w:tblLayout w:type="fixed"/>
        <w:tblInd w:w="520" w:type="dxa"/>
        <w:tblCellMar>
          <w:top w:w="0" w:type="dxa"/>
          <w:left w:w="0" w:type="dxa"/>
          <w:bottom w:w="0" w:type="dxa"/>
          <w:right w:w="0" w:type="dxa"/>
        </w:tblCellMar>
      </w:tblPr>
      <w:tr>
        <w:trPr>
          <w:trHeight w:val="210"/>
        </w:trPr>
        <w:tc>
          <w:tcPr>
            <w:tcW w:w="4620" w:type="dxa"/>
            <w:vAlign w:val="bottom"/>
          </w:tcPr>
          <w:p>
            <w:pPr>
              <w:jc w:val="center"/>
              <w:ind w:left="719"/>
              <w:spacing w:after="0"/>
              <w:rPr>
                <w:sz w:val="20"/>
                <w:szCs w:val="20"/>
                <w:color w:val="auto"/>
              </w:rPr>
            </w:pPr>
            <w:r>
              <w:rPr>
                <w:rFonts w:ascii="Arial" w:cs="Arial" w:eastAsia="Arial" w:hAnsi="Arial"/>
                <w:sz w:val="16"/>
                <w:szCs w:val="16"/>
                <w:b w:val="1"/>
                <w:bCs w:val="1"/>
                <w:color w:val="auto"/>
                <w:w w:val="95"/>
              </w:rPr>
              <w:t>Utah</w:t>
            </w:r>
          </w:p>
        </w:tc>
        <w:tc>
          <w:tcPr>
            <w:tcW w:w="5780" w:type="dxa"/>
            <w:vAlign w:val="bottom"/>
            <w:gridSpan w:val="3"/>
          </w:tcPr>
          <w:p>
            <w:pPr>
              <w:jc w:val="right"/>
              <w:ind w:right="1559"/>
              <w:spacing w:after="0"/>
              <w:rPr>
                <w:sz w:val="20"/>
                <w:szCs w:val="20"/>
                <w:color w:val="auto"/>
              </w:rPr>
            </w:pPr>
            <w:r>
              <w:rPr>
                <w:rFonts w:ascii="Arial" w:cs="Arial" w:eastAsia="Arial" w:hAnsi="Arial"/>
                <w:sz w:val="16"/>
                <w:szCs w:val="16"/>
                <w:b w:val="1"/>
                <w:bCs w:val="1"/>
                <w:color w:val="auto"/>
              </w:rPr>
              <w:t>87-0398877</w:t>
            </w:r>
          </w:p>
        </w:tc>
      </w:tr>
      <w:tr>
        <w:trPr>
          <w:trHeight w:val="47"/>
        </w:trPr>
        <w:tc>
          <w:tcPr>
            <w:tcW w:w="4620" w:type="dxa"/>
            <w:vAlign w:val="bottom"/>
            <w:tcBorders>
              <w:bottom w:val="single" w:sz="8" w:color="auto"/>
            </w:tcBorders>
          </w:tcPr>
          <w:p>
            <w:pPr>
              <w:spacing w:after="0"/>
              <w:rPr>
                <w:sz w:val="4"/>
                <w:szCs w:val="4"/>
                <w:color w:val="auto"/>
              </w:rPr>
            </w:pPr>
          </w:p>
        </w:tc>
        <w:tc>
          <w:tcPr>
            <w:tcW w:w="800" w:type="dxa"/>
            <w:vAlign w:val="bottom"/>
            <w:tcBorders>
              <w:bottom w:val="single" w:sz="8" w:color="auto"/>
            </w:tcBorders>
          </w:tcPr>
          <w:p>
            <w:pPr>
              <w:spacing w:after="0"/>
              <w:rPr>
                <w:sz w:val="4"/>
                <w:szCs w:val="4"/>
                <w:color w:val="auto"/>
              </w:rPr>
            </w:pPr>
          </w:p>
        </w:tc>
        <w:tc>
          <w:tcPr>
            <w:tcW w:w="920" w:type="dxa"/>
            <w:vAlign w:val="bottom"/>
          </w:tcPr>
          <w:p>
            <w:pPr>
              <w:spacing w:after="0"/>
              <w:rPr>
                <w:sz w:val="4"/>
                <w:szCs w:val="4"/>
                <w:color w:val="auto"/>
              </w:rPr>
            </w:pPr>
          </w:p>
        </w:tc>
        <w:tc>
          <w:tcPr>
            <w:tcW w:w="4060" w:type="dxa"/>
            <w:vAlign w:val="bottom"/>
            <w:tcBorders>
              <w:bottom w:val="single" w:sz="8" w:color="auto"/>
            </w:tcBorders>
          </w:tcPr>
          <w:p>
            <w:pPr>
              <w:spacing w:after="0"/>
              <w:rPr>
                <w:sz w:val="4"/>
                <w:szCs w:val="4"/>
                <w:color w:val="auto"/>
              </w:rPr>
            </w:pPr>
          </w:p>
        </w:tc>
      </w:tr>
      <w:tr>
        <w:trPr>
          <w:trHeight w:val="217"/>
        </w:trPr>
        <w:tc>
          <w:tcPr>
            <w:tcW w:w="4620" w:type="dxa"/>
            <w:vAlign w:val="bottom"/>
          </w:tcPr>
          <w:p>
            <w:pPr>
              <w:ind w:left="20"/>
              <w:spacing w:after="0"/>
              <w:rPr>
                <w:sz w:val="20"/>
                <w:szCs w:val="20"/>
                <w:color w:val="auto"/>
              </w:rPr>
            </w:pPr>
            <w:r>
              <w:rPr>
                <w:rFonts w:ascii="Arial" w:cs="Arial" w:eastAsia="Arial" w:hAnsi="Arial"/>
                <w:sz w:val="16"/>
                <w:szCs w:val="16"/>
                <w:color w:val="auto"/>
              </w:rPr>
              <w:t>(State or other jurisdiction of incorporation or organization)</w:t>
            </w:r>
          </w:p>
        </w:tc>
        <w:tc>
          <w:tcPr>
            <w:tcW w:w="8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060" w:type="dxa"/>
            <w:vAlign w:val="bottom"/>
          </w:tcPr>
          <w:p>
            <w:pPr>
              <w:ind w:left="20"/>
              <w:spacing w:after="0"/>
              <w:rPr>
                <w:sz w:val="20"/>
                <w:szCs w:val="20"/>
                <w:color w:val="auto"/>
              </w:rPr>
            </w:pPr>
            <w:r>
              <w:rPr>
                <w:rFonts w:ascii="Arial" w:cs="Arial" w:eastAsia="Arial" w:hAnsi="Arial"/>
                <w:sz w:val="16"/>
                <w:szCs w:val="16"/>
                <w:color w:val="auto"/>
              </w:rPr>
              <w:t>(I.R.S. employer identification number)</w:t>
            </w:r>
          </w:p>
        </w:tc>
      </w:tr>
      <w:tr>
        <w:trPr>
          <w:trHeight w:val="257"/>
        </w:trPr>
        <w:tc>
          <w:tcPr>
            <w:tcW w:w="4620" w:type="dxa"/>
            <w:vAlign w:val="bottom"/>
          </w:tcPr>
          <w:p>
            <w:pPr>
              <w:jc w:val="center"/>
              <w:ind w:left="719"/>
              <w:spacing w:after="0"/>
              <w:rPr>
                <w:sz w:val="20"/>
                <w:szCs w:val="20"/>
                <w:color w:val="auto"/>
              </w:rPr>
            </w:pPr>
            <w:r>
              <w:rPr>
                <w:rFonts w:ascii="Arial" w:cs="Arial" w:eastAsia="Arial" w:hAnsi="Arial"/>
                <w:sz w:val="16"/>
                <w:szCs w:val="16"/>
                <w:b w:val="1"/>
                <w:bCs w:val="1"/>
                <w:color w:val="auto"/>
                <w:w w:val="92"/>
              </w:rPr>
              <w:t>5225 Wiley Post Way, Suite 500, Salt Lake City, Utah</w:t>
            </w:r>
          </w:p>
        </w:tc>
        <w:tc>
          <w:tcPr>
            <w:tcW w:w="5780" w:type="dxa"/>
            <w:vAlign w:val="bottom"/>
            <w:gridSpan w:val="3"/>
          </w:tcPr>
          <w:p>
            <w:pPr>
              <w:jc w:val="right"/>
              <w:ind w:right="1759"/>
              <w:spacing w:after="0"/>
              <w:rPr>
                <w:sz w:val="20"/>
                <w:szCs w:val="20"/>
                <w:color w:val="auto"/>
              </w:rPr>
            </w:pPr>
            <w:r>
              <w:rPr>
                <w:rFonts w:ascii="Arial" w:cs="Arial" w:eastAsia="Arial" w:hAnsi="Arial"/>
                <w:sz w:val="16"/>
                <w:szCs w:val="16"/>
                <w:b w:val="1"/>
                <w:bCs w:val="1"/>
                <w:color w:val="auto"/>
              </w:rPr>
              <w:t>84116</w:t>
            </w:r>
          </w:p>
        </w:tc>
      </w:tr>
      <w:tr>
        <w:trPr>
          <w:trHeight w:val="47"/>
        </w:trPr>
        <w:tc>
          <w:tcPr>
            <w:tcW w:w="4620" w:type="dxa"/>
            <w:vAlign w:val="bottom"/>
            <w:tcBorders>
              <w:bottom w:val="single" w:sz="8" w:color="auto"/>
            </w:tcBorders>
          </w:tcPr>
          <w:p>
            <w:pPr>
              <w:spacing w:after="0"/>
              <w:rPr>
                <w:sz w:val="4"/>
                <w:szCs w:val="4"/>
                <w:color w:val="auto"/>
              </w:rPr>
            </w:pPr>
          </w:p>
        </w:tc>
        <w:tc>
          <w:tcPr>
            <w:tcW w:w="800" w:type="dxa"/>
            <w:vAlign w:val="bottom"/>
            <w:tcBorders>
              <w:bottom w:val="single" w:sz="8" w:color="auto"/>
            </w:tcBorders>
          </w:tcPr>
          <w:p>
            <w:pPr>
              <w:spacing w:after="0"/>
              <w:rPr>
                <w:sz w:val="4"/>
                <w:szCs w:val="4"/>
                <w:color w:val="auto"/>
              </w:rPr>
            </w:pPr>
          </w:p>
        </w:tc>
        <w:tc>
          <w:tcPr>
            <w:tcW w:w="920" w:type="dxa"/>
            <w:vAlign w:val="bottom"/>
          </w:tcPr>
          <w:p>
            <w:pPr>
              <w:spacing w:after="0"/>
              <w:rPr>
                <w:sz w:val="4"/>
                <w:szCs w:val="4"/>
                <w:color w:val="auto"/>
              </w:rPr>
            </w:pPr>
          </w:p>
        </w:tc>
        <w:tc>
          <w:tcPr>
            <w:tcW w:w="4060" w:type="dxa"/>
            <w:vAlign w:val="bottom"/>
            <w:tcBorders>
              <w:bottom w:val="single" w:sz="8" w:color="auto"/>
            </w:tcBorders>
          </w:tcPr>
          <w:p>
            <w:pPr>
              <w:spacing w:after="0"/>
              <w:rPr>
                <w:sz w:val="4"/>
                <w:szCs w:val="4"/>
                <w:color w:val="auto"/>
              </w:rPr>
            </w:pPr>
          </w:p>
        </w:tc>
      </w:tr>
      <w:tr>
        <w:trPr>
          <w:trHeight w:val="217"/>
        </w:trPr>
        <w:tc>
          <w:tcPr>
            <w:tcW w:w="4620" w:type="dxa"/>
            <w:vAlign w:val="bottom"/>
          </w:tcPr>
          <w:p>
            <w:pPr>
              <w:jc w:val="center"/>
              <w:ind w:left="699"/>
              <w:spacing w:after="0"/>
              <w:rPr>
                <w:sz w:val="20"/>
                <w:szCs w:val="20"/>
                <w:color w:val="auto"/>
              </w:rPr>
            </w:pPr>
            <w:r>
              <w:rPr>
                <w:rFonts w:ascii="Arial" w:cs="Arial" w:eastAsia="Arial" w:hAnsi="Arial"/>
                <w:sz w:val="16"/>
                <w:szCs w:val="16"/>
                <w:color w:val="auto"/>
                <w:w w:val="93"/>
              </w:rPr>
              <w:t>(Address of principal executive offices)</w:t>
            </w:r>
          </w:p>
        </w:tc>
        <w:tc>
          <w:tcPr>
            <w:tcW w:w="8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060" w:type="dxa"/>
            <w:vAlign w:val="bottom"/>
          </w:tcPr>
          <w:p>
            <w:pPr>
              <w:ind w:left="1660"/>
              <w:spacing w:after="0"/>
              <w:rPr>
                <w:sz w:val="20"/>
                <w:szCs w:val="20"/>
                <w:color w:val="auto"/>
              </w:rPr>
            </w:pPr>
            <w:r>
              <w:rPr>
                <w:rFonts w:ascii="Arial" w:cs="Arial" w:eastAsia="Arial" w:hAnsi="Arial"/>
                <w:sz w:val="16"/>
                <w:szCs w:val="16"/>
                <w:color w:val="auto"/>
              </w:rPr>
              <w:t>(Zip Code)</w:t>
            </w:r>
          </w:p>
        </w:tc>
      </w:tr>
      <w:tr>
        <w:trPr>
          <w:trHeight w:val="257"/>
        </w:trPr>
        <w:tc>
          <w:tcPr>
            <w:tcW w:w="4620" w:type="dxa"/>
            <w:vAlign w:val="bottom"/>
          </w:tcPr>
          <w:p>
            <w:pPr>
              <w:spacing w:after="0"/>
              <w:rPr>
                <w:sz w:val="22"/>
                <w:szCs w:val="22"/>
                <w:color w:val="auto"/>
              </w:rPr>
            </w:pPr>
          </w:p>
        </w:tc>
        <w:tc>
          <w:tcPr>
            <w:tcW w:w="1720" w:type="dxa"/>
            <w:vAlign w:val="bottom"/>
            <w:gridSpan w:val="2"/>
          </w:tcPr>
          <w:p>
            <w:pPr>
              <w:jc w:val="right"/>
              <w:ind w:right="640"/>
              <w:spacing w:after="0"/>
              <w:rPr>
                <w:sz w:val="20"/>
                <w:szCs w:val="20"/>
                <w:color w:val="auto"/>
              </w:rPr>
            </w:pPr>
            <w:r>
              <w:rPr>
                <w:rFonts w:ascii="Arial" w:cs="Arial" w:eastAsia="Arial" w:hAnsi="Arial"/>
                <w:sz w:val="16"/>
                <w:szCs w:val="16"/>
                <w:b w:val="1"/>
                <w:bCs w:val="1"/>
                <w:color w:val="auto"/>
                <w:w w:val="96"/>
              </w:rPr>
              <w:t>(801) 975-7200</w:t>
            </w:r>
          </w:p>
        </w:tc>
        <w:tc>
          <w:tcPr>
            <w:tcW w:w="4060" w:type="dxa"/>
            <w:vAlign w:val="bottom"/>
          </w:tcPr>
          <w:p>
            <w:pPr>
              <w:spacing w:after="0"/>
              <w:rPr>
                <w:sz w:val="22"/>
                <w:szCs w:val="22"/>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330835</wp:posOffset>
            </wp:positionH>
            <wp:positionV relativeFrom="paragraph">
              <wp:posOffset>20955</wp:posOffset>
            </wp:positionV>
            <wp:extent cx="660336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603365" cy="8890"/>
                    </a:xfrm>
                    <a:prstGeom prst="rect">
                      <a:avLst/>
                    </a:prstGeom>
                    <a:noFill/>
                  </pic:spPr>
                </pic:pic>
              </a:graphicData>
            </a:graphic>
          </wp:anchor>
        </w:drawing>
      </w:r>
    </w:p>
    <w:p>
      <w:pPr>
        <w:spacing w:after="0" w:line="44" w:lineRule="exact"/>
        <w:rPr>
          <w:sz w:val="24"/>
          <w:szCs w:val="24"/>
          <w:color w:val="auto"/>
        </w:rPr>
      </w:pPr>
    </w:p>
    <w:p>
      <w:pPr>
        <w:jc w:val="center"/>
        <w:ind w:right="20"/>
        <w:spacing w:after="0"/>
        <w:rPr>
          <w:sz w:val="20"/>
          <w:szCs w:val="20"/>
          <w:color w:val="auto"/>
        </w:rPr>
      </w:pPr>
      <w:r>
        <w:rPr>
          <w:rFonts w:ascii="Arial" w:cs="Arial" w:eastAsia="Arial" w:hAnsi="Arial"/>
          <w:sz w:val="16"/>
          <w:szCs w:val="16"/>
          <w:color w:val="auto"/>
        </w:rPr>
        <w:t>(Registrant’s telephone number, including area code)</w:t>
      </w:r>
    </w:p>
    <w:p>
      <w:pPr>
        <w:spacing w:after="0" w:line="262" w:lineRule="exact"/>
        <w:rPr>
          <w:sz w:val="24"/>
          <w:szCs w:val="24"/>
          <w:color w:val="auto"/>
        </w:rPr>
      </w:pPr>
    </w:p>
    <w:p>
      <w:pPr>
        <w:spacing w:after="0" w:line="349" w:lineRule="auto"/>
        <w:rPr>
          <w:sz w:val="20"/>
          <w:szCs w:val="20"/>
          <w:color w:val="auto"/>
        </w:rPr>
      </w:pPr>
      <w:r>
        <w:rPr>
          <w:rFonts w:ascii="Arial" w:cs="Arial" w:eastAsia="Arial" w:hAnsi="Arial"/>
          <w:sz w:val="14"/>
          <w:szCs w:val="14"/>
          <w:color w:val="auto"/>
        </w:rPr>
        <w:t>Indicate by check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[x] No [ ]</w:t>
      </w:r>
    </w:p>
    <w:p>
      <w:pPr>
        <w:spacing w:after="0" w:line="99" w:lineRule="exact"/>
        <w:rPr>
          <w:sz w:val="24"/>
          <w:szCs w:val="24"/>
          <w:color w:val="auto"/>
        </w:rPr>
      </w:pPr>
    </w:p>
    <w:p>
      <w:pPr>
        <w:jc w:val="both"/>
        <w:ind w:right="20"/>
        <w:spacing w:after="0" w:line="261" w:lineRule="auto"/>
        <w:rPr>
          <w:sz w:val="20"/>
          <w:szCs w:val="20"/>
          <w:color w:val="auto"/>
        </w:rPr>
      </w:pPr>
      <w:r>
        <w:rPr>
          <w:rFonts w:ascii="Arial" w:cs="Arial" w:eastAsia="Arial" w:hAnsi="Arial"/>
          <w:sz w:val="16"/>
          <w:szCs w:val="16"/>
          <w:color w:val="auto"/>
        </w:rPr>
        <w:t>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 Yes [x] No [ ]</w:t>
      </w:r>
    </w:p>
    <w:p>
      <w:pPr>
        <w:spacing w:after="0" w:line="156" w:lineRule="exact"/>
        <w:rPr>
          <w:sz w:val="24"/>
          <w:szCs w:val="24"/>
          <w:color w:val="auto"/>
        </w:rPr>
      </w:pPr>
    </w:p>
    <w:p>
      <w:pPr>
        <w:spacing w:after="0"/>
        <w:rPr>
          <w:sz w:val="20"/>
          <w:szCs w:val="20"/>
          <w:color w:val="auto"/>
        </w:rPr>
      </w:pPr>
      <w:r>
        <w:rPr>
          <w:rFonts w:ascii="Arial" w:cs="Arial" w:eastAsia="Arial" w:hAnsi="Arial"/>
          <w:sz w:val="16"/>
          <w:szCs w:val="16"/>
          <w:color w:val="auto"/>
        </w:rPr>
        <w:t>See the definition of “large accelerated filer, “accelerated filer” and “smaller reporting company” in Rule 12b-2 of the Exchange Act. (Check one):</w:t>
      </w:r>
    </w:p>
    <w:p>
      <w:pPr>
        <w:sectPr>
          <w:pgSz w:w="11900" w:h="16838" w:orient="portrait"/>
          <w:cols w:equalWidth="0" w:num="1">
            <w:col w:w="11400"/>
          </w:cols>
          <w:pgMar w:left="240" w:top="234" w:right="259" w:bottom="1440" w:gutter="0" w:footer="0" w:header="0"/>
        </w:sectPr>
      </w:pPr>
    </w:p>
    <w:p>
      <w:pPr>
        <w:spacing w:after="0" w:line="167" w:lineRule="exact"/>
        <w:rPr>
          <w:sz w:val="24"/>
          <w:szCs w:val="24"/>
          <w:color w:val="auto"/>
        </w:rPr>
      </w:pPr>
    </w:p>
    <w:p>
      <w:pPr>
        <w:ind w:left="40"/>
        <w:spacing w:after="0"/>
        <w:rPr>
          <w:sz w:val="20"/>
          <w:szCs w:val="20"/>
          <w:color w:val="auto"/>
        </w:rPr>
      </w:pPr>
      <w:r>
        <w:rPr>
          <w:rFonts w:ascii="Arial" w:cs="Arial" w:eastAsia="Arial" w:hAnsi="Arial"/>
          <w:sz w:val="15"/>
          <w:szCs w:val="15"/>
          <w:color w:val="auto"/>
        </w:rPr>
        <w:t>Larger Accelerated Filer [ ]</w:t>
      </w:r>
    </w:p>
    <w:p>
      <w:pPr>
        <w:spacing w:after="0" w:line="20" w:lineRule="exact"/>
        <w:rPr>
          <w:sz w:val="24"/>
          <w:szCs w:val="24"/>
          <w:color w:val="auto"/>
        </w:rPr>
      </w:pPr>
      <w:r>
        <w:rPr>
          <w:sz w:val="24"/>
          <w:szCs w:val="24"/>
          <w:color w:val="auto"/>
        </w:rPr>
        <w:br w:type="column"/>
      </w:r>
    </w:p>
    <w:p>
      <w:pPr>
        <w:spacing w:after="0" w:line="147" w:lineRule="exact"/>
        <w:rPr>
          <w:sz w:val="24"/>
          <w:szCs w:val="24"/>
          <w:color w:val="auto"/>
        </w:rPr>
      </w:pPr>
    </w:p>
    <w:p>
      <w:pPr>
        <w:spacing w:after="0"/>
        <w:rPr>
          <w:sz w:val="20"/>
          <w:szCs w:val="20"/>
          <w:color w:val="auto"/>
        </w:rPr>
      </w:pPr>
      <w:r>
        <w:rPr>
          <w:rFonts w:ascii="Arial" w:cs="Arial" w:eastAsia="Arial" w:hAnsi="Arial"/>
          <w:sz w:val="15"/>
          <w:szCs w:val="15"/>
          <w:color w:val="auto"/>
        </w:rPr>
        <w:t>Accelerated Filer [ ]</w:t>
      </w:r>
    </w:p>
    <w:p>
      <w:pPr>
        <w:spacing w:after="0" w:line="165" w:lineRule="exact"/>
        <w:rPr>
          <w:sz w:val="24"/>
          <w:szCs w:val="24"/>
          <w:color w:val="auto"/>
        </w:rPr>
      </w:pPr>
    </w:p>
    <w:p>
      <w:pPr>
        <w:sectPr>
          <w:pgSz w:w="11900" w:h="16838" w:orient="portrait"/>
          <w:cols w:equalWidth="0" w:num="2">
            <w:col w:w="6080" w:space="720"/>
            <w:col w:w="4600"/>
          </w:cols>
          <w:pgMar w:left="240" w:top="234" w:right="259" w:bottom="1440" w:gutter="0" w:footer="0" w:header="0"/>
          <w:type w:val="continuous"/>
        </w:sectPr>
      </w:pPr>
    </w:p>
    <w:p>
      <w:pPr>
        <w:ind w:left="40"/>
        <w:spacing w:after="0"/>
        <w:rPr>
          <w:sz w:val="20"/>
          <w:szCs w:val="20"/>
          <w:color w:val="auto"/>
        </w:rPr>
      </w:pPr>
      <w:r>
        <w:rPr>
          <w:rFonts w:ascii="Arial" w:cs="Arial" w:eastAsia="Arial" w:hAnsi="Arial"/>
          <w:sz w:val="15"/>
          <w:szCs w:val="15"/>
          <w:color w:val="auto"/>
        </w:rPr>
        <w:t>Non-Accelerated Filer [ ] (Do not check if a smaller reporting company)</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Smaller Reporting Company</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6"/>
          <w:szCs w:val="16"/>
          <w:color w:val="auto"/>
        </w:rPr>
        <w:t>[x]</w:t>
      </w:r>
    </w:p>
    <w:p>
      <w:pPr>
        <w:spacing w:after="0" w:line="200" w:lineRule="exact"/>
        <w:rPr>
          <w:sz w:val="24"/>
          <w:szCs w:val="24"/>
          <w:color w:val="auto"/>
        </w:rPr>
      </w:pPr>
    </w:p>
    <w:p>
      <w:pPr>
        <w:sectPr>
          <w:pgSz w:w="11900" w:h="16838" w:orient="portrait"/>
          <w:cols w:equalWidth="0" w:num="3">
            <w:col w:w="6080" w:space="720"/>
            <w:col w:w="1860" w:space="120"/>
            <w:col w:w="2620"/>
          </w:cols>
          <w:pgMar w:left="240" w:top="234" w:right="259" w:bottom="1440" w:gutter="0" w:footer="0" w:header="0"/>
          <w:type w:val="continuous"/>
        </w:sectPr>
      </w:pPr>
    </w:p>
    <w:p>
      <w:pPr>
        <w:spacing w:after="0" w:line="116" w:lineRule="exact"/>
        <w:rPr>
          <w:sz w:val="24"/>
          <w:szCs w:val="24"/>
          <w:color w:val="auto"/>
        </w:rPr>
      </w:pPr>
    </w:p>
    <w:p>
      <w:pPr>
        <w:spacing w:after="0"/>
        <w:rPr>
          <w:sz w:val="20"/>
          <w:szCs w:val="20"/>
          <w:color w:val="auto"/>
        </w:rPr>
      </w:pPr>
      <w:r>
        <w:rPr>
          <w:rFonts w:ascii="Arial" w:cs="Arial" w:eastAsia="Arial" w:hAnsi="Arial"/>
          <w:sz w:val="16"/>
          <w:szCs w:val="16"/>
          <w:color w:val="auto"/>
        </w:rPr>
        <w:t>Indicate by check mark whether the registrant is a shell company (as defined in Rule 12b-2 of the Exchange Act). Yes [ ] No [x]</w:t>
      </w:r>
    </w:p>
    <w:p>
      <w:pPr>
        <w:spacing w:after="0" w:line="194" w:lineRule="exact"/>
        <w:rPr>
          <w:sz w:val="24"/>
          <w:szCs w:val="24"/>
          <w:color w:val="auto"/>
        </w:rPr>
      </w:pPr>
    </w:p>
    <w:p>
      <w:pPr>
        <w:jc w:val="center"/>
        <w:ind w:right="-39"/>
        <w:spacing w:after="0"/>
        <w:rPr>
          <w:sz w:val="20"/>
          <w:szCs w:val="20"/>
          <w:color w:val="auto"/>
        </w:rPr>
      </w:pPr>
      <w:r>
        <w:rPr>
          <w:rFonts w:ascii="Arial" w:cs="Arial" w:eastAsia="Arial" w:hAnsi="Arial"/>
          <w:sz w:val="16"/>
          <w:szCs w:val="16"/>
          <w:color w:val="auto"/>
        </w:rPr>
        <w:t>APPLICABLE ONLY TO CORPORATE ISSUERS:</w:t>
      </w:r>
    </w:p>
    <w:p>
      <w:pPr>
        <w:spacing w:after="0" w:line="194" w:lineRule="exact"/>
        <w:rPr>
          <w:sz w:val="24"/>
          <w:szCs w:val="24"/>
          <w:color w:val="auto"/>
        </w:rPr>
      </w:pPr>
    </w:p>
    <w:p>
      <w:pPr>
        <w:ind w:right="440"/>
        <w:spacing w:after="0" w:line="275" w:lineRule="auto"/>
        <w:rPr>
          <w:sz w:val="20"/>
          <w:szCs w:val="20"/>
          <w:color w:val="auto"/>
        </w:rPr>
      </w:pPr>
      <w:r>
        <w:rPr>
          <w:rFonts w:ascii="Arial" w:cs="Arial" w:eastAsia="Arial" w:hAnsi="Arial"/>
          <w:sz w:val="16"/>
          <w:szCs w:val="16"/>
          <w:color w:val="auto"/>
        </w:rPr>
        <w:t>Indicate the number of shares outstanding of each of the issuer’s classes of common stock, as of the latest practicable date. 9,143,090 shares issued and outstanding as of October 24, 2014.</w:t>
      </w:r>
    </w:p>
    <w:p>
      <w:pPr>
        <w:sectPr>
          <w:pgSz w:w="11900" w:h="16838" w:orient="portrait"/>
          <w:cols w:equalWidth="0" w:num="1">
            <w:col w:w="11400"/>
          </w:cols>
          <w:pgMar w:left="240" w:top="234" w:right="259" w:bottom="1440" w:gutter="0" w:footer="0" w:header="0"/>
          <w:type w:val="continuous"/>
        </w:sectPr>
      </w:pPr>
    </w:p>
    <w:bookmarkStart w:id="1" w:name="page2"/>
    <w:bookmarkEnd w:id="1"/>
    <w:p>
      <w:pPr>
        <w:jc w:val="center"/>
        <w:ind w:right="-379"/>
        <w:spacing w:after="0"/>
        <w:rPr>
          <w:sz w:val="20"/>
          <w:szCs w:val="20"/>
          <w:color w:val="auto"/>
        </w:rPr>
      </w:pPr>
      <w:r>
        <w:rPr>
          <w:rFonts w:ascii="Arial" w:cs="Arial" w:eastAsia="Arial" w:hAnsi="Arial"/>
          <w:sz w:val="18"/>
          <w:szCs w:val="18"/>
          <w:b w:val="1"/>
          <w:bCs w:val="1"/>
          <w:color w:val="auto"/>
        </w:rPr>
        <w:t>CLEARONE, INC.</w:t>
      </w:r>
    </w:p>
    <w:p>
      <w:pPr>
        <w:spacing w:after="0" w:line="225" w:lineRule="exact"/>
        <w:rPr>
          <w:sz w:val="20"/>
          <w:szCs w:val="20"/>
          <w:color w:val="auto"/>
        </w:rPr>
      </w:pPr>
    </w:p>
    <w:p>
      <w:pPr>
        <w:jc w:val="center"/>
        <w:ind w:right="-379"/>
        <w:spacing w:after="0"/>
        <w:rPr>
          <w:sz w:val="20"/>
          <w:szCs w:val="20"/>
          <w:color w:val="auto"/>
        </w:rPr>
      </w:pPr>
      <w:r>
        <w:rPr>
          <w:rFonts w:ascii="Arial" w:cs="Arial" w:eastAsia="Arial" w:hAnsi="Arial"/>
          <w:sz w:val="18"/>
          <w:szCs w:val="18"/>
          <w:b w:val="1"/>
          <w:bCs w:val="1"/>
          <w:color w:val="auto"/>
        </w:rPr>
        <w:t>QUARTERLY REPORT ON FORM 10-Q FOR THE QUARTER ENDED SEPTEMBER 30, 2014</w:t>
      </w:r>
    </w:p>
    <w:p>
      <w:pPr>
        <w:spacing w:after="0" w:line="225" w:lineRule="exact"/>
        <w:rPr>
          <w:sz w:val="20"/>
          <w:szCs w:val="20"/>
          <w:color w:val="auto"/>
        </w:rPr>
      </w:pPr>
    </w:p>
    <w:p>
      <w:pPr>
        <w:jc w:val="center"/>
        <w:ind w:right="-379"/>
        <w:spacing w:after="0"/>
        <w:rPr>
          <w:sz w:val="20"/>
          <w:szCs w:val="20"/>
          <w:color w:val="auto"/>
        </w:rPr>
      </w:pPr>
      <w:r>
        <w:rPr>
          <w:rFonts w:ascii="Arial" w:cs="Arial" w:eastAsia="Arial" w:hAnsi="Arial"/>
          <w:sz w:val="18"/>
          <w:szCs w:val="18"/>
          <w:b w:val="1"/>
          <w:bCs w:val="1"/>
          <w:color w:val="auto"/>
        </w:rPr>
        <w:t>INDEX</w:t>
      </w:r>
    </w:p>
    <w:p>
      <w:pPr>
        <w:spacing w:after="0" w:line="38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6860" w:type="dxa"/>
            <w:vAlign w:val="bottom"/>
            <w:gridSpan w:val="6"/>
          </w:tcPr>
          <w:p>
            <w:pPr>
              <w:jc w:val="center"/>
              <w:ind w:right="2100"/>
              <w:spacing w:after="0"/>
              <w:rPr>
                <w:sz w:val="20"/>
                <w:szCs w:val="20"/>
                <w:color w:val="auto"/>
              </w:rPr>
            </w:pPr>
            <w:r>
              <w:rPr>
                <w:rFonts w:ascii="Arial" w:cs="Arial" w:eastAsia="Arial" w:hAnsi="Arial"/>
                <w:sz w:val="18"/>
                <w:szCs w:val="18"/>
                <w:b w:val="1"/>
                <w:bCs w:val="1"/>
                <w:color w:val="auto"/>
              </w:rPr>
              <w:t>PART I – FINANCIAL INFORMATION</w:t>
            </w:r>
          </w:p>
        </w:tc>
        <w:tc>
          <w:tcPr>
            <w:tcW w:w="7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r>
      <w:tr>
        <w:trPr>
          <w:trHeight w:val="338"/>
        </w:trPr>
        <w:tc>
          <w:tcPr>
            <w:tcW w:w="920" w:type="dxa"/>
            <w:vAlign w:val="bottom"/>
            <w:gridSpan w:val="3"/>
          </w:tcPr>
          <w:p>
            <w:pPr>
              <w:spacing w:after="0"/>
              <w:rPr>
                <w:rFonts w:ascii="Arial" w:cs="Arial" w:eastAsia="Arial" w:hAnsi="Arial"/>
                <w:sz w:val="18"/>
                <w:szCs w:val="18"/>
                <w:color w:val="0000FF"/>
              </w:rPr>
            </w:pPr>
            <w:hyperlink w:anchor="page3">
              <w:r>
                <w:rPr>
                  <w:rFonts w:ascii="Arial" w:cs="Arial" w:eastAsia="Arial" w:hAnsi="Arial"/>
                  <w:sz w:val="18"/>
                  <w:szCs w:val="18"/>
                  <w:color w:val="0000FF"/>
                </w:rPr>
                <w:t>Item 1.</w:t>
              </w:r>
            </w:hyperlink>
          </w:p>
        </w:tc>
        <w:tc>
          <w:tcPr>
            <w:tcW w:w="9180" w:type="dxa"/>
            <w:vAlign w:val="bottom"/>
            <w:gridSpan w:val="13"/>
          </w:tcPr>
          <w:p>
            <w:pPr>
              <w:spacing w:after="0"/>
              <w:rPr>
                <w:rFonts w:ascii="Arial" w:cs="Arial" w:eastAsia="Arial" w:hAnsi="Arial"/>
                <w:sz w:val="18"/>
                <w:szCs w:val="18"/>
                <w:color w:val="0000FF"/>
              </w:rPr>
            </w:pPr>
            <w:hyperlink w:anchor="page3">
              <w:r>
                <w:rPr>
                  <w:rFonts w:ascii="Arial" w:cs="Arial" w:eastAsia="Arial" w:hAnsi="Arial"/>
                  <w:sz w:val="18"/>
                  <w:szCs w:val="18"/>
                  <w:color w:val="0000FF"/>
                </w:rPr>
                <w:t>Financial Statements</w:t>
              </w:r>
            </w:hyperlink>
          </w:p>
        </w:tc>
        <w:tc>
          <w:tcPr>
            <w:tcW w:w="860" w:type="dxa"/>
            <w:vAlign w:val="bottom"/>
            <w:gridSpan w:val="3"/>
          </w:tcPr>
          <w:p>
            <w:pPr>
              <w:jc w:val="center"/>
              <w:ind w:left="590"/>
              <w:spacing w:after="0"/>
              <w:rPr>
                <w:rFonts w:ascii="Arial" w:cs="Arial" w:eastAsia="Arial" w:hAnsi="Arial"/>
                <w:sz w:val="18"/>
                <w:szCs w:val="18"/>
                <w:color w:val="0000FF"/>
                <w:w w:val="99"/>
              </w:rPr>
            </w:pPr>
            <w:hyperlink w:anchor="page3">
              <w:r>
                <w:rPr>
                  <w:rFonts w:ascii="Arial" w:cs="Arial" w:eastAsia="Arial" w:hAnsi="Arial"/>
                  <w:sz w:val="18"/>
                  <w:szCs w:val="18"/>
                  <w:color w:val="0000FF"/>
                  <w:w w:val="99"/>
                </w:rPr>
                <w:t>1</w:t>
              </w:r>
            </w:hyperlink>
          </w:p>
        </w:tc>
      </w:tr>
      <w:tr>
        <w:trPr>
          <w:trHeight w:val="20"/>
        </w:trPr>
        <w:tc>
          <w:tcPr>
            <w:tcW w:w="500" w:type="dxa"/>
            <w:vAlign w:val="bottom"/>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00" w:type="dxa"/>
            <w:vAlign w:val="bottom"/>
            <w:tcBorders>
              <w:left w:val="single" w:sz="8" w:color="0000FF"/>
            </w:tcBorders>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439"/>
        </w:trPr>
        <w:tc>
          <w:tcPr>
            <w:tcW w:w="5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180" w:type="dxa"/>
            <w:vAlign w:val="bottom"/>
            <w:gridSpan w:val="13"/>
          </w:tcPr>
          <w:p>
            <w:pPr>
              <w:spacing w:after="0"/>
              <w:rPr>
                <w:sz w:val="20"/>
                <w:szCs w:val="20"/>
                <w:color w:val="auto"/>
              </w:rPr>
            </w:pPr>
            <w:r>
              <w:rPr>
                <w:rFonts w:ascii="Arial" w:cs="Arial" w:eastAsia="Arial" w:hAnsi="Arial"/>
                <w:sz w:val="18"/>
                <w:szCs w:val="18"/>
                <w:color w:val="0000FF"/>
              </w:rPr>
              <w:t>Condensed Consolidated Balance Sheets as of September 30, 2014 (Unaudited) and December 31, 2013</w:t>
            </w:r>
          </w:p>
        </w:tc>
        <w:tc>
          <w:tcPr>
            <w:tcW w:w="860" w:type="dxa"/>
            <w:vAlign w:val="bottom"/>
            <w:gridSpan w:val="3"/>
          </w:tcPr>
          <w:p>
            <w:pPr>
              <w:jc w:val="center"/>
              <w:ind w:left="590"/>
              <w:spacing w:after="0"/>
              <w:rPr>
                <w:rFonts w:ascii="Arial" w:cs="Arial" w:eastAsia="Arial" w:hAnsi="Arial"/>
                <w:sz w:val="18"/>
                <w:szCs w:val="18"/>
                <w:color w:val="0000FF"/>
                <w:w w:val="99"/>
              </w:rPr>
            </w:pPr>
            <w:hyperlink w:anchor="page3">
              <w:r>
                <w:rPr>
                  <w:rFonts w:ascii="Arial" w:cs="Arial" w:eastAsia="Arial" w:hAnsi="Arial"/>
                  <w:sz w:val="18"/>
                  <w:szCs w:val="18"/>
                  <w:color w:val="0000FF"/>
                  <w:w w:val="99"/>
                </w:rPr>
                <w:t>1</w:t>
              </w:r>
            </w:hyperlink>
          </w:p>
        </w:tc>
      </w:tr>
      <w:tr>
        <w:trPr>
          <w:trHeight w:val="20"/>
        </w:trPr>
        <w:tc>
          <w:tcPr>
            <w:tcW w:w="5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gridSpan w:val="2"/>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2020" w:type="dxa"/>
            <w:vAlign w:val="bottom"/>
            <w:shd w:val="clear" w:color="auto" w:fill="0000FF"/>
          </w:tcPr>
          <w:p>
            <w:pPr>
              <w:spacing w:after="0" w:line="20" w:lineRule="exact"/>
              <w:rPr>
                <w:sz w:val="1"/>
                <w:szCs w:val="1"/>
                <w:color w:val="auto"/>
              </w:rPr>
            </w:pPr>
          </w:p>
        </w:tc>
        <w:tc>
          <w:tcPr>
            <w:tcW w:w="560" w:type="dxa"/>
            <w:vAlign w:val="bottom"/>
            <w:tcBorders>
              <w:left w:val="single" w:sz="8" w:color="0000FF"/>
            </w:tcBorders>
            <w:shd w:val="clear" w:color="auto" w:fill="0000FF"/>
          </w:tcPr>
          <w:p>
            <w:pPr>
              <w:spacing w:after="0" w:line="20" w:lineRule="exact"/>
              <w:rPr>
                <w:sz w:val="1"/>
                <w:szCs w:val="1"/>
                <w:color w:val="auto"/>
              </w:rPr>
            </w:pPr>
          </w:p>
        </w:tc>
        <w:tc>
          <w:tcPr>
            <w:tcW w:w="1520" w:type="dxa"/>
            <w:vAlign w:val="bottom"/>
            <w:shd w:val="clear" w:color="auto" w:fill="0000FF"/>
          </w:tcPr>
          <w:p>
            <w:pPr>
              <w:spacing w:after="0" w:line="20" w:lineRule="exact"/>
              <w:rPr>
                <w:sz w:val="1"/>
                <w:szCs w:val="1"/>
                <w:color w:val="auto"/>
              </w:rPr>
            </w:pPr>
          </w:p>
        </w:tc>
        <w:tc>
          <w:tcPr>
            <w:tcW w:w="1060" w:type="dxa"/>
            <w:vAlign w:val="bottom"/>
            <w:shd w:val="clear" w:color="auto" w:fill="0000FF"/>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439"/>
        </w:trPr>
        <w:tc>
          <w:tcPr>
            <w:tcW w:w="5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180" w:type="dxa"/>
            <w:vAlign w:val="bottom"/>
            <w:gridSpan w:val="13"/>
          </w:tcPr>
          <w:p>
            <w:pPr>
              <w:spacing w:after="0"/>
              <w:rPr>
                <w:sz w:val="20"/>
                <w:szCs w:val="20"/>
                <w:color w:val="auto"/>
              </w:rPr>
            </w:pPr>
            <w:r>
              <w:rPr>
                <w:rFonts w:ascii="Arial" w:cs="Arial" w:eastAsia="Arial" w:hAnsi="Arial"/>
                <w:sz w:val="18"/>
                <w:szCs w:val="18"/>
                <w:color w:val="0000FF"/>
                <w:w w:val="88"/>
              </w:rPr>
              <w:t>Condensed Consolidated Statements of Income and Comprehensive Income for the three and nine months ended September 30,</w:t>
            </w:r>
          </w:p>
        </w:tc>
        <w:tc>
          <w:tcPr>
            <w:tcW w:w="860" w:type="dxa"/>
            <w:vAlign w:val="bottom"/>
            <w:gridSpan w:val="3"/>
          </w:tcPr>
          <w:p>
            <w:pPr>
              <w:jc w:val="center"/>
              <w:ind w:left="590"/>
              <w:spacing w:after="0"/>
              <w:rPr>
                <w:rFonts w:ascii="Arial" w:cs="Arial" w:eastAsia="Arial" w:hAnsi="Arial"/>
                <w:sz w:val="18"/>
                <w:szCs w:val="18"/>
                <w:color w:val="0000FF"/>
                <w:w w:val="99"/>
              </w:rPr>
            </w:pPr>
            <w:hyperlink w:anchor="page3">
              <w:r>
                <w:rPr>
                  <w:rFonts w:ascii="Arial" w:cs="Arial" w:eastAsia="Arial" w:hAnsi="Arial"/>
                  <w:sz w:val="18"/>
                  <w:szCs w:val="18"/>
                  <w:color w:val="0000FF"/>
                  <w:w w:val="99"/>
                </w:rPr>
                <w:t>2</w:t>
              </w:r>
            </w:hyperlink>
          </w:p>
        </w:tc>
      </w:tr>
      <w:tr>
        <w:trPr>
          <w:trHeight w:val="196"/>
        </w:trPr>
        <w:tc>
          <w:tcPr>
            <w:tcW w:w="5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980" w:type="dxa"/>
            <w:vAlign w:val="bottom"/>
            <w:tcBorders>
              <w:top w:val="single" w:sz="8" w:color="0000FF"/>
              <w:bottom w:val="single" w:sz="8" w:color="0000FF"/>
            </w:tcBorders>
            <w:gridSpan w:val="6"/>
          </w:tcPr>
          <w:p>
            <w:pPr>
              <w:spacing w:after="0" w:line="196" w:lineRule="exact"/>
              <w:rPr>
                <w:rFonts w:ascii="Arial" w:cs="Arial" w:eastAsia="Arial" w:hAnsi="Arial"/>
                <w:sz w:val="18"/>
                <w:szCs w:val="18"/>
                <w:color w:val="0000FF"/>
                <w:w w:val="89"/>
              </w:rPr>
            </w:pPr>
            <w:r>
              <w:rPr>
                <w:rFonts w:ascii="Arial" w:cs="Arial" w:eastAsia="Arial" w:hAnsi="Arial"/>
                <w:sz w:val="18"/>
                <w:szCs w:val="18"/>
                <w:color w:val="0000FF"/>
                <w:w w:val="89"/>
              </w:rPr>
              <w:t xml:space="preserve">2014 and 2013 </w:t>
            </w:r>
            <w:hyperlink w:anchor="page3">
              <w:r>
                <w:rPr>
                  <w:rFonts w:ascii="Arial" w:cs="Arial" w:eastAsia="Arial" w:hAnsi="Arial"/>
                  <w:sz w:val="18"/>
                  <w:szCs w:val="18"/>
                  <w:color w:val="0000FF"/>
                  <w:w w:val="89"/>
                </w:rPr>
                <w:t>(Unaudited)</w:t>
              </w:r>
            </w:hyperlink>
          </w:p>
        </w:tc>
        <w:tc>
          <w:tcPr>
            <w:tcW w:w="7200" w:type="dxa"/>
            <w:vAlign w:val="bottom"/>
            <w:tcBorders>
              <w:top w:val="single" w:sz="8" w:color="0000FF"/>
            </w:tcBorders>
            <w:gridSpan w:val="7"/>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Borders>
              <w:top w:val="single" w:sz="8" w:color="0000FF"/>
            </w:tcBorders>
          </w:tcPr>
          <w:p>
            <w:pPr>
              <w:spacing w:after="0"/>
              <w:rPr>
                <w:sz w:val="17"/>
                <w:szCs w:val="17"/>
                <w:color w:val="auto"/>
              </w:rPr>
            </w:pPr>
          </w:p>
        </w:tc>
        <w:tc>
          <w:tcPr>
            <w:tcW w:w="40" w:type="dxa"/>
            <w:vAlign w:val="bottom"/>
          </w:tcPr>
          <w:p>
            <w:pPr>
              <w:spacing w:after="0"/>
              <w:rPr>
                <w:sz w:val="17"/>
                <w:szCs w:val="17"/>
                <w:color w:val="auto"/>
              </w:rPr>
            </w:pPr>
          </w:p>
        </w:tc>
      </w:tr>
      <w:tr>
        <w:trPr>
          <w:trHeight w:val="358"/>
        </w:trPr>
        <w:tc>
          <w:tcPr>
            <w:tcW w:w="5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180" w:type="dxa"/>
            <w:vAlign w:val="bottom"/>
            <w:gridSpan w:val="13"/>
          </w:tcPr>
          <w:p>
            <w:pPr>
              <w:spacing w:after="0"/>
              <w:rPr>
                <w:sz w:val="20"/>
                <w:szCs w:val="20"/>
                <w:color w:val="auto"/>
              </w:rPr>
            </w:pPr>
            <w:r>
              <w:rPr>
                <w:rFonts w:ascii="Arial" w:cs="Arial" w:eastAsia="Arial" w:hAnsi="Arial"/>
                <w:sz w:val="18"/>
                <w:szCs w:val="18"/>
                <w:color w:val="0000FF"/>
                <w:w w:val="93"/>
              </w:rPr>
              <w:t>Condensed Consolidated Statements of Cash Flows for the nine months ended September 30, 2014 and 2013 (Unaudited)</w:t>
            </w:r>
          </w:p>
        </w:tc>
        <w:tc>
          <w:tcPr>
            <w:tcW w:w="860" w:type="dxa"/>
            <w:vAlign w:val="bottom"/>
            <w:gridSpan w:val="3"/>
          </w:tcPr>
          <w:p>
            <w:pPr>
              <w:jc w:val="center"/>
              <w:ind w:left="590"/>
              <w:spacing w:after="0"/>
              <w:rPr>
                <w:rFonts w:ascii="Arial" w:cs="Arial" w:eastAsia="Arial" w:hAnsi="Arial"/>
                <w:sz w:val="18"/>
                <w:szCs w:val="18"/>
                <w:color w:val="0000FF"/>
                <w:w w:val="99"/>
              </w:rPr>
            </w:pPr>
            <w:hyperlink w:anchor="page4">
              <w:r>
                <w:rPr>
                  <w:rFonts w:ascii="Arial" w:cs="Arial" w:eastAsia="Arial" w:hAnsi="Arial"/>
                  <w:sz w:val="18"/>
                  <w:szCs w:val="18"/>
                  <w:color w:val="0000FF"/>
                  <w:w w:val="99"/>
                </w:rPr>
                <w:t>3</w:t>
              </w:r>
            </w:hyperlink>
          </w:p>
        </w:tc>
      </w:tr>
      <w:tr>
        <w:trPr>
          <w:trHeight w:val="439"/>
        </w:trPr>
        <w:tc>
          <w:tcPr>
            <w:tcW w:w="5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740" w:type="dxa"/>
            <w:vAlign w:val="bottom"/>
            <w:tcBorders>
              <w:top w:val="single" w:sz="8" w:color="0000FF"/>
            </w:tcBorders>
            <w:gridSpan w:val="12"/>
          </w:tcPr>
          <w:p>
            <w:pPr>
              <w:spacing w:after="0"/>
              <w:rPr>
                <w:rFonts w:ascii="Arial" w:cs="Arial" w:eastAsia="Arial" w:hAnsi="Arial"/>
                <w:sz w:val="18"/>
                <w:szCs w:val="18"/>
                <w:color w:val="0000FF"/>
              </w:rPr>
            </w:pPr>
            <w:hyperlink w:anchor="page6">
              <w:r>
                <w:rPr>
                  <w:rFonts w:ascii="Arial" w:cs="Arial" w:eastAsia="Arial" w:hAnsi="Arial"/>
                  <w:sz w:val="18"/>
                  <w:szCs w:val="18"/>
                  <w:color w:val="0000FF"/>
                </w:rPr>
                <w:t>Notes to Condensed Consolidated Financial Statements (Unaudited)</w:t>
              </w:r>
            </w:hyperlink>
          </w:p>
        </w:tc>
        <w:tc>
          <w:tcPr>
            <w:tcW w:w="4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Borders>
              <w:top w:val="single" w:sz="8" w:color="0000FF"/>
            </w:tcBorders>
          </w:tcPr>
          <w:p>
            <w:pPr>
              <w:jc w:val="center"/>
              <w:spacing w:after="0"/>
              <w:rPr>
                <w:rFonts w:ascii="Arial" w:cs="Arial" w:eastAsia="Arial" w:hAnsi="Arial"/>
                <w:sz w:val="18"/>
                <w:szCs w:val="18"/>
                <w:color w:val="0000FF"/>
                <w:w w:val="99"/>
              </w:rPr>
            </w:pPr>
            <w:hyperlink w:anchor="page6">
              <w:r>
                <w:rPr>
                  <w:rFonts w:ascii="Arial" w:cs="Arial" w:eastAsia="Arial" w:hAnsi="Arial"/>
                  <w:sz w:val="18"/>
                  <w:szCs w:val="18"/>
                  <w:color w:val="0000FF"/>
                  <w:w w:val="99"/>
                </w:rPr>
                <w:t>5</w:t>
              </w:r>
            </w:hyperlink>
          </w:p>
        </w:tc>
        <w:tc>
          <w:tcPr>
            <w:tcW w:w="40" w:type="dxa"/>
            <w:vAlign w:val="bottom"/>
          </w:tcPr>
          <w:p>
            <w:pPr>
              <w:spacing w:after="0"/>
              <w:rPr>
                <w:sz w:val="24"/>
                <w:szCs w:val="24"/>
                <w:color w:val="auto"/>
              </w:rPr>
            </w:pPr>
          </w:p>
        </w:tc>
      </w:tr>
      <w:tr>
        <w:trPr>
          <w:trHeight w:val="20"/>
        </w:trPr>
        <w:tc>
          <w:tcPr>
            <w:tcW w:w="5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gridSpan w:val="2"/>
            <w:shd w:val="clear" w:color="auto" w:fill="0000FF"/>
          </w:tcPr>
          <w:p>
            <w:pPr>
              <w:spacing w:after="0" w:line="20" w:lineRule="exact"/>
              <w:rPr>
                <w:sz w:val="1"/>
                <w:szCs w:val="1"/>
                <w:color w:val="auto"/>
              </w:rPr>
            </w:pPr>
          </w:p>
        </w:tc>
        <w:tc>
          <w:tcPr>
            <w:tcW w:w="560" w:type="dxa"/>
            <w:vAlign w:val="bottom"/>
            <w:gridSpan w:val="2"/>
            <w:shd w:val="clear" w:color="auto" w:fill="0000FF"/>
          </w:tcPr>
          <w:p>
            <w:pPr>
              <w:spacing w:after="0" w:line="20" w:lineRule="exact"/>
              <w:rPr>
                <w:sz w:val="1"/>
                <w:szCs w:val="1"/>
                <w:color w:val="auto"/>
              </w:rPr>
            </w:pPr>
          </w:p>
        </w:tc>
        <w:tc>
          <w:tcPr>
            <w:tcW w:w="2020" w:type="dxa"/>
            <w:vAlign w:val="bottom"/>
            <w:shd w:val="clear" w:color="auto" w:fill="0000FF"/>
          </w:tcPr>
          <w:p>
            <w:pPr>
              <w:spacing w:after="0" w:line="20" w:lineRule="exact"/>
              <w:rPr>
                <w:sz w:val="1"/>
                <w:szCs w:val="1"/>
                <w:color w:val="auto"/>
              </w:rPr>
            </w:pPr>
          </w:p>
        </w:tc>
        <w:tc>
          <w:tcPr>
            <w:tcW w:w="560" w:type="dxa"/>
            <w:vAlign w:val="bottom"/>
            <w:tcBorders>
              <w:left w:val="single" w:sz="8" w:color="0000FF"/>
            </w:tcBorders>
            <w:shd w:val="clear" w:color="auto" w:fill="0000FF"/>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2760" w:type="dxa"/>
            <w:vAlign w:val="bottom"/>
            <w:gridSpan w:val="3"/>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439"/>
        </w:trPr>
        <w:tc>
          <w:tcPr>
            <w:tcW w:w="920" w:type="dxa"/>
            <w:vAlign w:val="bottom"/>
            <w:gridSpan w:val="3"/>
          </w:tcPr>
          <w:p>
            <w:pPr>
              <w:spacing w:after="0"/>
              <w:rPr>
                <w:rFonts w:ascii="Arial" w:cs="Arial" w:eastAsia="Arial" w:hAnsi="Arial"/>
                <w:sz w:val="18"/>
                <w:szCs w:val="18"/>
                <w:color w:val="0000FF"/>
              </w:rPr>
            </w:pPr>
            <w:hyperlink w:anchor="page14">
              <w:r>
                <w:rPr>
                  <w:rFonts w:ascii="Arial" w:cs="Arial" w:eastAsia="Arial" w:hAnsi="Arial"/>
                  <w:sz w:val="18"/>
                  <w:szCs w:val="18"/>
                  <w:color w:val="0000FF"/>
                </w:rPr>
                <w:t>Item 2.</w:t>
              </w:r>
            </w:hyperlink>
          </w:p>
        </w:tc>
        <w:tc>
          <w:tcPr>
            <w:tcW w:w="9180" w:type="dxa"/>
            <w:vAlign w:val="bottom"/>
            <w:gridSpan w:val="13"/>
          </w:tcPr>
          <w:p>
            <w:pPr>
              <w:spacing w:after="0"/>
              <w:rPr>
                <w:rFonts w:ascii="Arial" w:cs="Arial" w:eastAsia="Arial" w:hAnsi="Arial"/>
                <w:sz w:val="18"/>
                <w:szCs w:val="18"/>
                <w:color w:val="0000FF"/>
              </w:rPr>
            </w:pPr>
            <w:hyperlink w:anchor="page14">
              <w:r>
                <w:rPr>
                  <w:rFonts w:ascii="Arial" w:cs="Arial" w:eastAsia="Arial" w:hAnsi="Arial"/>
                  <w:sz w:val="18"/>
                  <w:szCs w:val="18"/>
                  <w:color w:val="0000FF"/>
                </w:rPr>
                <w:t>Management’s Discussion and Analysis of Financial Condition and Results of Operations</w:t>
              </w:r>
            </w:hyperlink>
          </w:p>
        </w:tc>
        <w:tc>
          <w:tcPr>
            <w:tcW w:w="860" w:type="dxa"/>
            <w:vAlign w:val="bottom"/>
            <w:gridSpan w:val="3"/>
          </w:tcPr>
          <w:p>
            <w:pPr>
              <w:jc w:val="center"/>
              <w:ind w:left="590"/>
              <w:spacing w:after="0"/>
              <w:rPr>
                <w:rFonts w:ascii="Arial" w:cs="Arial" w:eastAsia="Arial" w:hAnsi="Arial"/>
                <w:sz w:val="18"/>
                <w:szCs w:val="18"/>
                <w:color w:val="0000FF"/>
                <w:w w:val="89"/>
              </w:rPr>
            </w:pPr>
            <w:hyperlink w:anchor="page14">
              <w:r>
                <w:rPr>
                  <w:rFonts w:ascii="Arial" w:cs="Arial" w:eastAsia="Arial" w:hAnsi="Arial"/>
                  <w:sz w:val="18"/>
                  <w:szCs w:val="18"/>
                  <w:color w:val="0000FF"/>
                  <w:w w:val="89"/>
                </w:rPr>
                <w:t>13</w:t>
              </w:r>
            </w:hyperlink>
          </w:p>
        </w:tc>
      </w:tr>
      <w:tr>
        <w:trPr>
          <w:trHeight w:val="20"/>
        </w:trPr>
        <w:tc>
          <w:tcPr>
            <w:tcW w:w="500" w:type="dxa"/>
            <w:vAlign w:val="bottom"/>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Borders>
              <w:right w:val="single" w:sz="8" w:color="0000FF"/>
            </w:tcBorders>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gridSpan w:val="2"/>
            <w:shd w:val="clear" w:color="auto" w:fill="0000FF"/>
          </w:tcPr>
          <w:p>
            <w:pPr>
              <w:spacing w:after="0" w:line="20" w:lineRule="exact"/>
              <w:rPr>
                <w:sz w:val="1"/>
                <w:szCs w:val="1"/>
                <w:color w:val="auto"/>
              </w:rPr>
            </w:pPr>
          </w:p>
        </w:tc>
        <w:tc>
          <w:tcPr>
            <w:tcW w:w="560" w:type="dxa"/>
            <w:vAlign w:val="bottom"/>
            <w:gridSpan w:val="2"/>
            <w:shd w:val="clear" w:color="auto" w:fill="0000FF"/>
          </w:tcPr>
          <w:p>
            <w:pPr>
              <w:spacing w:after="0" w:line="20" w:lineRule="exact"/>
              <w:rPr>
                <w:sz w:val="1"/>
                <w:szCs w:val="1"/>
                <w:color w:val="auto"/>
              </w:rPr>
            </w:pPr>
          </w:p>
        </w:tc>
        <w:tc>
          <w:tcPr>
            <w:tcW w:w="2020" w:type="dxa"/>
            <w:vAlign w:val="bottom"/>
            <w:shd w:val="clear" w:color="auto" w:fill="0000FF"/>
          </w:tcPr>
          <w:p>
            <w:pPr>
              <w:spacing w:after="0" w:line="20" w:lineRule="exact"/>
              <w:rPr>
                <w:sz w:val="1"/>
                <w:szCs w:val="1"/>
                <w:color w:val="auto"/>
              </w:rPr>
            </w:pPr>
          </w:p>
        </w:tc>
        <w:tc>
          <w:tcPr>
            <w:tcW w:w="2080" w:type="dxa"/>
            <w:vAlign w:val="bottom"/>
            <w:tcBorders>
              <w:left w:val="single" w:sz="8" w:color="0000FF"/>
            </w:tcBorders>
            <w:gridSpan w:val="2"/>
            <w:shd w:val="clear" w:color="auto" w:fill="0000FF"/>
          </w:tcPr>
          <w:p>
            <w:pPr>
              <w:spacing w:after="0" w:line="20" w:lineRule="exact"/>
              <w:rPr>
                <w:sz w:val="1"/>
                <w:szCs w:val="1"/>
                <w:color w:val="auto"/>
              </w:rPr>
            </w:pPr>
          </w:p>
        </w:tc>
        <w:tc>
          <w:tcPr>
            <w:tcW w:w="2760" w:type="dxa"/>
            <w:vAlign w:val="bottom"/>
            <w:gridSpan w:val="3"/>
          </w:tcPr>
          <w:p>
            <w:pPr>
              <w:spacing w:after="0" w:line="20" w:lineRule="exact"/>
              <w:rPr>
                <w:sz w:val="1"/>
                <w:szCs w:val="1"/>
                <w:color w:val="auto"/>
              </w:rPr>
            </w:pPr>
          </w:p>
        </w:tc>
        <w:tc>
          <w:tcPr>
            <w:tcW w:w="720" w:type="dxa"/>
            <w:vAlign w:val="bottom"/>
            <w:tcBorders>
              <w:right w:val="single" w:sz="8" w:color="0000FF"/>
            </w:tcBorders>
          </w:tcPr>
          <w:p>
            <w:pPr>
              <w:spacing w:after="0" w:line="20" w:lineRule="exact"/>
              <w:rPr>
                <w:sz w:val="1"/>
                <w:szCs w:val="1"/>
                <w:color w:val="auto"/>
              </w:rPr>
            </w:pPr>
          </w:p>
        </w:tc>
        <w:tc>
          <w:tcPr>
            <w:tcW w:w="140" w:type="dxa"/>
            <w:vAlign w:val="bottom"/>
            <w:gridSpan w:val="2"/>
            <w:shd w:val="clear" w:color="auto" w:fill="0000FF"/>
          </w:tcPr>
          <w:p>
            <w:pPr>
              <w:spacing w:after="0" w:line="20" w:lineRule="exact"/>
              <w:rPr>
                <w:sz w:val="1"/>
                <w:szCs w:val="1"/>
                <w:color w:val="auto"/>
              </w:rPr>
            </w:pPr>
          </w:p>
        </w:tc>
      </w:tr>
      <w:tr>
        <w:trPr>
          <w:trHeight w:val="439"/>
        </w:trPr>
        <w:tc>
          <w:tcPr>
            <w:tcW w:w="920" w:type="dxa"/>
            <w:vAlign w:val="bottom"/>
            <w:gridSpan w:val="3"/>
          </w:tcPr>
          <w:p>
            <w:pPr>
              <w:spacing w:after="0"/>
              <w:rPr>
                <w:rFonts w:ascii="Arial" w:cs="Arial" w:eastAsia="Arial" w:hAnsi="Arial"/>
                <w:sz w:val="18"/>
                <w:szCs w:val="18"/>
                <w:color w:val="0000FF"/>
              </w:rPr>
            </w:pPr>
            <w:hyperlink w:anchor="page21">
              <w:r>
                <w:rPr>
                  <w:rFonts w:ascii="Arial" w:cs="Arial" w:eastAsia="Arial" w:hAnsi="Arial"/>
                  <w:sz w:val="18"/>
                  <w:szCs w:val="18"/>
                  <w:color w:val="0000FF"/>
                </w:rPr>
                <w:t>Item 3.</w:t>
              </w:r>
            </w:hyperlink>
          </w:p>
        </w:tc>
        <w:tc>
          <w:tcPr>
            <w:tcW w:w="9180" w:type="dxa"/>
            <w:vAlign w:val="bottom"/>
            <w:gridSpan w:val="13"/>
          </w:tcPr>
          <w:p>
            <w:pPr>
              <w:spacing w:after="0"/>
              <w:rPr>
                <w:rFonts w:ascii="Arial" w:cs="Arial" w:eastAsia="Arial" w:hAnsi="Arial"/>
                <w:sz w:val="18"/>
                <w:szCs w:val="18"/>
                <w:color w:val="0000FF"/>
              </w:rPr>
            </w:pPr>
            <w:hyperlink w:anchor="page21">
              <w:r>
                <w:rPr>
                  <w:rFonts w:ascii="Arial" w:cs="Arial" w:eastAsia="Arial" w:hAnsi="Arial"/>
                  <w:sz w:val="18"/>
                  <w:szCs w:val="18"/>
                  <w:color w:val="0000FF"/>
                </w:rPr>
                <w:t>Quantitative and Qualitative Disclosures About Market Risk</w:t>
              </w:r>
            </w:hyperlink>
          </w:p>
        </w:tc>
        <w:tc>
          <w:tcPr>
            <w:tcW w:w="860" w:type="dxa"/>
            <w:vAlign w:val="bottom"/>
            <w:gridSpan w:val="3"/>
          </w:tcPr>
          <w:p>
            <w:pPr>
              <w:jc w:val="center"/>
              <w:ind w:left="590"/>
              <w:spacing w:after="0"/>
              <w:rPr>
                <w:rFonts w:ascii="Arial" w:cs="Arial" w:eastAsia="Arial" w:hAnsi="Arial"/>
                <w:sz w:val="18"/>
                <w:szCs w:val="18"/>
                <w:color w:val="0000FF"/>
                <w:w w:val="89"/>
              </w:rPr>
            </w:pPr>
            <w:hyperlink w:anchor="page21">
              <w:r>
                <w:rPr>
                  <w:rFonts w:ascii="Arial" w:cs="Arial" w:eastAsia="Arial" w:hAnsi="Arial"/>
                  <w:sz w:val="18"/>
                  <w:szCs w:val="18"/>
                  <w:color w:val="0000FF"/>
                  <w:w w:val="89"/>
                </w:rPr>
                <w:t>19</w:t>
              </w:r>
            </w:hyperlink>
          </w:p>
        </w:tc>
      </w:tr>
      <w:tr>
        <w:trPr>
          <w:trHeight w:val="20"/>
        </w:trPr>
        <w:tc>
          <w:tcPr>
            <w:tcW w:w="500" w:type="dxa"/>
            <w:vAlign w:val="bottom"/>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gridSpan w:val="2"/>
            <w:shd w:val="clear" w:color="auto" w:fill="0000FF"/>
          </w:tcPr>
          <w:p>
            <w:pPr>
              <w:spacing w:after="0" w:line="20" w:lineRule="exact"/>
              <w:rPr>
                <w:sz w:val="1"/>
                <w:szCs w:val="1"/>
                <w:color w:val="auto"/>
              </w:rPr>
            </w:pPr>
          </w:p>
        </w:tc>
        <w:tc>
          <w:tcPr>
            <w:tcW w:w="560" w:type="dxa"/>
            <w:vAlign w:val="bottom"/>
            <w:gridSpan w:val="2"/>
            <w:shd w:val="clear" w:color="auto" w:fill="0000FF"/>
          </w:tcPr>
          <w:p>
            <w:pPr>
              <w:spacing w:after="0" w:line="20" w:lineRule="exact"/>
              <w:rPr>
                <w:sz w:val="1"/>
                <w:szCs w:val="1"/>
                <w:color w:val="auto"/>
              </w:rPr>
            </w:pPr>
          </w:p>
        </w:tc>
        <w:tc>
          <w:tcPr>
            <w:tcW w:w="2020" w:type="dxa"/>
            <w:vAlign w:val="bottom"/>
            <w:shd w:val="clear" w:color="auto" w:fill="0000FF"/>
          </w:tcPr>
          <w:p>
            <w:pPr>
              <w:spacing w:after="0" w:line="20" w:lineRule="exact"/>
              <w:rPr>
                <w:sz w:val="1"/>
                <w:szCs w:val="1"/>
                <w:color w:val="auto"/>
              </w:rPr>
            </w:pPr>
          </w:p>
        </w:tc>
        <w:tc>
          <w:tcPr>
            <w:tcW w:w="4840" w:type="dxa"/>
            <w:vAlign w:val="bottom"/>
            <w:tcBorders>
              <w:left w:val="single" w:sz="8" w:color="0000FF"/>
            </w:tcBorders>
            <w:gridSpan w:val="5"/>
          </w:tcPr>
          <w:p>
            <w:pPr>
              <w:spacing w:after="0" w:line="20" w:lineRule="exact"/>
              <w:rPr>
                <w:sz w:val="1"/>
                <w:szCs w:val="1"/>
                <w:color w:val="auto"/>
              </w:rPr>
            </w:pPr>
          </w:p>
        </w:tc>
        <w:tc>
          <w:tcPr>
            <w:tcW w:w="720" w:type="dxa"/>
            <w:vAlign w:val="bottom"/>
            <w:tcBorders>
              <w:right w:val="single" w:sz="8" w:color="0000FF"/>
            </w:tcBorders>
          </w:tcPr>
          <w:p>
            <w:pPr>
              <w:spacing w:after="0" w:line="20" w:lineRule="exact"/>
              <w:rPr>
                <w:sz w:val="1"/>
                <w:szCs w:val="1"/>
                <w:color w:val="auto"/>
              </w:rPr>
            </w:pPr>
          </w:p>
        </w:tc>
        <w:tc>
          <w:tcPr>
            <w:tcW w:w="140" w:type="dxa"/>
            <w:vAlign w:val="bottom"/>
            <w:gridSpan w:val="2"/>
            <w:shd w:val="clear" w:color="auto" w:fill="0000FF"/>
          </w:tcPr>
          <w:p>
            <w:pPr>
              <w:spacing w:after="0" w:line="20" w:lineRule="exact"/>
              <w:rPr>
                <w:sz w:val="1"/>
                <w:szCs w:val="1"/>
                <w:color w:val="auto"/>
              </w:rPr>
            </w:pPr>
          </w:p>
        </w:tc>
      </w:tr>
      <w:tr>
        <w:trPr>
          <w:trHeight w:val="439"/>
        </w:trPr>
        <w:tc>
          <w:tcPr>
            <w:tcW w:w="920" w:type="dxa"/>
            <w:vAlign w:val="bottom"/>
            <w:gridSpan w:val="3"/>
          </w:tcPr>
          <w:p>
            <w:pPr>
              <w:spacing w:after="0"/>
              <w:rPr>
                <w:rFonts w:ascii="Arial" w:cs="Arial" w:eastAsia="Arial" w:hAnsi="Arial"/>
                <w:sz w:val="18"/>
                <w:szCs w:val="18"/>
                <w:color w:val="0000FF"/>
              </w:rPr>
            </w:pPr>
            <w:hyperlink w:anchor="page21">
              <w:r>
                <w:rPr>
                  <w:rFonts w:ascii="Arial" w:cs="Arial" w:eastAsia="Arial" w:hAnsi="Arial"/>
                  <w:sz w:val="18"/>
                  <w:szCs w:val="18"/>
                  <w:color w:val="0000FF"/>
                </w:rPr>
                <w:t>Item 4.</w:t>
              </w:r>
            </w:hyperlink>
          </w:p>
        </w:tc>
        <w:tc>
          <w:tcPr>
            <w:tcW w:w="9180" w:type="dxa"/>
            <w:vAlign w:val="bottom"/>
            <w:gridSpan w:val="13"/>
          </w:tcPr>
          <w:p>
            <w:pPr>
              <w:spacing w:after="0"/>
              <w:rPr>
                <w:rFonts w:ascii="Arial" w:cs="Arial" w:eastAsia="Arial" w:hAnsi="Arial"/>
                <w:sz w:val="18"/>
                <w:szCs w:val="18"/>
                <w:color w:val="0000FF"/>
              </w:rPr>
            </w:pPr>
            <w:hyperlink w:anchor="page21">
              <w:r>
                <w:rPr>
                  <w:rFonts w:ascii="Arial" w:cs="Arial" w:eastAsia="Arial" w:hAnsi="Arial"/>
                  <w:sz w:val="18"/>
                  <w:szCs w:val="18"/>
                  <w:color w:val="0000FF"/>
                </w:rPr>
                <w:t>Controls and Procedures</w:t>
              </w:r>
            </w:hyperlink>
          </w:p>
        </w:tc>
        <w:tc>
          <w:tcPr>
            <w:tcW w:w="860" w:type="dxa"/>
            <w:vAlign w:val="bottom"/>
            <w:gridSpan w:val="3"/>
          </w:tcPr>
          <w:p>
            <w:pPr>
              <w:jc w:val="center"/>
              <w:ind w:left="590"/>
              <w:spacing w:after="0"/>
              <w:rPr>
                <w:rFonts w:ascii="Arial" w:cs="Arial" w:eastAsia="Arial" w:hAnsi="Arial"/>
                <w:sz w:val="18"/>
                <w:szCs w:val="18"/>
                <w:color w:val="0000FF"/>
                <w:w w:val="89"/>
              </w:rPr>
            </w:pPr>
            <w:hyperlink w:anchor="page21">
              <w:r>
                <w:rPr>
                  <w:rFonts w:ascii="Arial" w:cs="Arial" w:eastAsia="Arial" w:hAnsi="Arial"/>
                  <w:sz w:val="18"/>
                  <w:szCs w:val="18"/>
                  <w:color w:val="0000FF"/>
                  <w:w w:val="89"/>
                </w:rPr>
                <w:t>19</w:t>
              </w:r>
            </w:hyperlink>
          </w:p>
        </w:tc>
      </w:tr>
      <w:tr>
        <w:trPr>
          <w:trHeight w:val="480"/>
        </w:trPr>
        <w:tc>
          <w:tcPr>
            <w:tcW w:w="500" w:type="dxa"/>
            <w:vAlign w:val="bottom"/>
            <w:tcBorders>
              <w:top w:val="single" w:sz="8" w:color="0000FF"/>
            </w:tcBorders>
          </w:tcPr>
          <w:p>
            <w:pPr>
              <w:spacing w:after="0"/>
              <w:rPr>
                <w:sz w:val="24"/>
                <w:szCs w:val="24"/>
                <w:color w:val="auto"/>
              </w:rPr>
            </w:pPr>
          </w:p>
        </w:tc>
        <w:tc>
          <w:tcPr>
            <w:tcW w:w="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00" w:type="dxa"/>
            <w:vAlign w:val="bottom"/>
            <w:tcBorders>
              <w:top w:val="single" w:sz="8" w:color="0000FF"/>
            </w:tcBorders>
          </w:tcPr>
          <w:p>
            <w:pPr>
              <w:spacing w:after="0"/>
              <w:rPr>
                <w:sz w:val="24"/>
                <w:szCs w:val="24"/>
                <w:color w:val="auto"/>
              </w:rPr>
            </w:pPr>
          </w:p>
        </w:tc>
        <w:tc>
          <w:tcPr>
            <w:tcW w:w="300" w:type="dxa"/>
            <w:vAlign w:val="bottom"/>
            <w:tcBorders>
              <w:top w:val="single" w:sz="8" w:color="0000FF"/>
            </w:tcBorders>
          </w:tcPr>
          <w:p>
            <w:pPr>
              <w:spacing w:after="0"/>
              <w:rPr>
                <w:sz w:val="24"/>
                <w:szCs w:val="24"/>
                <w:color w:val="auto"/>
              </w:rPr>
            </w:pPr>
          </w:p>
        </w:tc>
        <w:tc>
          <w:tcPr>
            <w:tcW w:w="400" w:type="dxa"/>
            <w:vAlign w:val="bottom"/>
            <w:tcBorders>
              <w:top w:val="single" w:sz="8" w:color="0000FF"/>
            </w:tcBorders>
          </w:tcPr>
          <w:p>
            <w:pPr>
              <w:spacing w:after="0"/>
              <w:rPr>
                <w:sz w:val="24"/>
                <w:szCs w:val="24"/>
                <w:color w:val="auto"/>
              </w:rPr>
            </w:pPr>
          </w:p>
        </w:tc>
        <w:tc>
          <w:tcPr>
            <w:tcW w:w="200" w:type="dxa"/>
            <w:vAlign w:val="bottom"/>
            <w:tcBorders>
              <w:top w:val="single" w:sz="8" w:color="0000FF"/>
            </w:tcBorders>
          </w:tcPr>
          <w:p>
            <w:pPr>
              <w:spacing w:after="0"/>
              <w:rPr>
                <w:sz w:val="24"/>
                <w:szCs w:val="24"/>
                <w:color w:val="auto"/>
              </w:rPr>
            </w:pPr>
          </w:p>
        </w:tc>
        <w:tc>
          <w:tcPr>
            <w:tcW w:w="260" w:type="dxa"/>
            <w:vAlign w:val="bottom"/>
            <w:tcBorders>
              <w:top w:val="single" w:sz="8" w:color="0000FF"/>
            </w:tcBorders>
          </w:tcPr>
          <w:p>
            <w:pPr>
              <w:spacing w:after="0"/>
              <w:rPr>
                <w:sz w:val="24"/>
                <w:szCs w:val="24"/>
                <w:color w:val="auto"/>
              </w:rPr>
            </w:pPr>
          </w:p>
        </w:tc>
        <w:tc>
          <w:tcPr>
            <w:tcW w:w="2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860" w:type="dxa"/>
            <w:vAlign w:val="bottom"/>
            <w:gridSpan w:val="6"/>
          </w:tcPr>
          <w:p>
            <w:pPr>
              <w:jc w:val="center"/>
              <w:ind w:right="2100"/>
              <w:spacing w:after="0"/>
              <w:rPr>
                <w:sz w:val="20"/>
                <w:szCs w:val="20"/>
                <w:color w:val="auto"/>
              </w:rPr>
            </w:pPr>
            <w:r>
              <w:rPr>
                <w:rFonts w:ascii="Arial" w:cs="Arial" w:eastAsia="Arial" w:hAnsi="Arial"/>
                <w:sz w:val="18"/>
                <w:szCs w:val="18"/>
                <w:b w:val="1"/>
                <w:bCs w:val="1"/>
                <w:color w:val="auto"/>
              </w:rPr>
              <w:t>PART II – OTHER INFORMATION</w:t>
            </w:r>
          </w:p>
        </w:tc>
        <w:tc>
          <w:tcPr>
            <w:tcW w:w="720" w:type="dxa"/>
            <w:vAlign w:val="bottom"/>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r>
      <w:tr>
        <w:trPr>
          <w:trHeight w:val="338"/>
        </w:trPr>
        <w:tc>
          <w:tcPr>
            <w:tcW w:w="920" w:type="dxa"/>
            <w:vAlign w:val="bottom"/>
            <w:gridSpan w:val="3"/>
          </w:tcPr>
          <w:p>
            <w:pPr>
              <w:spacing w:after="0"/>
              <w:rPr>
                <w:rFonts w:ascii="Arial" w:cs="Arial" w:eastAsia="Arial" w:hAnsi="Arial"/>
                <w:sz w:val="18"/>
                <w:szCs w:val="18"/>
                <w:color w:val="0000FF"/>
              </w:rPr>
            </w:pPr>
            <w:hyperlink w:anchor="page23">
              <w:r>
                <w:rPr>
                  <w:rFonts w:ascii="Arial" w:cs="Arial" w:eastAsia="Arial" w:hAnsi="Arial"/>
                  <w:sz w:val="18"/>
                  <w:szCs w:val="18"/>
                  <w:color w:val="0000FF"/>
                </w:rPr>
                <w:t>Item 1.</w:t>
              </w:r>
            </w:hyperlink>
          </w:p>
        </w:tc>
        <w:tc>
          <w:tcPr>
            <w:tcW w:w="9180" w:type="dxa"/>
            <w:vAlign w:val="bottom"/>
            <w:gridSpan w:val="13"/>
          </w:tcPr>
          <w:p>
            <w:pPr>
              <w:spacing w:after="0"/>
              <w:rPr>
                <w:rFonts w:ascii="Arial" w:cs="Arial" w:eastAsia="Arial" w:hAnsi="Arial"/>
                <w:sz w:val="18"/>
                <w:szCs w:val="18"/>
                <w:color w:val="0000FF"/>
              </w:rPr>
            </w:pPr>
            <w:hyperlink w:anchor="page23">
              <w:r>
                <w:rPr>
                  <w:rFonts w:ascii="Arial" w:cs="Arial" w:eastAsia="Arial" w:hAnsi="Arial"/>
                  <w:sz w:val="18"/>
                  <w:szCs w:val="18"/>
                  <w:color w:val="0000FF"/>
                </w:rPr>
                <w:t>Legal Proceedings</w:t>
              </w:r>
            </w:hyperlink>
          </w:p>
        </w:tc>
        <w:tc>
          <w:tcPr>
            <w:tcW w:w="860" w:type="dxa"/>
            <w:vAlign w:val="bottom"/>
            <w:gridSpan w:val="3"/>
          </w:tcPr>
          <w:p>
            <w:pPr>
              <w:jc w:val="center"/>
              <w:ind w:left="590"/>
              <w:spacing w:after="0"/>
              <w:rPr>
                <w:rFonts w:ascii="Arial" w:cs="Arial" w:eastAsia="Arial" w:hAnsi="Arial"/>
                <w:sz w:val="18"/>
                <w:szCs w:val="18"/>
                <w:color w:val="0000FF"/>
                <w:w w:val="89"/>
              </w:rPr>
            </w:pPr>
            <w:hyperlink w:anchor="page23">
              <w:r>
                <w:rPr>
                  <w:rFonts w:ascii="Arial" w:cs="Arial" w:eastAsia="Arial" w:hAnsi="Arial"/>
                  <w:sz w:val="18"/>
                  <w:szCs w:val="18"/>
                  <w:color w:val="0000FF"/>
                  <w:w w:val="89"/>
                </w:rPr>
                <w:t>21</w:t>
              </w:r>
            </w:hyperlink>
          </w:p>
        </w:tc>
      </w:tr>
      <w:tr>
        <w:trPr>
          <w:trHeight w:val="20"/>
        </w:trPr>
        <w:tc>
          <w:tcPr>
            <w:tcW w:w="500" w:type="dxa"/>
            <w:vAlign w:val="bottom"/>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020" w:type="dxa"/>
            <w:vAlign w:val="bottom"/>
            <w:tcBorders>
              <w:left w:val="single" w:sz="8" w:color="0000FF"/>
            </w:tcBorders>
            <w:gridSpan w:val="4"/>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4840" w:type="dxa"/>
            <w:vAlign w:val="bottom"/>
            <w:gridSpan w:val="5"/>
          </w:tcPr>
          <w:p>
            <w:pPr>
              <w:spacing w:after="0" w:line="20" w:lineRule="exact"/>
              <w:rPr>
                <w:sz w:val="1"/>
                <w:szCs w:val="1"/>
                <w:color w:val="auto"/>
              </w:rPr>
            </w:pPr>
          </w:p>
        </w:tc>
        <w:tc>
          <w:tcPr>
            <w:tcW w:w="720" w:type="dxa"/>
            <w:vAlign w:val="bottom"/>
            <w:tcBorders>
              <w:right w:val="single" w:sz="8" w:color="0000FF"/>
            </w:tcBorders>
          </w:tcPr>
          <w:p>
            <w:pPr>
              <w:spacing w:after="0" w:line="20" w:lineRule="exact"/>
              <w:rPr>
                <w:sz w:val="1"/>
                <w:szCs w:val="1"/>
                <w:color w:val="auto"/>
              </w:rPr>
            </w:pPr>
          </w:p>
        </w:tc>
        <w:tc>
          <w:tcPr>
            <w:tcW w:w="140" w:type="dxa"/>
            <w:vAlign w:val="bottom"/>
            <w:gridSpan w:val="2"/>
            <w:shd w:val="clear" w:color="auto" w:fill="0000FF"/>
          </w:tcPr>
          <w:p>
            <w:pPr>
              <w:spacing w:after="0" w:line="20" w:lineRule="exact"/>
              <w:rPr>
                <w:sz w:val="1"/>
                <w:szCs w:val="1"/>
                <w:color w:val="auto"/>
              </w:rPr>
            </w:pPr>
          </w:p>
        </w:tc>
      </w:tr>
      <w:tr>
        <w:trPr>
          <w:trHeight w:val="439"/>
        </w:trPr>
        <w:tc>
          <w:tcPr>
            <w:tcW w:w="640" w:type="dxa"/>
            <w:vAlign w:val="bottom"/>
            <w:gridSpan w:val="2"/>
          </w:tcPr>
          <w:p>
            <w:pPr>
              <w:spacing w:after="0"/>
              <w:rPr>
                <w:rFonts w:ascii="Arial" w:cs="Arial" w:eastAsia="Arial" w:hAnsi="Arial"/>
                <w:sz w:val="18"/>
                <w:szCs w:val="18"/>
                <w:color w:val="0000FF"/>
                <w:w w:val="92"/>
              </w:rPr>
            </w:pPr>
            <w:hyperlink w:anchor="page23">
              <w:r>
                <w:rPr>
                  <w:rFonts w:ascii="Arial" w:cs="Arial" w:eastAsia="Arial" w:hAnsi="Arial"/>
                  <w:sz w:val="18"/>
                  <w:szCs w:val="18"/>
                  <w:color w:val="0000FF"/>
                  <w:w w:val="92"/>
                </w:rPr>
                <w:t>Item 1A.</w:t>
              </w:r>
            </w:hyperlink>
          </w:p>
        </w:tc>
        <w:tc>
          <w:tcPr>
            <w:tcW w:w="280" w:type="dxa"/>
            <w:vAlign w:val="bottom"/>
          </w:tcPr>
          <w:p>
            <w:pPr>
              <w:spacing w:after="0"/>
              <w:rPr>
                <w:sz w:val="24"/>
                <w:szCs w:val="24"/>
                <w:color w:val="auto"/>
              </w:rPr>
            </w:pPr>
          </w:p>
        </w:tc>
        <w:tc>
          <w:tcPr>
            <w:tcW w:w="900" w:type="dxa"/>
            <w:vAlign w:val="bottom"/>
            <w:gridSpan w:val="2"/>
          </w:tcPr>
          <w:p>
            <w:pPr>
              <w:spacing w:after="0"/>
              <w:rPr>
                <w:rFonts w:ascii="Arial" w:cs="Arial" w:eastAsia="Arial" w:hAnsi="Arial"/>
                <w:sz w:val="18"/>
                <w:szCs w:val="18"/>
                <w:color w:val="0000FF"/>
                <w:w w:val="87"/>
              </w:rPr>
            </w:pPr>
            <w:hyperlink w:anchor="page23">
              <w:r>
                <w:rPr>
                  <w:rFonts w:ascii="Arial" w:cs="Arial" w:eastAsia="Arial" w:hAnsi="Arial"/>
                  <w:sz w:val="18"/>
                  <w:szCs w:val="18"/>
                  <w:color w:val="0000FF"/>
                  <w:w w:val="87"/>
                </w:rPr>
                <w:t>Risk Factors</w:t>
              </w:r>
            </w:hyperlink>
          </w:p>
        </w:tc>
        <w:tc>
          <w:tcPr>
            <w:tcW w:w="8280" w:type="dxa"/>
            <w:vAlign w:val="bottom"/>
            <w:gridSpan w:val="11"/>
          </w:tcPr>
          <w:p>
            <w:pPr>
              <w:spacing w:after="0"/>
              <w:rPr>
                <w:sz w:val="24"/>
                <w:szCs w:val="24"/>
                <w:color w:val="auto"/>
              </w:rPr>
            </w:pPr>
          </w:p>
        </w:tc>
        <w:tc>
          <w:tcPr>
            <w:tcW w:w="860" w:type="dxa"/>
            <w:vAlign w:val="bottom"/>
            <w:gridSpan w:val="3"/>
          </w:tcPr>
          <w:p>
            <w:pPr>
              <w:jc w:val="center"/>
              <w:ind w:left="590"/>
              <w:spacing w:after="0"/>
              <w:rPr>
                <w:rFonts w:ascii="Arial" w:cs="Arial" w:eastAsia="Arial" w:hAnsi="Arial"/>
                <w:sz w:val="18"/>
                <w:szCs w:val="18"/>
                <w:color w:val="0000FF"/>
                <w:w w:val="89"/>
              </w:rPr>
            </w:pPr>
            <w:hyperlink w:anchor="page23">
              <w:r>
                <w:rPr>
                  <w:rFonts w:ascii="Arial" w:cs="Arial" w:eastAsia="Arial" w:hAnsi="Arial"/>
                  <w:sz w:val="18"/>
                  <w:szCs w:val="18"/>
                  <w:color w:val="0000FF"/>
                  <w:w w:val="89"/>
                </w:rPr>
                <w:t>21</w:t>
              </w:r>
            </w:hyperlink>
          </w:p>
        </w:tc>
      </w:tr>
      <w:tr>
        <w:trPr>
          <w:trHeight w:val="20"/>
        </w:trPr>
        <w:tc>
          <w:tcPr>
            <w:tcW w:w="640" w:type="dxa"/>
            <w:vAlign w:val="bottom"/>
            <w:gridSpan w:val="2"/>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20" w:type="dxa"/>
            <w:vAlign w:val="bottom"/>
            <w:gridSpan w:val="4"/>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4840" w:type="dxa"/>
            <w:vAlign w:val="bottom"/>
            <w:gridSpan w:val="5"/>
          </w:tcPr>
          <w:p>
            <w:pPr>
              <w:spacing w:after="0" w:line="20" w:lineRule="exact"/>
              <w:rPr>
                <w:sz w:val="1"/>
                <w:szCs w:val="1"/>
                <w:color w:val="auto"/>
              </w:rPr>
            </w:pPr>
          </w:p>
        </w:tc>
        <w:tc>
          <w:tcPr>
            <w:tcW w:w="720" w:type="dxa"/>
            <w:vAlign w:val="bottom"/>
            <w:tcBorders>
              <w:right w:val="single" w:sz="8" w:color="0000FF"/>
            </w:tcBorders>
          </w:tcPr>
          <w:p>
            <w:pPr>
              <w:spacing w:after="0" w:line="20" w:lineRule="exact"/>
              <w:rPr>
                <w:sz w:val="1"/>
                <w:szCs w:val="1"/>
                <w:color w:val="auto"/>
              </w:rPr>
            </w:pPr>
          </w:p>
        </w:tc>
        <w:tc>
          <w:tcPr>
            <w:tcW w:w="140" w:type="dxa"/>
            <w:vAlign w:val="bottom"/>
            <w:gridSpan w:val="2"/>
            <w:shd w:val="clear" w:color="auto" w:fill="0000FF"/>
          </w:tcPr>
          <w:p>
            <w:pPr>
              <w:spacing w:after="0" w:line="20" w:lineRule="exact"/>
              <w:rPr>
                <w:sz w:val="1"/>
                <w:szCs w:val="1"/>
                <w:color w:val="auto"/>
              </w:rPr>
            </w:pPr>
          </w:p>
        </w:tc>
      </w:tr>
      <w:tr>
        <w:trPr>
          <w:trHeight w:val="439"/>
        </w:trPr>
        <w:tc>
          <w:tcPr>
            <w:tcW w:w="640" w:type="dxa"/>
            <w:vAlign w:val="bottom"/>
            <w:gridSpan w:val="2"/>
          </w:tcPr>
          <w:p>
            <w:pPr>
              <w:spacing w:after="0"/>
              <w:rPr>
                <w:rFonts w:ascii="Arial" w:cs="Arial" w:eastAsia="Arial" w:hAnsi="Arial"/>
                <w:sz w:val="18"/>
                <w:szCs w:val="18"/>
                <w:color w:val="0000FF"/>
              </w:rPr>
            </w:pPr>
            <w:hyperlink w:anchor="page23">
              <w:r>
                <w:rPr>
                  <w:rFonts w:ascii="Arial" w:cs="Arial" w:eastAsia="Arial" w:hAnsi="Arial"/>
                  <w:sz w:val="18"/>
                  <w:szCs w:val="18"/>
                  <w:color w:val="0000FF"/>
                </w:rPr>
                <w:t>Item 2.</w:t>
              </w:r>
            </w:hyperlink>
          </w:p>
        </w:tc>
        <w:tc>
          <w:tcPr>
            <w:tcW w:w="280" w:type="dxa"/>
            <w:vAlign w:val="bottom"/>
          </w:tcPr>
          <w:p>
            <w:pPr>
              <w:spacing w:after="0"/>
              <w:rPr>
                <w:sz w:val="24"/>
                <w:szCs w:val="24"/>
                <w:color w:val="auto"/>
              </w:rPr>
            </w:pPr>
          </w:p>
        </w:tc>
        <w:tc>
          <w:tcPr>
            <w:tcW w:w="9180" w:type="dxa"/>
            <w:vAlign w:val="bottom"/>
            <w:gridSpan w:val="13"/>
          </w:tcPr>
          <w:p>
            <w:pPr>
              <w:spacing w:after="0"/>
              <w:rPr>
                <w:rFonts w:ascii="Arial" w:cs="Arial" w:eastAsia="Arial" w:hAnsi="Arial"/>
                <w:sz w:val="18"/>
                <w:szCs w:val="18"/>
                <w:color w:val="0000FF"/>
              </w:rPr>
            </w:pPr>
            <w:hyperlink w:anchor="page23">
              <w:r>
                <w:rPr>
                  <w:rFonts w:ascii="Arial" w:cs="Arial" w:eastAsia="Arial" w:hAnsi="Arial"/>
                  <w:sz w:val="18"/>
                  <w:szCs w:val="18"/>
                  <w:color w:val="0000FF"/>
                </w:rPr>
                <w:t>Unregistered Sales of Equity Securities and Use of Proceeds</w:t>
              </w:r>
            </w:hyperlink>
          </w:p>
        </w:tc>
        <w:tc>
          <w:tcPr>
            <w:tcW w:w="860" w:type="dxa"/>
            <w:vAlign w:val="bottom"/>
            <w:gridSpan w:val="3"/>
          </w:tcPr>
          <w:p>
            <w:pPr>
              <w:jc w:val="center"/>
              <w:ind w:left="590"/>
              <w:spacing w:after="0"/>
              <w:rPr>
                <w:rFonts w:ascii="Arial" w:cs="Arial" w:eastAsia="Arial" w:hAnsi="Arial"/>
                <w:sz w:val="18"/>
                <w:szCs w:val="18"/>
                <w:color w:val="0000FF"/>
                <w:w w:val="89"/>
              </w:rPr>
            </w:pPr>
            <w:hyperlink w:anchor="page23">
              <w:r>
                <w:rPr>
                  <w:rFonts w:ascii="Arial" w:cs="Arial" w:eastAsia="Arial" w:hAnsi="Arial"/>
                  <w:sz w:val="18"/>
                  <w:szCs w:val="18"/>
                  <w:color w:val="0000FF"/>
                  <w:w w:val="89"/>
                </w:rPr>
                <w:t>21</w:t>
              </w:r>
            </w:hyperlink>
          </w:p>
        </w:tc>
      </w:tr>
      <w:tr>
        <w:trPr>
          <w:trHeight w:val="20"/>
        </w:trPr>
        <w:tc>
          <w:tcPr>
            <w:tcW w:w="500" w:type="dxa"/>
            <w:vAlign w:val="bottom"/>
            <w:shd w:val="clear" w:color="auto" w:fill="0000FF"/>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700" w:type="dxa"/>
            <w:vAlign w:val="bottom"/>
            <w:gridSpan w:val="2"/>
            <w:shd w:val="clear" w:color="auto" w:fill="0000FF"/>
          </w:tcPr>
          <w:p>
            <w:pPr>
              <w:spacing w:after="0" w:line="20" w:lineRule="exact"/>
              <w:rPr>
                <w:sz w:val="1"/>
                <w:szCs w:val="1"/>
                <w:color w:val="auto"/>
              </w:rPr>
            </w:pPr>
          </w:p>
        </w:tc>
        <w:tc>
          <w:tcPr>
            <w:tcW w:w="1020" w:type="dxa"/>
            <w:vAlign w:val="bottom"/>
            <w:tcBorders>
              <w:left w:val="single" w:sz="8" w:color="0000FF"/>
            </w:tcBorders>
            <w:gridSpan w:val="4"/>
            <w:shd w:val="clear" w:color="auto" w:fill="0000FF"/>
          </w:tcPr>
          <w:p>
            <w:pPr>
              <w:spacing w:after="0" w:line="20" w:lineRule="exact"/>
              <w:rPr>
                <w:sz w:val="1"/>
                <w:szCs w:val="1"/>
                <w:color w:val="auto"/>
              </w:rPr>
            </w:pPr>
          </w:p>
        </w:tc>
        <w:tc>
          <w:tcPr>
            <w:tcW w:w="2020" w:type="dxa"/>
            <w:vAlign w:val="bottom"/>
            <w:shd w:val="clear" w:color="auto" w:fill="0000FF"/>
          </w:tcPr>
          <w:p>
            <w:pPr>
              <w:spacing w:after="0" w:line="20" w:lineRule="exact"/>
              <w:rPr>
                <w:sz w:val="1"/>
                <w:szCs w:val="1"/>
                <w:color w:val="auto"/>
              </w:rPr>
            </w:pPr>
          </w:p>
        </w:tc>
        <w:tc>
          <w:tcPr>
            <w:tcW w:w="4840" w:type="dxa"/>
            <w:vAlign w:val="bottom"/>
            <w:gridSpan w:val="5"/>
          </w:tcPr>
          <w:p>
            <w:pPr>
              <w:spacing w:after="0" w:line="20" w:lineRule="exact"/>
              <w:rPr>
                <w:sz w:val="1"/>
                <w:szCs w:val="1"/>
                <w:color w:val="auto"/>
              </w:rPr>
            </w:pPr>
          </w:p>
        </w:tc>
        <w:tc>
          <w:tcPr>
            <w:tcW w:w="720" w:type="dxa"/>
            <w:vAlign w:val="bottom"/>
            <w:tcBorders>
              <w:right w:val="single" w:sz="8" w:color="0000FF"/>
            </w:tcBorders>
          </w:tcPr>
          <w:p>
            <w:pPr>
              <w:spacing w:after="0" w:line="20" w:lineRule="exact"/>
              <w:rPr>
                <w:sz w:val="1"/>
                <w:szCs w:val="1"/>
                <w:color w:val="auto"/>
              </w:rPr>
            </w:pPr>
          </w:p>
        </w:tc>
        <w:tc>
          <w:tcPr>
            <w:tcW w:w="140" w:type="dxa"/>
            <w:vAlign w:val="bottom"/>
            <w:gridSpan w:val="2"/>
            <w:shd w:val="clear" w:color="auto" w:fill="0000FF"/>
          </w:tcPr>
          <w:p>
            <w:pPr>
              <w:spacing w:after="0" w:line="20" w:lineRule="exact"/>
              <w:rPr>
                <w:sz w:val="1"/>
                <w:szCs w:val="1"/>
                <w:color w:val="auto"/>
              </w:rPr>
            </w:pPr>
          </w:p>
        </w:tc>
      </w:tr>
      <w:tr>
        <w:trPr>
          <w:trHeight w:val="439"/>
        </w:trPr>
        <w:tc>
          <w:tcPr>
            <w:tcW w:w="920" w:type="dxa"/>
            <w:vAlign w:val="bottom"/>
            <w:tcBorders>
              <w:bottom w:val="single" w:sz="8" w:color="0000FF"/>
            </w:tcBorders>
            <w:gridSpan w:val="3"/>
          </w:tcPr>
          <w:p>
            <w:pPr>
              <w:spacing w:after="0"/>
              <w:rPr>
                <w:rFonts w:ascii="Arial" w:cs="Arial" w:eastAsia="Arial" w:hAnsi="Arial"/>
                <w:sz w:val="18"/>
                <w:szCs w:val="18"/>
                <w:color w:val="0000FF"/>
              </w:rPr>
            </w:pPr>
            <w:hyperlink w:anchor="page23">
              <w:r>
                <w:rPr>
                  <w:rFonts w:ascii="Arial" w:cs="Arial" w:eastAsia="Arial" w:hAnsi="Arial"/>
                  <w:sz w:val="18"/>
                  <w:szCs w:val="18"/>
                  <w:color w:val="0000FF"/>
                </w:rPr>
                <w:t>Item 3.</w:t>
              </w:r>
            </w:hyperlink>
          </w:p>
        </w:tc>
        <w:tc>
          <w:tcPr>
            <w:tcW w:w="2320" w:type="dxa"/>
            <w:vAlign w:val="bottom"/>
            <w:tcBorders>
              <w:bottom w:val="single" w:sz="8" w:color="0000FF"/>
            </w:tcBorders>
            <w:gridSpan w:val="7"/>
          </w:tcPr>
          <w:p>
            <w:pPr>
              <w:spacing w:after="0"/>
              <w:rPr>
                <w:rFonts w:ascii="Arial" w:cs="Arial" w:eastAsia="Arial" w:hAnsi="Arial"/>
                <w:sz w:val="18"/>
                <w:szCs w:val="18"/>
                <w:color w:val="0000FF"/>
                <w:w w:val="90"/>
              </w:rPr>
            </w:pPr>
            <w:hyperlink w:anchor="page23">
              <w:r>
                <w:rPr>
                  <w:rFonts w:ascii="Arial" w:cs="Arial" w:eastAsia="Arial" w:hAnsi="Arial"/>
                  <w:sz w:val="18"/>
                  <w:szCs w:val="18"/>
                  <w:color w:val="0000FF"/>
                  <w:w w:val="90"/>
                </w:rPr>
                <w:t>Defaults Upon Senior Securities</w:t>
              </w:r>
            </w:hyperlink>
          </w:p>
        </w:tc>
        <w:tc>
          <w:tcPr>
            <w:tcW w:w="6860" w:type="dxa"/>
            <w:vAlign w:val="bottom"/>
            <w:gridSpan w:val="6"/>
          </w:tcPr>
          <w:p>
            <w:pPr>
              <w:spacing w:after="0"/>
              <w:rPr>
                <w:sz w:val="24"/>
                <w:szCs w:val="24"/>
                <w:color w:val="auto"/>
              </w:rPr>
            </w:pPr>
          </w:p>
        </w:tc>
        <w:tc>
          <w:tcPr>
            <w:tcW w:w="860" w:type="dxa"/>
            <w:vAlign w:val="bottom"/>
            <w:gridSpan w:val="3"/>
          </w:tcPr>
          <w:p>
            <w:pPr>
              <w:jc w:val="center"/>
              <w:ind w:left="590"/>
              <w:spacing w:after="0"/>
              <w:rPr>
                <w:rFonts w:ascii="Arial" w:cs="Arial" w:eastAsia="Arial" w:hAnsi="Arial"/>
                <w:sz w:val="18"/>
                <w:szCs w:val="18"/>
                <w:color w:val="0000FF"/>
                <w:w w:val="89"/>
              </w:rPr>
            </w:pPr>
            <w:hyperlink w:anchor="page23">
              <w:r>
                <w:rPr>
                  <w:rFonts w:ascii="Arial" w:cs="Arial" w:eastAsia="Arial" w:hAnsi="Arial"/>
                  <w:sz w:val="18"/>
                  <w:szCs w:val="18"/>
                  <w:color w:val="0000FF"/>
                  <w:w w:val="89"/>
                </w:rPr>
                <w:t>21</w:t>
              </w:r>
            </w:hyperlink>
          </w:p>
        </w:tc>
      </w:tr>
      <w:tr>
        <w:trPr>
          <w:trHeight w:val="439"/>
        </w:trPr>
        <w:tc>
          <w:tcPr>
            <w:tcW w:w="920" w:type="dxa"/>
            <w:vAlign w:val="bottom"/>
            <w:gridSpan w:val="3"/>
          </w:tcPr>
          <w:p>
            <w:pPr>
              <w:spacing w:after="0"/>
              <w:rPr>
                <w:rFonts w:ascii="Arial" w:cs="Arial" w:eastAsia="Arial" w:hAnsi="Arial"/>
                <w:sz w:val="18"/>
                <w:szCs w:val="18"/>
                <w:color w:val="0000FF"/>
              </w:rPr>
            </w:pPr>
            <w:hyperlink w:anchor="page23">
              <w:r>
                <w:rPr>
                  <w:rFonts w:ascii="Arial" w:cs="Arial" w:eastAsia="Arial" w:hAnsi="Arial"/>
                  <w:sz w:val="18"/>
                  <w:szCs w:val="18"/>
                  <w:color w:val="0000FF"/>
                </w:rPr>
                <w:t>Item 4.</w:t>
              </w:r>
            </w:hyperlink>
          </w:p>
        </w:tc>
        <w:tc>
          <w:tcPr>
            <w:tcW w:w="9180" w:type="dxa"/>
            <w:vAlign w:val="bottom"/>
            <w:gridSpan w:val="13"/>
          </w:tcPr>
          <w:p>
            <w:pPr>
              <w:spacing w:after="0"/>
              <w:rPr>
                <w:rFonts w:ascii="Arial" w:cs="Arial" w:eastAsia="Arial" w:hAnsi="Arial"/>
                <w:sz w:val="18"/>
                <w:szCs w:val="18"/>
                <w:color w:val="0000FF"/>
              </w:rPr>
            </w:pPr>
            <w:hyperlink w:anchor="page23">
              <w:r>
                <w:rPr>
                  <w:rFonts w:ascii="Arial" w:cs="Arial" w:eastAsia="Arial" w:hAnsi="Arial"/>
                  <w:sz w:val="18"/>
                  <w:szCs w:val="18"/>
                  <w:color w:val="0000FF"/>
                </w:rPr>
                <w:t>Mine Safety Disclosures</w:t>
              </w:r>
            </w:hyperlink>
          </w:p>
        </w:tc>
        <w:tc>
          <w:tcPr>
            <w:tcW w:w="860" w:type="dxa"/>
            <w:vAlign w:val="bottom"/>
            <w:gridSpan w:val="3"/>
          </w:tcPr>
          <w:p>
            <w:pPr>
              <w:jc w:val="center"/>
              <w:ind w:left="590"/>
              <w:spacing w:after="0"/>
              <w:rPr>
                <w:rFonts w:ascii="Arial" w:cs="Arial" w:eastAsia="Arial" w:hAnsi="Arial"/>
                <w:sz w:val="18"/>
                <w:szCs w:val="18"/>
                <w:color w:val="0000FF"/>
                <w:w w:val="89"/>
              </w:rPr>
            </w:pPr>
            <w:hyperlink w:anchor="page23">
              <w:r>
                <w:rPr>
                  <w:rFonts w:ascii="Arial" w:cs="Arial" w:eastAsia="Arial" w:hAnsi="Arial"/>
                  <w:sz w:val="18"/>
                  <w:szCs w:val="18"/>
                  <w:color w:val="0000FF"/>
                  <w:w w:val="89"/>
                </w:rPr>
                <w:t>21</w:t>
              </w:r>
            </w:hyperlink>
          </w:p>
        </w:tc>
      </w:tr>
      <w:tr>
        <w:trPr>
          <w:trHeight w:val="20"/>
        </w:trPr>
        <w:tc>
          <w:tcPr>
            <w:tcW w:w="500" w:type="dxa"/>
            <w:vAlign w:val="bottom"/>
            <w:shd w:val="clear" w:color="auto" w:fill="0000FF"/>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700" w:type="dxa"/>
            <w:vAlign w:val="bottom"/>
            <w:gridSpan w:val="2"/>
            <w:shd w:val="clear" w:color="auto" w:fill="0000FF"/>
          </w:tcPr>
          <w:p>
            <w:pPr>
              <w:spacing w:after="0" w:line="20" w:lineRule="exact"/>
              <w:rPr>
                <w:sz w:val="1"/>
                <w:szCs w:val="1"/>
                <w:color w:val="auto"/>
              </w:rPr>
            </w:pPr>
          </w:p>
        </w:tc>
        <w:tc>
          <w:tcPr>
            <w:tcW w:w="460" w:type="dxa"/>
            <w:vAlign w:val="bottom"/>
            <w:tcBorders>
              <w:left w:val="single" w:sz="8" w:color="0000FF"/>
            </w:tcBorders>
            <w:gridSpan w:val="2"/>
            <w:shd w:val="clear" w:color="auto" w:fill="0000FF"/>
          </w:tcPr>
          <w:p>
            <w:pPr>
              <w:spacing w:after="0" w:line="20" w:lineRule="exact"/>
              <w:rPr>
                <w:sz w:val="1"/>
                <w:szCs w:val="1"/>
                <w:color w:val="auto"/>
              </w:rPr>
            </w:pPr>
          </w:p>
        </w:tc>
        <w:tc>
          <w:tcPr>
            <w:tcW w:w="7420" w:type="dxa"/>
            <w:vAlign w:val="bottom"/>
            <w:gridSpan w:val="8"/>
          </w:tcPr>
          <w:p>
            <w:pPr>
              <w:spacing w:after="0" w:line="20" w:lineRule="exact"/>
              <w:rPr>
                <w:sz w:val="1"/>
                <w:szCs w:val="1"/>
                <w:color w:val="auto"/>
              </w:rPr>
            </w:pPr>
          </w:p>
        </w:tc>
        <w:tc>
          <w:tcPr>
            <w:tcW w:w="720" w:type="dxa"/>
            <w:vAlign w:val="bottom"/>
            <w:tcBorders>
              <w:right w:val="single" w:sz="8" w:color="0000FF"/>
            </w:tcBorders>
          </w:tcPr>
          <w:p>
            <w:pPr>
              <w:spacing w:after="0" w:line="20" w:lineRule="exact"/>
              <w:rPr>
                <w:sz w:val="1"/>
                <w:szCs w:val="1"/>
                <w:color w:val="auto"/>
              </w:rPr>
            </w:pPr>
          </w:p>
        </w:tc>
        <w:tc>
          <w:tcPr>
            <w:tcW w:w="140" w:type="dxa"/>
            <w:vAlign w:val="bottom"/>
            <w:gridSpan w:val="2"/>
            <w:shd w:val="clear" w:color="auto" w:fill="0000FF"/>
          </w:tcPr>
          <w:p>
            <w:pPr>
              <w:spacing w:after="0" w:line="20" w:lineRule="exact"/>
              <w:rPr>
                <w:sz w:val="1"/>
                <w:szCs w:val="1"/>
                <w:color w:val="auto"/>
              </w:rPr>
            </w:pPr>
          </w:p>
        </w:tc>
      </w:tr>
      <w:tr>
        <w:trPr>
          <w:trHeight w:val="439"/>
        </w:trPr>
        <w:tc>
          <w:tcPr>
            <w:tcW w:w="920" w:type="dxa"/>
            <w:vAlign w:val="bottom"/>
            <w:gridSpan w:val="3"/>
          </w:tcPr>
          <w:p>
            <w:pPr>
              <w:spacing w:after="0"/>
              <w:rPr>
                <w:rFonts w:ascii="Arial" w:cs="Arial" w:eastAsia="Arial" w:hAnsi="Arial"/>
                <w:sz w:val="18"/>
                <w:szCs w:val="18"/>
                <w:color w:val="0000FF"/>
              </w:rPr>
            </w:pPr>
            <w:hyperlink w:anchor="page23">
              <w:r>
                <w:rPr>
                  <w:rFonts w:ascii="Arial" w:cs="Arial" w:eastAsia="Arial" w:hAnsi="Arial"/>
                  <w:sz w:val="18"/>
                  <w:szCs w:val="18"/>
                  <w:color w:val="0000FF"/>
                </w:rPr>
                <w:t>Item 5.</w:t>
              </w:r>
            </w:hyperlink>
          </w:p>
        </w:tc>
        <w:tc>
          <w:tcPr>
            <w:tcW w:w="9180" w:type="dxa"/>
            <w:vAlign w:val="bottom"/>
            <w:gridSpan w:val="13"/>
          </w:tcPr>
          <w:p>
            <w:pPr>
              <w:spacing w:after="0"/>
              <w:rPr>
                <w:rFonts w:ascii="Arial" w:cs="Arial" w:eastAsia="Arial" w:hAnsi="Arial"/>
                <w:sz w:val="18"/>
                <w:szCs w:val="18"/>
                <w:color w:val="0000FF"/>
              </w:rPr>
            </w:pPr>
            <w:hyperlink w:anchor="page23">
              <w:r>
                <w:rPr>
                  <w:rFonts w:ascii="Arial" w:cs="Arial" w:eastAsia="Arial" w:hAnsi="Arial"/>
                  <w:sz w:val="18"/>
                  <w:szCs w:val="18"/>
                  <w:color w:val="0000FF"/>
                </w:rPr>
                <w:t>Other Information</w:t>
              </w:r>
            </w:hyperlink>
          </w:p>
        </w:tc>
        <w:tc>
          <w:tcPr>
            <w:tcW w:w="860" w:type="dxa"/>
            <w:vAlign w:val="bottom"/>
            <w:gridSpan w:val="3"/>
          </w:tcPr>
          <w:p>
            <w:pPr>
              <w:jc w:val="center"/>
              <w:ind w:left="590"/>
              <w:spacing w:after="0"/>
              <w:rPr>
                <w:rFonts w:ascii="Arial" w:cs="Arial" w:eastAsia="Arial" w:hAnsi="Arial"/>
                <w:sz w:val="18"/>
                <w:szCs w:val="18"/>
                <w:color w:val="0000FF"/>
                <w:w w:val="89"/>
              </w:rPr>
            </w:pPr>
            <w:hyperlink w:anchor="page23">
              <w:r>
                <w:rPr>
                  <w:rFonts w:ascii="Arial" w:cs="Arial" w:eastAsia="Arial" w:hAnsi="Arial"/>
                  <w:sz w:val="18"/>
                  <w:szCs w:val="18"/>
                  <w:color w:val="0000FF"/>
                  <w:w w:val="89"/>
                </w:rPr>
                <w:t>21</w:t>
              </w:r>
            </w:hyperlink>
          </w:p>
        </w:tc>
      </w:tr>
      <w:tr>
        <w:trPr>
          <w:trHeight w:val="20"/>
        </w:trPr>
        <w:tc>
          <w:tcPr>
            <w:tcW w:w="500" w:type="dxa"/>
            <w:vAlign w:val="bottom"/>
            <w:shd w:val="clear" w:color="auto" w:fill="0000FF"/>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700" w:type="dxa"/>
            <w:vAlign w:val="bottom"/>
            <w:gridSpan w:val="2"/>
            <w:shd w:val="clear" w:color="auto" w:fill="0000FF"/>
          </w:tcPr>
          <w:p>
            <w:pPr>
              <w:spacing w:after="0" w:line="20" w:lineRule="exact"/>
              <w:rPr>
                <w:sz w:val="1"/>
                <w:szCs w:val="1"/>
                <w:color w:val="auto"/>
              </w:rPr>
            </w:pPr>
          </w:p>
        </w:tc>
        <w:tc>
          <w:tcPr>
            <w:tcW w:w="7880" w:type="dxa"/>
            <w:vAlign w:val="bottom"/>
            <w:gridSpan w:val="10"/>
          </w:tcPr>
          <w:p>
            <w:pPr>
              <w:spacing w:after="0" w:line="20" w:lineRule="exact"/>
              <w:rPr>
                <w:sz w:val="1"/>
                <w:szCs w:val="1"/>
                <w:color w:val="auto"/>
              </w:rPr>
            </w:pPr>
          </w:p>
        </w:tc>
        <w:tc>
          <w:tcPr>
            <w:tcW w:w="720" w:type="dxa"/>
            <w:vAlign w:val="bottom"/>
            <w:tcBorders>
              <w:right w:val="single" w:sz="8" w:color="0000FF"/>
            </w:tcBorders>
          </w:tcPr>
          <w:p>
            <w:pPr>
              <w:spacing w:after="0" w:line="20" w:lineRule="exact"/>
              <w:rPr>
                <w:sz w:val="1"/>
                <w:szCs w:val="1"/>
                <w:color w:val="auto"/>
              </w:rPr>
            </w:pPr>
          </w:p>
        </w:tc>
        <w:tc>
          <w:tcPr>
            <w:tcW w:w="140" w:type="dxa"/>
            <w:vAlign w:val="bottom"/>
            <w:gridSpan w:val="2"/>
            <w:shd w:val="clear" w:color="auto" w:fill="0000FF"/>
          </w:tcPr>
          <w:p>
            <w:pPr>
              <w:spacing w:after="0" w:line="20" w:lineRule="exact"/>
              <w:rPr>
                <w:sz w:val="1"/>
                <w:szCs w:val="1"/>
                <w:color w:val="auto"/>
              </w:rPr>
            </w:pPr>
          </w:p>
        </w:tc>
      </w:tr>
      <w:tr>
        <w:trPr>
          <w:trHeight w:val="439"/>
        </w:trPr>
        <w:tc>
          <w:tcPr>
            <w:tcW w:w="920" w:type="dxa"/>
            <w:vAlign w:val="bottom"/>
            <w:gridSpan w:val="3"/>
          </w:tcPr>
          <w:p>
            <w:pPr>
              <w:spacing w:after="0"/>
              <w:rPr>
                <w:rFonts w:ascii="Arial" w:cs="Arial" w:eastAsia="Arial" w:hAnsi="Arial"/>
                <w:sz w:val="18"/>
                <w:szCs w:val="18"/>
                <w:color w:val="0000FF"/>
              </w:rPr>
            </w:pPr>
            <w:hyperlink w:anchor="page23">
              <w:r>
                <w:rPr>
                  <w:rFonts w:ascii="Arial" w:cs="Arial" w:eastAsia="Arial" w:hAnsi="Arial"/>
                  <w:sz w:val="18"/>
                  <w:szCs w:val="18"/>
                  <w:color w:val="0000FF"/>
                </w:rPr>
                <w:t>Item 6.</w:t>
              </w:r>
            </w:hyperlink>
          </w:p>
        </w:tc>
        <w:tc>
          <w:tcPr>
            <w:tcW w:w="9180" w:type="dxa"/>
            <w:vAlign w:val="bottom"/>
            <w:gridSpan w:val="13"/>
          </w:tcPr>
          <w:p>
            <w:pPr>
              <w:spacing w:after="0"/>
              <w:rPr>
                <w:rFonts w:ascii="Arial" w:cs="Arial" w:eastAsia="Arial" w:hAnsi="Arial"/>
                <w:sz w:val="18"/>
                <w:szCs w:val="18"/>
                <w:color w:val="0000FF"/>
              </w:rPr>
            </w:pPr>
            <w:hyperlink w:anchor="page23">
              <w:r>
                <w:rPr>
                  <w:rFonts w:ascii="Arial" w:cs="Arial" w:eastAsia="Arial" w:hAnsi="Arial"/>
                  <w:sz w:val="18"/>
                  <w:szCs w:val="18"/>
                  <w:color w:val="0000FF"/>
                </w:rPr>
                <w:t>Exhibits</w:t>
              </w:r>
            </w:hyperlink>
          </w:p>
        </w:tc>
        <w:tc>
          <w:tcPr>
            <w:tcW w:w="860" w:type="dxa"/>
            <w:vAlign w:val="bottom"/>
            <w:gridSpan w:val="3"/>
          </w:tcPr>
          <w:p>
            <w:pPr>
              <w:jc w:val="center"/>
              <w:ind w:left="590"/>
              <w:spacing w:after="0"/>
              <w:rPr>
                <w:rFonts w:ascii="Arial" w:cs="Arial" w:eastAsia="Arial" w:hAnsi="Arial"/>
                <w:sz w:val="18"/>
                <w:szCs w:val="18"/>
                <w:color w:val="0000FF"/>
                <w:w w:val="89"/>
              </w:rPr>
            </w:pPr>
            <w:hyperlink w:anchor="page23">
              <w:r>
                <w:rPr>
                  <w:rFonts w:ascii="Arial" w:cs="Arial" w:eastAsia="Arial" w:hAnsi="Arial"/>
                  <w:sz w:val="18"/>
                  <w:szCs w:val="18"/>
                  <w:color w:val="0000FF"/>
                  <w:w w:val="89"/>
                </w:rPr>
                <w:t>21</w:t>
              </w:r>
            </w:hyperlink>
          </w:p>
        </w:tc>
      </w:tr>
      <w:tr>
        <w:trPr>
          <w:trHeight w:val="20"/>
        </w:trPr>
        <w:tc>
          <w:tcPr>
            <w:tcW w:w="500" w:type="dxa"/>
            <w:vAlign w:val="bottom"/>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2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r>
    </w:tbl>
    <w:p>
      <w:pPr>
        <w:sectPr>
          <w:pgSz w:w="11900" w:h="16838" w:orient="portrait"/>
          <w:cols w:equalWidth="0" w:num="1">
            <w:col w:w="10960"/>
          </w:cols>
          <w:pgMar w:left="280" w:top="121" w:right="659" w:bottom="1440" w:gutter="0" w:footer="0" w:header="0"/>
        </w:sectPr>
      </w:pPr>
    </w:p>
    <w:bookmarkStart w:id="2" w:name="page3"/>
    <w:bookmarkEnd w:id="2"/>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3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 – FINANCIAL INFORMATION</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CLEARONE,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 except par value)</w:t>
      </w:r>
    </w:p>
    <w:p>
      <w:pPr>
        <w:spacing w:after="0" w:line="387"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7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920" w:type="dxa"/>
            <w:vAlign w:val="bottom"/>
            <w:gridSpan w:val="2"/>
          </w:tcPr>
          <w:p>
            <w:pPr>
              <w:jc w:val="center"/>
              <w:ind w:right="320"/>
              <w:spacing w:after="0"/>
              <w:rPr>
                <w:sz w:val="20"/>
                <w:szCs w:val="20"/>
                <w:color w:val="auto"/>
              </w:rPr>
            </w:pPr>
            <w:r>
              <w:rPr>
                <w:rFonts w:ascii="Arial" w:cs="Arial" w:eastAsia="Arial" w:hAnsi="Arial"/>
                <w:sz w:val="16"/>
                <w:szCs w:val="16"/>
                <w:b w:val="1"/>
                <w:bCs w:val="1"/>
                <w:color w:val="auto"/>
                <w:w w:val="90"/>
              </w:rPr>
              <w:t>September 30, 2014</w:t>
            </w:r>
          </w:p>
        </w:tc>
        <w:tc>
          <w:tcPr>
            <w:tcW w:w="260" w:type="dxa"/>
            <w:vAlign w:val="bottom"/>
          </w:tcPr>
          <w:p>
            <w:pPr>
              <w:spacing w:after="0"/>
              <w:rPr>
                <w:sz w:val="18"/>
                <w:szCs w:val="18"/>
                <w:color w:val="auto"/>
              </w:rPr>
            </w:pPr>
          </w:p>
        </w:tc>
        <w:tc>
          <w:tcPr>
            <w:tcW w:w="1800" w:type="dxa"/>
            <w:vAlign w:val="bottom"/>
          </w:tcPr>
          <w:p>
            <w:pPr>
              <w:jc w:val="right"/>
              <w:ind w:right="291"/>
              <w:spacing w:after="0"/>
              <w:rPr>
                <w:sz w:val="20"/>
                <w:szCs w:val="20"/>
                <w:color w:val="auto"/>
              </w:rPr>
            </w:pPr>
            <w:r>
              <w:rPr>
                <w:rFonts w:ascii="Arial" w:cs="Arial" w:eastAsia="Arial" w:hAnsi="Arial"/>
                <w:sz w:val="16"/>
                <w:szCs w:val="16"/>
                <w:b w:val="1"/>
                <w:bCs w:val="1"/>
                <w:color w:val="auto"/>
                <w:w w:val="97"/>
              </w:rPr>
              <w:t>December 31, 2013</w:t>
            </w:r>
          </w:p>
        </w:tc>
        <w:tc>
          <w:tcPr>
            <w:tcW w:w="0" w:type="dxa"/>
            <w:vAlign w:val="bottom"/>
          </w:tcPr>
          <w:p>
            <w:pPr>
              <w:spacing w:after="0"/>
              <w:rPr>
                <w:sz w:val="1"/>
                <w:szCs w:val="1"/>
                <w:color w:val="auto"/>
              </w:rPr>
            </w:pPr>
          </w:p>
        </w:tc>
      </w:tr>
      <w:tr>
        <w:trPr>
          <w:trHeight w:val="270"/>
        </w:trPr>
        <w:tc>
          <w:tcPr>
            <w:tcW w:w="7200" w:type="dxa"/>
            <w:vAlign w:val="bottom"/>
          </w:tcPr>
          <w:p>
            <w:pPr>
              <w:ind w:left="3300"/>
              <w:spacing w:after="0"/>
              <w:rPr>
                <w:sz w:val="20"/>
                <w:szCs w:val="20"/>
                <w:color w:val="auto"/>
              </w:rPr>
            </w:pPr>
            <w:r>
              <w:rPr>
                <w:rFonts w:ascii="Arial" w:cs="Arial" w:eastAsia="Arial" w:hAnsi="Arial"/>
                <w:sz w:val="16"/>
                <w:szCs w:val="16"/>
                <w:b w:val="1"/>
                <w:bCs w:val="1"/>
                <w:color w:val="auto"/>
              </w:rPr>
              <w:t>ASSETS</w:t>
            </w:r>
          </w:p>
        </w:tc>
        <w:tc>
          <w:tcPr>
            <w:tcW w:w="240" w:type="dxa"/>
            <w:vAlign w:val="bottom"/>
          </w:tcPr>
          <w:p>
            <w:pPr>
              <w:spacing w:after="0"/>
              <w:rPr>
                <w:sz w:val="23"/>
                <w:szCs w:val="23"/>
                <w:color w:val="auto"/>
              </w:rPr>
            </w:pPr>
          </w:p>
        </w:tc>
        <w:tc>
          <w:tcPr>
            <w:tcW w:w="1920" w:type="dxa"/>
            <w:vAlign w:val="bottom"/>
            <w:gridSpan w:val="2"/>
          </w:tcPr>
          <w:p>
            <w:pPr>
              <w:jc w:val="center"/>
              <w:ind w:right="340"/>
              <w:spacing w:after="0"/>
              <w:rPr>
                <w:sz w:val="20"/>
                <w:szCs w:val="20"/>
                <w:color w:val="auto"/>
              </w:rPr>
            </w:pPr>
            <w:r>
              <w:rPr>
                <w:rFonts w:ascii="Arial" w:cs="Arial" w:eastAsia="Arial" w:hAnsi="Arial"/>
                <w:sz w:val="16"/>
                <w:szCs w:val="16"/>
                <w:b w:val="1"/>
                <w:bCs w:val="1"/>
                <w:color w:val="auto"/>
                <w:w w:val="94"/>
              </w:rPr>
              <w:t>Unaudited</w:t>
            </w:r>
          </w:p>
        </w:tc>
        <w:tc>
          <w:tcPr>
            <w:tcW w:w="260" w:type="dxa"/>
            <w:vAlign w:val="bottom"/>
          </w:tcPr>
          <w:p>
            <w:pPr>
              <w:spacing w:after="0"/>
              <w:rPr>
                <w:sz w:val="23"/>
                <w:szCs w:val="23"/>
                <w:color w:val="auto"/>
              </w:rPr>
            </w:pPr>
          </w:p>
        </w:tc>
        <w:tc>
          <w:tcPr>
            <w:tcW w:w="18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33"/>
        </w:trPr>
        <w:tc>
          <w:tcPr>
            <w:tcW w:w="72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7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Current assets:</w:t>
            </w:r>
          </w:p>
        </w:tc>
        <w:tc>
          <w:tcPr>
            <w:tcW w:w="240" w:type="dxa"/>
            <w:vAlign w:val="bottom"/>
            <w:tcBorders>
              <w:bottom w:val="single" w:sz="8" w:color="CCEEFF"/>
            </w:tcBorders>
            <w:shd w:val="clear" w:color="auto" w:fill="CCEEFF"/>
          </w:tcPr>
          <w:p>
            <w:pPr>
              <w:spacing w:after="0"/>
              <w:rPr>
                <w:sz w:val="21"/>
                <w:szCs w:val="21"/>
                <w:color w:val="auto"/>
              </w:rPr>
            </w:pPr>
          </w:p>
        </w:tc>
        <w:tc>
          <w:tcPr>
            <w:tcW w:w="18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8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200" w:type="dxa"/>
            <w:vAlign w:val="bottom"/>
          </w:tcPr>
          <w:p>
            <w:pPr>
              <w:ind w:left="40"/>
              <w:spacing w:after="0"/>
              <w:rPr>
                <w:sz w:val="20"/>
                <w:szCs w:val="20"/>
                <w:color w:val="auto"/>
              </w:rPr>
            </w:pPr>
            <w:r>
              <w:rPr>
                <w:rFonts w:ascii="Arial" w:cs="Arial" w:eastAsia="Arial" w:hAnsi="Arial"/>
                <w:sz w:val="18"/>
                <w:szCs w:val="18"/>
                <w:color w:val="auto"/>
              </w:rPr>
              <w:t>Cash and cash equivalents</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820" w:type="dxa"/>
            <w:vAlign w:val="bottom"/>
          </w:tcPr>
          <w:p>
            <w:pPr>
              <w:jc w:val="right"/>
              <w:ind w:right="11"/>
              <w:spacing w:after="0"/>
              <w:rPr>
                <w:sz w:val="20"/>
                <w:szCs w:val="20"/>
                <w:color w:val="auto"/>
              </w:rPr>
            </w:pPr>
            <w:r>
              <w:rPr>
                <w:rFonts w:ascii="Arial" w:cs="Arial" w:eastAsia="Arial" w:hAnsi="Arial"/>
                <w:sz w:val="18"/>
                <w:szCs w:val="18"/>
                <w:color w:val="auto"/>
              </w:rPr>
              <w:t>8,892</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800" w:type="dxa"/>
            <w:vAlign w:val="bottom"/>
          </w:tcPr>
          <w:p>
            <w:pPr>
              <w:jc w:val="right"/>
              <w:ind w:right="11"/>
              <w:spacing w:after="0"/>
              <w:rPr>
                <w:sz w:val="20"/>
                <w:szCs w:val="20"/>
                <w:color w:val="auto"/>
              </w:rPr>
            </w:pPr>
            <w:r>
              <w:rPr>
                <w:rFonts w:ascii="Arial" w:cs="Arial" w:eastAsia="Arial" w:hAnsi="Arial"/>
                <w:sz w:val="18"/>
                <w:szCs w:val="18"/>
                <w:color w:val="auto"/>
              </w:rPr>
              <w:t>17,192</w:t>
            </w:r>
          </w:p>
        </w:tc>
        <w:tc>
          <w:tcPr>
            <w:tcW w:w="0" w:type="dxa"/>
            <w:vAlign w:val="bottom"/>
          </w:tcPr>
          <w:p>
            <w:pPr>
              <w:spacing w:after="0"/>
              <w:rPr>
                <w:sz w:val="1"/>
                <w:szCs w:val="1"/>
                <w:color w:val="auto"/>
              </w:rPr>
            </w:pPr>
          </w:p>
        </w:tc>
      </w:tr>
      <w:tr>
        <w:trPr>
          <w:trHeight w:val="27"/>
        </w:trPr>
        <w:tc>
          <w:tcPr>
            <w:tcW w:w="72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Marketable securities</w:t>
            </w:r>
          </w:p>
        </w:tc>
        <w:tc>
          <w:tcPr>
            <w:tcW w:w="240" w:type="dxa"/>
            <w:vAlign w:val="bottom"/>
            <w:tcBorders>
              <w:bottom w:val="single" w:sz="8" w:color="CCEEFF"/>
            </w:tcBorders>
            <w:shd w:val="clear" w:color="auto" w:fill="CCEEFF"/>
          </w:tcPr>
          <w:p>
            <w:pPr>
              <w:spacing w:after="0"/>
              <w:rPr>
                <w:sz w:val="21"/>
                <w:szCs w:val="21"/>
                <w:color w:val="auto"/>
              </w:rPr>
            </w:pPr>
          </w:p>
        </w:tc>
        <w:tc>
          <w:tcPr>
            <w:tcW w:w="18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5,785</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8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3,200</w:t>
            </w:r>
          </w:p>
        </w:tc>
        <w:tc>
          <w:tcPr>
            <w:tcW w:w="0" w:type="dxa"/>
            <w:vAlign w:val="bottom"/>
          </w:tcPr>
          <w:p>
            <w:pPr>
              <w:spacing w:after="0"/>
              <w:rPr>
                <w:sz w:val="1"/>
                <w:szCs w:val="1"/>
                <w:color w:val="auto"/>
              </w:rPr>
            </w:pPr>
          </w:p>
        </w:tc>
      </w:tr>
      <w:tr>
        <w:trPr>
          <w:trHeight w:val="243"/>
        </w:trPr>
        <w:tc>
          <w:tcPr>
            <w:tcW w:w="7200" w:type="dxa"/>
            <w:vAlign w:val="bottom"/>
          </w:tcPr>
          <w:p>
            <w:pPr>
              <w:ind w:left="40"/>
              <w:spacing w:after="0"/>
              <w:rPr>
                <w:sz w:val="20"/>
                <w:szCs w:val="20"/>
                <w:color w:val="auto"/>
              </w:rPr>
            </w:pPr>
            <w:r>
              <w:rPr>
                <w:rFonts w:ascii="Arial" w:cs="Arial" w:eastAsia="Arial" w:hAnsi="Arial"/>
                <w:sz w:val="18"/>
                <w:szCs w:val="18"/>
                <w:color w:val="auto"/>
              </w:rPr>
              <w:t>Receivables, net of allowance for doubtful accounts of $71 and $129, respectively</w:t>
            </w:r>
          </w:p>
        </w:tc>
        <w:tc>
          <w:tcPr>
            <w:tcW w:w="240" w:type="dxa"/>
            <w:vAlign w:val="bottom"/>
          </w:tcPr>
          <w:p>
            <w:pPr>
              <w:spacing w:after="0"/>
              <w:rPr>
                <w:sz w:val="21"/>
                <w:szCs w:val="21"/>
                <w:color w:val="auto"/>
              </w:rPr>
            </w:pPr>
          </w:p>
        </w:tc>
        <w:tc>
          <w:tcPr>
            <w:tcW w:w="1820" w:type="dxa"/>
            <w:vAlign w:val="bottom"/>
          </w:tcPr>
          <w:p>
            <w:pPr>
              <w:jc w:val="right"/>
              <w:ind w:right="11"/>
              <w:spacing w:after="0"/>
              <w:rPr>
                <w:sz w:val="20"/>
                <w:szCs w:val="20"/>
                <w:color w:val="auto"/>
              </w:rPr>
            </w:pPr>
            <w:r>
              <w:rPr>
                <w:rFonts w:ascii="Arial" w:cs="Arial" w:eastAsia="Arial" w:hAnsi="Arial"/>
                <w:sz w:val="18"/>
                <w:szCs w:val="18"/>
                <w:color w:val="auto"/>
              </w:rPr>
              <w:t>9,658</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800" w:type="dxa"/>
            <w:vAlign w:val="bottom"/>
          </w:tcPr>
          <w:p>
            <w:pPr>
              <w:jc w:val="right"/>
              <w:ind w:right="11"/>
              <w:spacing w:after="0"/>
              <w:rPr>
                <w:sz w:val="20"/>
                <w:szCs w:val="20"/>
                <w:color w:val="auto"/>
              </w:rPr>
            </w:pPr>
            <w:r>
              <w:rPr>
                <w:rFonts w:ascii="Arial" w:cs="Arial" w:eastAsia="Arial" w:hAnsi="Arial"/>
                <w:sz w:val="18"/>
                <w:szCs w:val="18"/>
                <w:color w:val="auto"/>
              </w:rPr>
              <w:t>9,378</w:t>
            </w:r>
          </w:p>
        </w:tc>
        <w:tc>
          <w:tcPr>
            <w:tcW w:w="0" w:type="dxa"/>
            <w:vAlign w:val="bottom"/>
          </w:tcPr>
          <w:p>
            <w:pPr>
              <w:spacing w:after="0"/>
              <w:rPr>
                <w:sz w:val="1"/>
                <w:szCs w:val="1"/>
                <w:color w:val="auto"/>
              </w:rPr>
            </w:pPr>
          </w:p>
        </w:tc>
      </w:tr>
      <w:tr>
        <w:trPr>
          <w:trHeight w:val="27"/>
        </w:trPr>
        <w:tc>
          <w:tcPr>
            <w:tcW w:w="72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Inventories</w:t>
            </w:r>
          </w:p>
        </w:tc>
        <w:tc>
          <w:tcPr>
            <w:tcW w:w="240" w:type="dxa"/>
            <w:vAlign w:val="bottom"/>
            <w:tcBorders>
              <w:bottom w:val="single" w:sz="8" w:color="CCEEFF"/>
            </w:tcBorders>
            <w:shd w:val="clear" w:color="auto" w:fill="CCEEFF"/>
          </w:tcPr>
          <w:p>
            <w:pPr>
              <w:spacing w:after="0"/>
              <w:rPr>
                <w:sz w:val="21"/>
                <w:szCs w:val="21"/>
                <w:color w:val="auto"/>
              </w:rPr>
            </w:pPr>
          </w:p>
        </w:tc>
        <w:tc>
          <w:tcPr>
            <w:tcW w:w="18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11,673</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8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10,758</w:t>
            </w:r>
          </w:p>
        </w:tc>
        <w:tc>
          <w:tcPr>
            <w:tcW w:w="0" w:type="dxa"/>
            <w:vAlign w:val="bottom"/>
          </w:tcPr>
          <w:p>
            <w:pPr>
              <w:spacing w:after="0"/>
              <w:rPr>
                <w:sz w:val="1"/>
                <w:szCs w:val="1"/>
                <w:color w:val="auto"/>
              </w:rPr>
            </w:pPr>
          </w:p>
        </w:tc>
      </w:tr>
      <w:tr>
        <w:trPr>
          <w:trHeight w:val="243"/>
        </w:trPr>
        <w:tc>
          <w:tcPr>
            <w:tcW w:w="7200" w:type="dxa"/>
            <w:vAlign w:val="bottom"/>
          </w:tcPr>
          <w:p>
            <w:pPr>
              <w:ind w:left="40"/>
              <w:spacing w:after="0"/>
              <w:rPr>
                <w:sz w:val="20"/>
                <w:szCs w:val="20"/>
                <w:color w:val="auto"/>
              </w:rPr>
            </w:pPr>
            <w:r>
              <w:rPr>
                <w:rFonts w:ascii="Arial" w:cs="Arial" w:eastAsia="Arial" w:hAnsi="Arial"/>
                <w:sz w:val="18"/>
                <w:szCs w:val="18"/>
                <w:color w:val="auto"/>
              </w:rPr>
              <w:t>Distributor channel inventories</w:t>
            </w:r>
          </w:p>
        </w:tc>
        <w:tc>
          <w:tcPr>
            <w:tcW w:w="240" w:type="dxa"/>
            <w:vAlign w:val="bottom"/>
          </w:tcPr>
          <w:p>
            <w:pPr>
              <w:spacing w:after="0"/>
              <w:rPr>
                <w:sz w:val="21"/>
                <w:szCs w:val="21"/>
                <w:color w:val="auto"/>
              </w:rPr>
            </w:pPr>
          </w:p>
        </w:tc>
        <w:tc>
          <w:tcPr>
            <w:tcW w:w="1820" w:type="dxa"/>
            <w:vAlign w:val="bottom"/>
          </w:tcPr>
          <w:p>
            <w:pPr>
              <w:jc w:val="right"/>
              <w:ind w:right="11"/>
              <w:spacing w:after="0"/>
              <w:rPr>
                <w:sz w:val="20"/>
                <w:szCs w:val="20"/>
                <w:color w:val="auto"/>
              </w:rPr>
            </w:pPr>
            <w:r>
              <w:rPr>
                <w:rFonts w:ascii="Arial" w:cs="Arial" w:eastAsia="Arial" w:hAnsi="Arial"/>
                <w:sz w:val="18"/>
                <w:szCs w:val="18"/>
                <w:color w:val="auto"/>
              </w:rPr>
              <w:t>1,607</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800" w:type="dxa"/>
            <w:vAlign w:val="bottom"/>
          </w:tcPr>
          <w:p>
            <w:pPr>
              <w:jc w:val="right"/>
              <w:ind w:right="11"/>
              <w:spacing w:after="0"/>
              <w:rPr>
                <w:sz w:val="20"/>
                <w:szCs w:val="20"/>
                <w:color w:val="auto"/>
              </w:rPr>
            </w:pPr>
            <w:r>
              <w:rPr>
                <w:rFonts w:ascii="Arial" w:cs="Arial" w:eastAsia="Arial" w:hAnsi="Arial"/>
                <w:sz w:val="18"/>
                <w:szCs w:val="18"/>
                <w:color w:val="auto"/>
              </w:rPr>
              <w:t>1,520</w:t>
            </w:r>
          </w:p>
        </w:tc>
        <w:tc>
          <w:tcPr>
            <w:tcW w:w="0" w:type="dxa"/>
            <w:vAlign w:val="bottom"/>
          </w:tcPr>
          <w:p>
            <w:pPr>
              <w:spacing w:after="0"/>
              <w:rPr>
                <w:sz w:val="1"/>
                <w:szCs w:val="1"/>
                <w:color w:val="auto"/>
              </w:rPr>
            </w:pPr>
          </w:p>
        </w:tc>
      </w:tr>
      <w:tr>
        <w:trPr>
          <w:trHeight w:val="27"/>
        </w:trPr>
        <w:tc>
          <w:tcPr>
            <w:tcW w:w="72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Deferred income taxes</w:t>
            </w:r>
          </w:p>
        </w:tc>
        <w:tc>
          <w:tcPr>
            <w:tcW w:w="240" w:type="dxa"/>
            <w:vAlign w:val="bottom"/>
            <w:tcBorders>
              <w:bottom w:val="single" w:sz="8" w:color="CCEEFF"/>
            </w:tcBorders>
            <w:shd w:val="clear" w:color="auto" w:fill="CCEEFF"/>
          </w:tcPr>
          <w:p>
            <w:pPr>
              <w:spacing w:after="0"/>
              <w:rPr>
                <w:sz w:val="21"/>
                <w:szCs w:val="21"/>
                <w:color w:val="auto"/>
              </w:rPr>
            </w:pPr>
          </w:p>
        </w:tc>
        <w:tc>
          <w:tcPr>
            <w:tcW w:w="18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3,378</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8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3,325</w:t>
            </w:r>
          </w:p>
        </w:tc>
        <w:tc>
          <w:tcPr>
            <w:tcW w:w="0" w:type="dxa"/>
            <w:vAlign w:val="bottom"/>
          </w:tcPr>
          <w:p>
            <w:pPr>
              <w:spacing w:after="0"/>
              <w:rPr>
                <w:sz w:val="1"/>
                <w:szCs w:val="1"/>
                <w:color w:val="auto"/>
              </w:rPr>
            </w:pPr>
          </w:p>
        </w:tc>
      </w:tr>
      <w:tr>
        <w:trPr>
          <w:trHeight w:val="243"/>
        </w:trPr>
        <w:tc>
          <w:tcPr>
            <w:tcW w:w="7200" w:type="dxa"/>
            <w:vAlign w:val="bottom"/>
          </w:tcPr>
          <w:p>
            <w:pPr>
              <w:ind w:left="40"/>
              <w:spacing w:after="0"/>
              <w:rPr>
                <w:sz w:val="20"/>
                <w:szCs w:val="20"/>
                <w:color w:val="auto"/>
              </w:rPr>
            </w:pPr>
            <w:r>
              <w:rPr>
                <w:rFonts w:ascii="Arial" w:cs="Arial" w:eastAsia="Arial" w:hAnsi="Arial"/>
                <w:sz w:val="18"/>
                <w:szCs w:val="18"/>
                <w:color w:val="auto"/>
              </w:rPr>
              <w:t>Prepaid expenses and other assets</w:t>
            </w:r>
          </w:p>
        </w:tc>
        <w:tc>
          <w:tcPr>
            <w:tcW w:w="240" w:type="dxa"/>
            <w:vAlign w:val="bottom"/>
          </w:tcPr>
          <w:p>
            <w:pPr>
              <w:spacing w:after="0"/>
              <w:rPr>
                <w:sz w:val="21"/>
                <w:szCs w:val="21"/>
                <w:color w:val="auto"/>
              </w:rPr>
            </w:pPr>
          </w:p>
        </w:tc>
        <w:tc>
          <w:tcPr>
            <w:tcW w:w="1820" w:type="dxa"/>
            <w:vAlign w:val="bottom"/>
          </w:tcPr>
          <w:p>
            <w:pPr>
              <w:jc w:val="right"/>
              <w:ind w:right="11"/>
              <w:spacing w:after="0"/>
              <w:rPr>
                <w:sz w:val="20"/>
                <w:szCs w:val="20"/>
                <w:color w:val="auto"/>
              </w:rPr>
            </w:pPr>
            <w:r>
              <w:rPr>
                <w:rFonts w:ascii="Arial" w:cs="Arial" w:eastAsia="Arial" w:hAnsi="Arial"/>
                <w:sz w:val="18"/>
                <w:szCs w:val="18"/>
                <w:color w:val="auto"/>
              </w:rPr>
              <w:t>3,270</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800" w:type="dxa"/>
            <w:vAlign w:val="bottom"/>
          </w:tcPr>
          <w:p>
            <w:pPr>
              <w:jc w:val="right"/>
              <w:ind w:right="11"/>
              <w:spacing w:after="0"/>
              <w:rPr>
                <w:sz w:val="20"/>
                <w:szCs w:val="20"/>
                <w:color w:val="auto"/>
              </w:rPr>
            </w:pPr>
            <w:r>
              <w:rPr>
                <w:rFonts w:ascii="Arial" w:cs="Arial" w:eastAsia="Arial" w:hAnsi="Arial"/>
                <w:sz w:val="18"/>
                <w:szCs w:val="18"/>
                <w:color w:val="auto"/>
              </w:rPr>
              <w:t>2,693</w:t>
            </w:r>
          </w:p>
        </w:tc>
        <w:tc>
          <w:tcPr>
            <w:tcW w:w="0" w:type="dxa"/>
            <w:vAlign w:val="bottom"/>
          </w:tcPr>
          <w:p>
            <w:pPr>
              <w:spacing w:after="0"/>
              <w:rPr>
                <w:sz w:val="1"/>
                <w:szCs w:val="1"/>
                <w:color w:val="auto"/>
              </w:rPr>
            </w:pPr>
          </w:p>
        </w:tc>
      </w:tr>
      <w:tr>
        <w:trPr>
          <w:trHeight w:val="27"/>
        </w:trPr>
        <w:tc>
          <w:tcPr>
            <w:tcW w:w="72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720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Total current assets</w:t>
            </w:r>
          </w:p>
        </w:tc>
        <w:tc>
          <w:tcPr>
            <w:tcW w:w="240" w:type="dxa"/>
            <w:vAlign w:val="bottom"/>
            <w:tcBorders>
              <w:bottom w:val="single" w:sz="8" w:color="CCEEFF"/>
            </w:tcBorders>
            <w:shd w:val="clear" w:color="auto" w:fill="CCEEFF"/>
          </w:tcPr>
          <w:p>
            <w:pPr>
              <w:spacing w:after="0"/>
              <w:rPr>
                <w:sz w:val="21"/>
                <w:szCs w:val="21"/>
                <w:color w:val="auto"/>
              </w:rPr>
            </w:pPr>
          </w:p>
        </w:tc>
        <w:tc>
          <w:tcPr>
            <w:tcW w:w="18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44,263</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8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48,066</w:t>
            </w:r>
          </w:p>
        </w:tc>
        <w:tc>
          <w:tcPr>
            <w:tcW w:w="0" w:type="dxa"/>
            <w:vAlign w:val="bottom"/>
          </w:tcPr>
          <w:p>
            <w:pPr>
              <w:spacing w:after="0"/>
              <w:rPr>
                <w:sz w:val="1"/>
                <w:szCs w:val="1"/>
                <w:color w:val="auto"/>
              </w:rPr>
            </w:pPr>
          </w:p>
        </w:tc>
      </w:tr>
      <w:tr>
        <w:trPr>
          <w:trHeight w:val="243"/>
        </w:trPr>
        <w:tc>
          <w:tcPr>
            <w:tcW w:w="7200" w:type="dxa"/>
            <w:vAlign w:val="bottom"/>
          </w:tcPr>
          <w:p>
            <w:pPr>
              <w:ind w:left="40"/>
              <w:spacing w:after="0"/>
              <w:rPr>
                <w:sz w:val="20"/>
                <w:szCs w:val="20"/>
                <w:color w:val="auto"/>
              </w:rPr>
            </w:pPr>
            <w:r>
              <w:rPr>
                <w:rFonts w:ascii="Arial" w:cs="Arial" w:eastAsia="Arial" w:hAnsi="Arial"/>
                <w:sz w:val="18"/>
                <w:szCs w:val="18"/>
                <w:color w:val="auto"/>
              </w:rPr>
              <w:t>Long-term marketable securities</w:t>
            </w:r>
          </w:p>
        </w:tc>
        <w:tc>
          <w:tcPr>
            <w:tcW w:w="240" w:type="dxa"/>
            <w:vAlign w:val="bottom"/>
          </w:tcPr>
          <w:p>
            <w:pPr>
              <w:spacing w:after="0"/>
              <w:rPr>
                <w:sz w:val="21"/>
                <w:szCs w:val="21"/>
                <w:color w:val="auto"/>
              </w:rPr>
            </w:pPr>
          </w:p>
        </w:tc>
        <w:tc>
          <w:tcPr>
            <w:tcW w:w="1820" w:type="dxa"/>
            <w:vAlign w:val="bottom"/>
          </w:tcPr>
          <w:p>
            <w:pPr>
              <w:jc w:val="right"/>
              <w:ind w:right="11"/>
              <w:spacing w:after="0"/>
              <w:rPr>
                <w:sz w:val="20"/>
                <w:szCs w:val="20"/>
                <w:color w:val="auto"/>
              </w:rPr>
            </w:pPr>
            <w:r>
              <w:rPr>
                <w:rFonts w:ascii="Arial" w:cs="Arial" w:eastAsia="Arial" w:hAnsi="Arial"/>
                <w:sz w:val="18"/>
                <w:szCs w:val="18"/>
                <w:color w:val="auto"/>
              </w:rPr>
              <w:t>19,666</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800" w:type="dxa"/>
            <w:vAlign w:val="bottom"/>
          </w:tcPr>
          <w:p>
            <w:pPr>
              <w:jc w:val="right"/>
              <w:ind w:right="11"/>
              <w:spacing w:after="0"/>
              <w:rPr>
                <w:sz w:val="20"/>
                <w:szCs w:val="20"/>
                <w:color w:val="auto"/>
              </w:rPr>
            </w:pPr>
            <w:r>
              <w:rPr>
                <w:rFonts w:ascii="Arial" w:cs="Arial" w:eastAsia="Arial" w:hAnsi="Arial"/>
                <w:sz w:val="16"/>
                <w:szCs w:val="16"/>
                <w:color w:val="auto"/>
              </w:rPr>
              <w:t>22,326</w:t>
            </w:r>
          </w:p>
        </w:tc>
        <w:tc>
          <w:tcPr>
            <w:tcW w:w="0" w:type="dxa"/>
            <w:vAlign w:val="bottom"/>
          </w:tcPr>
          <w:p>
            <w:pPr>
              <w:spacing w:after="0"/>
              <w:rPr>
                <w:sz w:val="1"/>
                <w:szCs w:val="1"/>
                <w:color w:val="auto"/>
              </w:rPr>
            </w:pPr>
          </w:p>
        </w:tc>
      </w:tr>
      <w:tr>
        <w:trPr>
          <w:trHeight w:val="27"/>
        </w:trPr>
        <w:tc>
          <w:tcPr>
            <w:tcW w:w="72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Long-term inventories, net</w:t>
            </w:r>
          </w:p>
        </w:tc>
        <w:tc>
          <w:tcPr>
            <w:tcW w:w="240" w:type="dxa"/>
            <w:vAlign w:val="bottom"/>
            <w:tcBorders>
              <w:bottom w:val="single" w:sz="8" w:color="CCEEFF"/>
            </w:tcBorders>
            <w:shd w:val="clear" w:color="auto" w:fill="CCEEFF"/>
          </w:tcPr>
          <w:p>
            <w:pPr>
              <w:spacing w:after="0"/>
              <w:rPr>
                <w:sz w:val="21"/>
                <w:szCs w:val="21"/>
                <w:color w:val="auto"/>
              </w:rPr>
            </w:pPr>
          </w:p>
        </w:tc>
        <w:tc>
          <w:tcPr>
            <w:tcW w:w="18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992</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8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551</w:t>
            </w:r>
          </w:p>
        </w:tc>
        <w:tc>
          <w:tcPr>
            <w:tcW w:w="0" w:type="dxa"/>
            <w:vAlign w:val="bottom"/>
          </w:tcPr>
          <w:p>
            <w:pPr>
              <w:spacing w:after="0"/>
              <w:rPr>
                <w:sz w:val="1"/>
                <w:szCs w:val="1"/>
                <w:color w:val="auto"/>
              </w:rPr>
            </w:pPr>
          </w:p>
        </w:tc>
      </w:tr>
      <w:tr>
        <w:trPr>
          <w:trHeight w:val="243"/>
        </w:trPr>
        <w:tc>
          <w:tcPr>
            <w:tcW w:w="7200" w:type="dxa"/>
            <w:vAlign w:val="bottom"/>
          </w:tcPr>
          <w:p>
            <w:pPr>
              <w:ind w:left="40"/>
              <w:spacing w:after="0"/>
              <w:rPr>
                <w:sz w:val="20"/>
                <w:szCs w:val="20"/>
                <w:color w:val="auto"/>
              </w:rPr>
            </w:pPr>
            <w:r>
              <w:rPr>
                <w:rFonts w:ascii="Arial" w:cs="Arial" w:eastAsia="Arial" w:hAnsi="Arial"/>
                <w:sz w:val="18"/>
                <w:szCs w:val="18"/>
                <w:color w:val="auto"/>
              </w:rPr>
              <w:t>Property and equipment, net</w:t>
            </w:r>
          </w:p>
        </w:tc>
        <w:tc>
          <w:tcPr>
            <w:tcW w:w="240" w:type="dxa"/>
            <w:vAlign w:val="bottom"/>
          </w:tcPr>
          <w:p>
            <w:pPr>
              <w:spacing w:after="0"/>
              <w:rPr>
                <w:sz w:val="21"/>
                <w:szCs w:val="21"/>
                <w:color w:val="auto"/>
              </w:rPr>
            </w:pPr>
          </w:p>
        </w:tc>
        <w:tc>
          <w:tcPr>
            <w:tcW w:w="1820" w:type="dxa"/>
            <w:vAlign w:val="bottom"/>
          </w:tcPr>
          <w:p>
            <w:pPr>
              <w:jc w:val="right"/>
              <w:ind w:right="11"/>
              <w:spacing w:after="0"/>
              <w:rPr>
                <w:sz w:val="20"/>
                <w:szCs w:val="20"/>
                <w:color w:val="auto"/>
              </w:rPr>
            </w:pPr>
            <w:r>
              <w:rPr>
                <w:rFonts w:ascii="Arial" w:cs="Arial" w:eastAsia="Arial" w:hAnsi="Arial"/>
                <w:sz w:val="18"/>
                <w:szCs w:val="18"/>
                <w:color w:val="auto"/>
              </w:rPr>
              <w:t>2,106</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800" w:type="dxa"/>
            <w:vAlign w:val="bottom"/>
          </w:tcPr>
          <w:p>
            <w:pPr>
              <w:jc w:val="right"/>
              <w:ind w:right="11"/>
              <w:spacing w:after="0"/>
              <w:rPr>
                <w:sz w:val="20"/>
                <w:szCs w:val="20"/>
                <w:color w:val="auto"/>
              </w:rPr>
            </w:pPr>
            <w:r>
              <w:rPr>
                <w:rFonts w:ascii="Arial" w:cs="Arial" w:eastAsia="Arial" w:hAnsi="Arial"/>
                <w:sz w:val="18"/>
                <w:szCs w:val="18"/>
                <w:color w:val="auto"/>
              </w:rPr>
              <w:t>1,825</w:t>
            </w:r>
          </w:p>
        </w:tc>
        <w:tc>
          <w:tcPr>
            <w:tcW w:w="0" w:type="dxa"/>
            <w:vAlign w:val="bottom"/>
          </w:tcPr>
          <w:p>
            <w:pPr>
              <w:spacing w:after="0"/>
              <w:rPr>
                <w:sz w:val="1"/>
                <w:szCs w:val="1"/>
                <w:color w:val="auto"/>
              </w:rPr>
            </w:pPr>
          </w:p>
        </w:tc>
      </w:tr>
      <w:tr>
        <w:trPr>
          <w:trHeight w:val="27"/>
        </w:trPr>
        <w:tc>
          <w:tcPr>
            <w:tcW w:w="72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Intangibles, net</w:t>
            </w:r>
          </w:p>
        </w:tc>
        <w:tc>
          <w:tcPr>
            <w:tcW w:w="240" w:type="dxa"/>
            <w:vAlign w:val="bottom"/>
            <w:tcBorders>
              <w:bottom w:val="single" w:sz="8" w:color="CCEEFF"/>
            </w:tcBorders>
            <w:shd w:val="clear" w:color="auto" w:fill="CCEEFF"/>
          </w:tcPr>
          <w:p>
            <w:pPr>
              <w:spacing w:after="0"/>
              <w:rPr>
                <w:sz w:val="21"/>
                <w:szCs w:val="21"/>
                <w:color w:val="auto"/>
              </w:rPr>
            </w:pPr>
          </w:p>
        </w:tc>
        <w:tc>
          <w:tcPr>
            <w:tcW w:w="18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8,767</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8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3,710</w:t>
            </w:r>
          </w:p>
        </w:tc>
        <w:tc>
          <w:tcPr>
            <w:tcW w:w="0" w:type="dxa"/>
            <w:vAlign w:val="bottom"/>
          </w:tcPr>
          <w:p>
            <w:pPr>
              <w:spacing w:after="0"/>
              <w:rPr>
                <w:sz w:val="1"/>
                <w:szCs w:val="1"/>
                <w:color w:val="auto"/>
              </w:rPr>
            </w:pPr>
          </w:p>
        </w:tc>
      </w:tr>
      <w:tr>
        <w:trPr>
          <w:trHeight w:val="243"/>
        </w:trPr>
        <w:tc>
          <w:tcPr>
            <w:tcW w:w="7200" w:type="dxa"/>
            <w:vAlign w:val="bottom"/>
          </w:tcPr>
          <w:p>
            <w:pPr>
              <w:ind w:left="40"/>
              <w:spacing w:after="0"/>
              <w:rPr>
                <w:sz w:val="20"/>
                <w:szCs w:val="20"/>
                <w:color w:val="auto"/>
              </w:rPr>
            </w:pPr>
            <w:r>
              <w:rPr>
                <w:rFonts w:ascii="Arial" w:cs="Arial" w:eastAsia="Arial" w:hAnsi="Arial"/>
                <w:sz w:val="18"/>
                <w:szCs w:val="18"/>
                <w:color w:val="auto"/>
              </w:rPr>
              <w:t>Goodwill</w:t>
            </w:r>
          </w:p>
        </w:tc>
        <w:tc>
          <w:tcPr>
            <w:tcW w:w="240" w:type="dxa"/>
            <w:vAlign w:val="bottom"/>
          </w:tcPr>
          <w:p>
            <w:pPr>
              <w:spacing w:after="0"/>
              <w:rPr>
                <w:sz w:val="21"/>
                <w:szCs w:val="21"/>
                <w:color w:val="auto"/>
              </w:rPr>
            </w:pPr>
          </w:p>
        </w:tc>
        <w:tc>
          <w:tcPr>
            <w:tcW w:w="1820" w:type="dxa"/>
            <w:vAlign w:val="bottom"/>
          </w:tcPr>
          <w:p>
            <w:pPr>
              <w:jc w:val="right"/>
              <w:ind w:right="11"/>
              <w:spacing w:after="0"/>
              <w:rPr>
                <w:sz w:val="20"/>
                <w:szCs w:val="20"/>
                <w:color w:val="auto"/>
              </w:rPr>
            </w:pPr>
            <w:r>
              <w:rPr>
                <w:rFonts w:ascii="Arial" w:cs="Arial" w:eastAsia="Arial" w:hAnsi="Arial"/>
                <w:sz w:val="18"/>
                <w:szCs w:val="18"/>
                <w:color w:val="auto"/>
              </w:rPr>
              <w:t>12,596</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800" w:type="dxa"/>
            <w:vAlign w:val="bottom"/>
          </w:tcPr>
          <w:p>
            <w:pPr>
              <w:jc w:val="right"/>
              <w:ind w:right="11"/>
              <w:spacing w:after="0"/>
              <w:rPr>
                <w:sz w:val="20"/>
                <w:szCs w:val="20"/>
                <w:color w:val="auto"/>
              </w:rPr>
            </w:pPr>
            <w:r>
              <w:rPr>
                <w:rFonts w:ascii="Arial" w:cs="Arial" w:eastAsia="Arial" w:hAnsi="Arial"/>
                <w:sz w:val="18"/>
                <w:szCs w:val="18"/>
                <w:color w:val="auto"/>
              </w:rPr>
              <w:t>3,472</w:t>
            </w:r>
          </w:p>
        </w:tc>
        <w:tc>
          <w:tcPr>
            <w:tcW w:w="0" w:type="dxa"/>
            <w:vAlign w:val="bottom"/>
          </w:tcPr>
          <w:p>
            <w:pPr>
              <w:spacing w:after="0"/>
              <w:rPr>
                <w:sz w:val="1"/>
                <w:szCs w:val="1"/>
                <w:color w:val="auto"/>
              </w:rPr>
            </w:pPr>
          </w:p>
        </w:tc>
      </w:tr>
      <w:tr>
        <w:trPr>
          <w:trHeight w:val="27"/>
        </w:trPr>
        <w:tc>
          <w:tcPr>
            <w:tcW w:w="72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Deferred income taxes</w:t>
            </w:r>
          </w:p>
        </w:tc>
        <w:tc>
          <w:tcPr>
            <w:tcW w:w="240" w:type="dxa"/>
            <w:vAlign w:val="bottom"/>
            <w:tcBorders>
              <w:bottom w:val="single" w:sz="8" w:color="CCEEFF"/>
            </w:tcBorders>
            <w:shd w:val="clear" w:color="auto" w:fill="CCEEFF"/>
          </w:tcPr>
          <w:p>
            <w:pPr>
              <w:spacing w:after="0"/>
              <w:rPr>
                <w:sz w:val="21"/>
                <w:szCs w:val="21"/>
                <w:color w:val="auto"/>
              </w:rPr>
            </w:pPr>
          </w:p>
        </w:tc>
        <w:tc>
          <w:tcPr>
            <w:tcW w:w="18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1,303</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8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1,024</w:t>
            </w:r>
          </w:p>
        </w:tc>
        <w:tc>
          <w:tcPr>
            <w:tcW w:w="0" w:type="dxa"/>
            <w:vAlign w:val="bottom"/>
          </w:tcPr>
          <w:p>
            <w:pPr>
              <w:spacing w:after="0"/>
              <w:rPr>
                <w:sz w:val="1"/>
                <w:szCs w:val="1"/>
                <w:color w:val="auto"/>
              </w:rPr>
            </w:pPr>
          </w:p>
        </w:tc>
      </w:tr>
      <w:tr>
        <w:trPr>
          <w:trHeight w:val="243"/>
        </w:trPr>
        <w:tc>
          <w:tcPr>
            <w:tcW w:w="7200" w:type="dxa"/>
            <w:vAlign w:val="bottom"/>
          </w:tcPr>
          <w:p>
            <w:pPr>
              <w:ind w:left="40"/>
              <w:spacing w:after="0"/>
              <w:rPr>
                <w:sz w:val="20"/>
                <w:szCs w:val="20"/>
                <w:color w:val="auto"/>
              </w:rPr>
            </w:pPr>
            <w:r>
              <w:rPr>
                <w:rFonts w:ascii="Arial" w:cs="Arial" w:eastAsia="Arial" w:hAnsi="Arial"/>
                <w:sz w:val="18"/>
                <w:szCs w:val="18"/>
                <w:color w:val="auto"/>
              </w:rPr>
              <w:t>Other assets</w:t>
            </w:r>
          </w:p>
        </w:tc>
        <w:tc>
          <w:tcPr>
            <w:tcW w:w="240" w:type="dxa"/>
            <w:vAlign w:val="bottom"/>
          </w:tcPr>
          <w:p>
            <w:pPr>
              <w:spacing w:after="0"/>
              <w:rPr>
                <w:sz w:val="21"/>
                <w:szCs w:val="21"/>
                <w:color w:val="auto"/>
              </w:rPr>
            </w:pPr>
          </w:p>
        </w:tc>
        <w:tc>
          <w:tcPr>
            <w:tcW w:w="1820" w:type="dxa"/>
            <w:vAlign w:val="bottom"/>
          </w:tcPr>
          <w:p>
            <w:pPr>
              <w:jc w:val="right"/>
              <w:ind w:right="11"/>
              <w:spacing w:after="0"/>
              <w:rPr>
                <w:sz w:val="20"/>
                <w:szCs w:val="20"/>
                <w:color w:val="auto"/>
              </w:rPr>
            </w:pPr>
            <w:r>
              <w:rPr>
                <w:rFonts w:ascii="Arial" w:cs="Arial" w:eastAsia="Arial" w:hAnsi="Arial"/>
                <w:sz w:val="18"/>
                <w:szCs w:val="18"/>
                <w:color w:val="auto"/>
              </w:rPr>
              <w:t>114</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800" w:type="dxa"/>
            <w:vAlign w:val="bottom"/>
          </w:tcPr>
          <w:p>
            <w:pPr>
              <w:jc w:val="right"/>
              <w:ind w:right="11"/>
              <w:spacing w:after="0"/>
              <w:rPr>
                <w:sz w:val="20"/>
                <w:szCs w:val="20"/>
                <w:color w:val="auto"/>
              </w:rPr>
            </w:pPr>
            <w:r>
              <w:rPr>
                <w:rFonts w:ascii="Arial" w:cs="Arial" w:eastAsia="Arial" w:hAnsi="Arial"/>
                <w:sz w:val="18"/>
                <w:szCs w:val="18"/>
                <w:color w:val="auto"/>
              </w:rPr>
              <w:t>87</w:t>
            </w:r>
          </w:p>
        </w:tc>
        <w:tc>
          <w:tcPr>
            <w:tcW w:w="0" w:type="dxa"/>
            <w:vAlign w:val="bottom"/>
          </w:tcPr>
          <w:p>
            <w:pPr>
              <w:spacing w:after="0"/>
              <w:rPr>
                <w:sz w:val="1"/>
                <w:szCs w:val="1"/>
                <w:color w:val="auto"/>
              </w:rPr>
            </w:pPr>
          </w:p>
        </w:tc>
      </w:tr>
      <w:tr>
        <w:trPr>
          <w:trHeight w:val="27"/>
        </w:trPr>
        <w:tc>
          <w:tcPr>
            <w:tcW w:w="72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720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Total assets</w:t>
            </w: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82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89,807</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80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81,061</w:t>
            </w:r>
          </w:p>
        </w:tc>
        <w:tc>
          <w:tcPr>
            <w:tcW w:w="0" w:type="dxa"/>
            <w:vAlign w:val="bottom"/>
          </w:tcPr>
          <w:p>
            <w:pPr>
              <w:spacing w:after="0"/>
              <w:rPr>
                <w:sz w:val="1"/>
                <w:szCs w:val="1"/>
                <w:color w:val="auto"/>
              </w:rPr>
            </w:pPr>
          </w:p>
        </w:tc>
      </w:tr>
      <w:tr>
        <w:trPr>
          <w:trHeight w:val="20"/>
        </w:trPr>
        <w:tc>
          <w:tcPr>
            <w:tcW w:w="7200" w:type="dxa"/>
            <w:vAlign w:val="bottom"/>
            <w:vMerge w:val="restart"/>
          </w:tcPr>
          <w:p>
            <w:pPr>
              <w:ind w:left="1660"/>
              <w:spacing w:after="0"/>
              <w:rPr>
                <w:sz w:val="20"/>
                <w:szCs w:val="20"/>
                <w:color w:val="auto"/>
              </w:rPr>
            </w:pPr>
            <w:r>
              <w:rPr>
                <w:rFonts w:ascii="Arial" w:cs="Arial" w:eastAsia="Arial" w:hAnsi="Arial"/>
                <w:sz w:val="18"/>
                <w:szCs w:val="18"/>
                <w:b w:val="1"/>
                <w:bCs w:val="1"/>
                <w:color w:val="auto"/>
              </w:rPr>
              <w:t>LIABILITIES AND SHAREHOLDERS' EQUITY</w:t>
            </w:r>
          </w:p>
        </w:tc>
        <w:tc>
          <w:tcPr>
            <w:tcW w:w="240" w:type="dxa"/>
            <w:vAlign w:val="bottom"/>
            <w:tcBorders>
              <w:bottom w:val="single" w:sz="8" w:color="auto"/>
            </w:tcBorders>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7200" w:type="dxa"/>
            <w:vAlign w:val="bottom"/>
            <w:vMerge w:val="continue"/>
          </w:tcPr>
          <w:p>
            <w:pPr>
              <w:spacing w:after="0"/>
              <w:rPr>
                <w:sz w:val="20"/>
                <w:szCs w:val="20"/>
                <w:color w:val="auto"/>
              </w:rPr>
            </w:pPr>
          </w:p>
        </w:tc>
        <w:tc>
          <w:tcPr>
            <w:tcW w:w="240" w:type="dxa"/>
            <w:vAlign w:val="bottom"/>
          </w:tcPr>
          <w:p>
            <w:pPr>
              <w:spacing w:after="0"/>
              <w:rPr>
                <w:sz w:val="20"/>
                <w:szCs w:val="20"/>
                <w:color w:val="auto"/>
              </w:rPr>
            </w:pPr>
          </w:p>
        </w:tc>
        <w:tc>
          <w:tcPr>
            <w:tcW w:w="1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8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72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Current liabilities:</w:t>
            </w:r>
          </w:p>
        </w:tc>
        <w:tc>
          <w:tcPr>
            <w:tcW w:w="240" w:type="dxa"/>
            <w:vAlign w:val="bottom"/>
            <w:tcBorders>
              <w:bottom w:val="single" w:sz="8" w:color="CCEEFF"/>
            </w:tcBorders>
            <w:shd w:val="clear" w:color="auto" w:fill="CCEEFF"/>
          </w:tcPr>
          <w:p>
            <w:pPr>
              <w:spacing w:after="0"/>
              <w:rPr>
                <w:sz w:val="21"/>
                <w:szCs w:val="21"/>
                <w:color w:val="auto"/>
              </w:rPr>
            </w:pPr>
          </w:p>
        </w:tc>
        <w:tc>
          <w:tcPr>
            <w:tcW w:w="18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8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200" w:type="dxa"/>
            <w:vAlign w:val="bottom"/>
          </w:tcPr>
          <w:p>
            <w:pPr>
              <w:ind w:left="40"/>
              <w:spacing w:after="0"/>
              <w:rPr>
                <w:sz w:val="20"/>
                <w:szCs w:val="20"/>
                <w:color w:val="auto"/>
              </w:rPr>
            </w:pPr>
            <w:r>
              <w:rPr>
                <w:rFonts w:ascii="Arial" w:cs="Arial" w:eastAsia="Arial" w:hAnsi="Arial"/>
                <w:sz w:val="18"/>
                <w:szCs w:val="18"/>
                <w:color w:val="auto"/>
              </w:rPr>
              <w:t>Accounts payable</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820" w:type="dxa"/>
            <w:vAlign w:val="bottom"/>
          </w:tcPr>
          <w:p>
            <w:pPr>
              <w:jc w:val="right"/>
              <w:ind w:right="11"/>
              <w:spacing w:after="0"/>
              <w:rPr>
                <w:sz w:val="20"/>
                <w:szCs w:val="20"/>
                <w:color w:val="auto"/>
              </w:rPr>
            </w:pPr>
            <w:r>
              <w:rPr>
                <w:rFonts w:ascii="Arial" w:cs="Arial" w:eastAsia="Arial" w:hAnsi="Arial"/>
                <w:sz w:val="18"/>
                <w:szCs w:val="18"/>
                <w:color w:val="auto"/>
              </w:rPr>
              <w:t>2,852</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800" w:type="dxa"/>
            <w:vAlign w:val="bottom"/>
          </w:tcPr>
          <w:p>
            <w:pPr>
              <w:jc w:val="right"/>
              <w:ind w:right="11"/>
              <w:spacing w:after="0"/>
              <w:rPr>
                <w:sz w:val="20"/>
                <w:szCs w:val="20"/>
                <w:color w:val="auto"/>
              </w:rPr>
            </w:pPr>
            <w:r>
              <w:rPr>
                <w:rFonts w:ascii="Arial" w:cs="Arial" w:eastAsia="Arial" w:hAnsi="Arial"/>
                <w:sz w:val="18"/>
                <w:szCs w:val="18"/>
                <w:color w:val="auto"/>
              </w:rPr>
              <w:t>2,730</w:t>
            </w:r>
          </w:p>
        </w:tc>
        <w:tc>
          <w:tcPr>
            <w:tcW w:w="0" w:type="dxa"/>
            <w:vAlign w:val="bottom"/>
          </w:tcPr>
          <w:p>
            <w:pPr>
              <w:spacing w:after="0"/>
              <w:rPr>
                <w:sz w:val="1"/>
                <w:szCs w:val="1"/>
                <w:color w:val="auto"/>
              </w:rPr>
            </w:pPr>
          </w:p>
        </w:tc>
      </w:tr>
      <w:tr>
        <w:trPr>
          <w:trHeight w:val="27"/>
        </w:trPr>
        <w:tc>
          <w:tcPr>
            <w:tcW w:w="72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Accrued liabilities</w:t>
            </w:r>
          </w:p>
        </w:tc>
        <w:tc>
          <w:tcPr>
            <w:tcW w:w="240" w:type="dxa"/>
            <w:vAlign w:val="bottom"/>
            <w:tcBorders>
              <w:bottom w:val="single" w:sz="8" w:color="CCEEFF"/>
            </w:tcBorders>
            <w:shd w:val="clear" w:color="auto" w:fill="CCEEFF"/>
          </w:tcPr>
          <w:p>
            <w:pPr>
              <w:spacing w:after="0"/>
              <w:rPr>
                <w:sz w:val="21"/>
                <w:szCs w:val="21"/>
                <w:color w:val="auto"/>
              </w:rPr>
            </w:pPr>
          </w:p>
        </w:tc>
        <w:tc>
          <w:tcPr>
            <w:tcW w:w="18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4,452</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8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1,761</w:t>
            </w:r>
          </w:p>
        </w:tc>
        <w:tc>
          <w:tcPr>
            <w:tcW w:w="0" w:type="dxa"/>
            <w:vAlign w:val="bottom"/>
          </w:tcPr>
          <w:p>
            <w:pPr>
              <w:spacing w:after="0"/>
              <w:rPr>
                <w:sz w:val="1"/>
                <w:szCs w:val="1"/>
                <w:color w:val="auto"/>
              </w:rPr>
            </w:pPr>
          </w:p>
        </w:tc>
      </w:tr>
      <w:tr>
        <w:trPr>
          <w:trHeight w:val="243"/>
        </w:trPr>
        <w:tc>
          <w:tcPr>
            <w:tcW w:w="7200" w:type="dxa"/>
            <w:vAlign w:val="bottom"/>
          </w:tcPr>
          <w:p>
            <w:pPr>
              <w:ind w:left="40"/>
              <w:spacing w:after="0"/>
              <w:rPr>
                <w:sz w:val="20"/>
                <w:szCs w:val="20"/>
                <w:color w:val="auto"/>
              </w:rPr>
            </w:pPr>
            <w:r>
              <w:rPr>
                <w:rFonts w:ascii="Arial" w:cs="Arial" w:eastAsia="Arial" w:hAnsi="Arial"/>
                <w:sz w:val="18"/>
                <w:szCs w:val="18"/>
                <w:color w:val="auto"/>
              </w:rPr>
              <w:t>Deferred product revenue</w:t>
            </w:r>
          </w:p>
        </w:tc>
        <w:tc>
          <w:tcPr>
            <w:tcW w:w="240" w:type="dxa"/>
            <w:vAlign w:val="bottom"/>
          </w:tcPr>
          <w:p>
            <w:pPr>
              <w:spacing w:after="0"/>
              <w:rPr>
                <w:sz w:val="21"/>
                <w:szCs w:val="21"/>
                <w:color w:val="auto"/>
              </w:rPr>
            </w:pPr>
          </w:p>
        </w:tc>
        <w:tc>
          <w:tcPr>
            <w:tcW w:w="1820" w:type="dxa"/>
            <w:vAlign w:val="bottom"/>
          </w:tcPr>
          <w:p>
            <w:pPr>
              <w:jc w:val="right"/>
              <w:ind w:right="11"/>
              <w:spacing w:after="0"/>
              <w:rPr>
                <w:sz w:val="20"/>
                <w:szCs w:val="20"/>
                <w:color w:val="auto"/>
              </w:rPr>
            </w:pPr>
            <w:r>
              <w:rPr>
                <w:rFonts w:ascii="Arial" w:cs="Arial" w:eastAsia="Arial" w:hAnsi="Arial"/>
                <w:sz w:val="18"/>
                <w:szCs w:val="18"/>
                <w:color w:val="auto"/>
              </w:rPr>
              <w:t>4,980</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800" w:type="dxa"/>
            <w:vAlign w:val="bottom"/>
          </w:tcPr>
          <w:p>
            <w:pPr>
              <w:jc w:val="right"/>
              <w:ind w:right="11"/>
              <w:spacing w:after="0"/>
              <w:rPr>
                <w:sz w:val="20"/>
                <w:szCs w:val="20"/>
                <w:color w:val="auto"/>
              </w:rPr>
            </w:pPr>
            <w:r>
              <w:rPr>
                <w:rFonts w:ascii="Arial" w:cs="Arial" w:eastAsia="Arial" w:hAnsi="Arial"/>
                <w:sz w:val="18"/>
                <w:szCs w:val="18"/>
                <w:color w:val="auto"/>
              </w:rPr>
              <w:t>4,158</w:t>
            </w:r>
          </w:p>
        </w:tc>
        <w:tc>
          <w:tcPr>
            <w:tcW w:w="0" w:type="dxa"/>
            <w:vAlign w:val="bottom"/>
          </w:tcPr>
          <w:p>
            <w:pPr>
              <w:spacing w:after="0"/>
              <w:rPr>
                <w:sz w:val="1"/>
                <w:szCs w:val="1"/>
                <w:color w:val="auto"/>
              </w:rPr>
            </w:pPr>
          </w:p>
        </w:tc>
      </w:tr>
      <w:tr>
        <w:trPr>
          <w:trHeight w:val="27"/>
        </w:trPr>
        <w:tc>
          <w:tcPr>
            <w:tcW w:w="72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720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Total current liabilities</w:t>
            </w:r>
          </w:p>
        </w:tc>
        <w:tc>
          <w:tcPr>
            <w:tcW w:w="240" w:type="dxa"/>
            <w:vAlign w:val="bottom"/>
            <w:tcBorders>
              <w:bottom w:val="single" w:sz="8" w:color="CCEEFF"/>
            </w:tcBorders>
            <w:shd w:val="clear" w:color="auto" w:fill="CCEEFF"/>
          </w:tcPr>
          <w:p>
            <w:pPr>
              <w:spacing w:after="0"/>
              <w:rPr>
                <w:sz w:val="21"/>
                <w:szCs w:val="21"/>
                <w:color w:val="auto"/>
              </w:rPr>
            </w:pPr>
          </w:p>
        </w:tc>
        <w:tc>
          <w:tcPr>
            <w:tcW w:w="18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12,284</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8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8,649</w:t>
            </w:r>
          </w:p>
        </w:tc>
        <w:tc>
          <w:tcPr>
            <w:tcW w:w="0" w:type="dxa"/>
            <w:vAlign w:val="bottom"/>
          </w:tcPr>
          <w:p>
            <w:pPr>
              <w:spacing w:after="0"/>
              <w:rPr>
                <w:sz w:val="1"/>
                <w:szCs w:val="1"/>
                <w:color w:val="auto"/>
              </w:rPr>
            </w:pPr>
          </w:p>
        </w:tc>
      </w:tr>
      <w:tr>
        <w:trPr>
          <w:trHeight w:val="243"/>
        </w:trPr>
        <w:tc>
          <w:tcPr>
            <w:tcW w:w="7200" w:type="dxa"/>
            <w:vAlign w:val="bottom"/>
          </w:tcPr>
          <w:p>
            <w:pPr>
              <w:ind w:left="40"/>
              <w:spacing w:after="0"/>
              <w:rPr>
                <w:sz w:val="20"/>
                <w:szCs w:val="20"/>
                <w:color w:val="auto"/>
              </w:rPr>
            </w:pPr>
            <w:r>
              <w:rPr>
                <w:rFonts w:ascii="Arial" w:cs="Arial" w:eastAsia="Arial" w:hAnsi="Arial"/>
                <w:sz w:val="18"/>
                <w:szCs w:val="18"/>
                <w:color w:val="auto"/>
              </w:rPr>
              <w:t>Deferred rent</w:t>
            </w:r>
          </w:p>
        </w:tc>
        <w:tc>
          <w:tcPr>
            <w:tcW w:w="240" w:type="dxa"/>
            <w:vAlign w:val="bottom"/>
          </w:tcPr>
          <w:p>
            <w:pPr>
              <w:spacing w:after="0"/>
              <w:rPr>
                <w:sz w:val="21"/>
                <w:szCs w:val="21"/>
                <w:color w:val="auto"/>
              </w:rPr>
            </w:pPr>
          </w:p>
        </w:tc>
        <w:tc>
          <w:tcPr>
            <w:tcW w:w="1820" w:type="dxa"/>
            <w:vAlign w:val="bottom"/>
          </w:tcPr>
          <w:p>
            <w:pPr>
              <w:jc w:val="right"/>
              <w:ind w:right="11"/>
              <w:spacing w:after="0"/>
              <w:rPr>
                <w:sz w:val="20"/>
                <w:szCs w:val="20"/>
                <w:color w:val="auto"/>
              </w:rPr>
            </w:pPr>
            <w:r>
              <w:rPr>
                <w:rFonts w:ascii="Arial" w:cs="Arial" w:eastAsia="Arial" w:hAnsi="Arial"/>
                <w:sz w:val="18"/>
                <w:szCs w:val="18"/>
                <w:color w:val="auto"/>
              </w:rPr>
              <w:t>256</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800" w:type="dxa"/>
            <w:vAlign w:val="bottom"/>
          </w:tcPr>
          <w:p>
            <w:pPr>
              <w:jc w:val="right"/>
              <w:ind w:right="11"/>
              <w:spacing w:after="0"/>
              <w:rPr>
                <w:sz w:val="20"/>
                <w:szCs w:val="20"/>
                <w:color w:val="auto"/>
              </w:rPr>
            </w:pPr>
            <w:r>
              <w:rPr>
                <w:rFonts w:ascii="Arial" w:cs="Arial" w:eastAsia="Arial" w:hAnsi="Arial"/>
                <w:sz w:val="18"/>
                <w:szCs w:val="18"/>
                <w:color w:val="auto"/>
              </w:rPr>
              <w:t>286</w:t>
            </w:r>
          </w:p>
        </w:tc>
        <w:tc>
          <w:tcPr>
            <w:tcW w:w="0" w:type="dxa"/>
            <w:vAlign w:val="bottom"/>
          </w:tcPr>
          <w:p>
            <w:pPr>
              <w:spacing w:after="0"/>
              <w:rPr>
                <w:sz w:val="1"/>
                <w:szCs w:val="1"/>
                <w:color w:val="auto"/>
              </w:rPr>
            </w:pPr>
          </w:p>
        </w:tc>
      </w:tr>
      <w:tr>
        <w:trPr>
          <w:trHeight w:val="27"/>
        </w:trPr>
        <w:tc>
          <w:tcPr>
            <w:tcW w:w="72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long-term liabilities</w:t>
            </w:r>
          </w:p>
        </w:tc>
        <w:tc>
          <w:tcPr>
            <w:tcW w:w="240" w:type="dxa"/>
            <w:vAlign w:val="bottom"/>
            <w:tcBorders>
              <w:bottom w:val="single" w:sz="8" w:color="CCEEFF"/>
            </w:tcBorders>
            <w:shd w:val="clear" w:color="auto" w:fill="CCEEFF"/>
          </w:tcPr>
          <w:p>
            <w:pPr>
              <w:spacing w:after="0"/>
              <w:rPr>
                <w:sz w:val="23"/>
                <w:szCs w:val="23"/>
                <w:color w:val="auto"/>
              </w:rPr>
            </w:pPr>
          </w:p>
        </w:tc>
        <w:tc>
          <w:tcPr>
            <w:tcW w:w="18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2,395</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8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1,791</w:t>
            </w:r>
          </w:p>
        </w:tc>
        <w:tc>
          <w:tcPr>
            <w:tcW w:w="0" w:type="dxa"/>
            <w:vAlign w:val="bottom"/>
          </w:tcPr>
          <w:p>
            <w:pPr>
              <w:spacing w:after="0"/>
              <w:rPr>
                <w:sz w:val="1"/>
                <w:szCs w:val="1"/>
                <w:color w:val="auto"/>
              </w:rPr>
            </w:pPr>
          </w:p>
        </w:tc>
      </w:tr>
      <w:tr>
        <w:trPr>
          <w:trHeight w:val="237"/>
        </w:trPr>
        <w:tc>
          <w:tcPr>
            <w:tcW w:w="7200" w:type="dxa"/>
            <w:vAlign w:val="bottom"/>
          </w:tcPr>
          <w:p>
            <w:pPr>
              <w:ind w:left="220"/>
              <w:spacing w:after="0"/>
              <w:rPr>
                <w:sz w:val="20"/>
                <w:szCs w:val="20"/>
                <w:color w:val="auto"/>
              </w:rPr>
            </w:pPr>
            <w:r>
              <w:rPr>
                <w:rFonts w:ascii="Arial" w:cs="Arial" w:eastAsia="Arial" w:hAnsi="Arial"/>
                <w:sz w:val="18"/>
                <w:szCs w:val="18"/>
                <w:color w:val="auto"/>
              </w:rPr>
              <w:t>Total liabilities</w:t>
            </w:r>
          </w:p>
        </w:tc>
        <w:tc>
          <w:tcPr>
            <w:tcW w:w="240" w:type="dxa"/>
            <w:vAlign w:val="bottom"/>
            <w:tcBorders>
              <w:top w:val="single" w:sz="8" w:color="auto"/>
            </w:tcBorders>
          </w:tcPr>
          <w:p>
            <w:pPr>
              <w:spacing w:after="0"/>
              <w:rPr>
                <w:sz w:val="20"/>
                <w:szCs w:val="20"/>
                <w:color w:val="auto"/>
              </w:rPr>
            </w:pPr>
          </w:p>
        </w:tc>
        <w:tc>
          <w:tcPr>
            <w:tcW w:w="18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14,935</w:t>
            </w: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8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10,726</w:t>
            </w:r>
          </w:p>
        </w:tc>
        <w:tc>
          <w:tcPr>
            <w:tcW w:w="0" w:type="dxa"/>
            <w:vAlign w:val="bottom"/>
          </w:tcPr>
          <w:p>
            <w:pPr>
              <w:spacing w:after="0"/>
              <w:rPr>
                <w:sz w:val="1"/>
                <w:szCs w:val="1"/>
                <w:color w:val="auto"/>
              </w:rPr>
            </w:pPr>
          </w:p>
        </w:tc>
      </w:tr>
      <w:tr>
        <w:trPr>
          <w:trHeight w:val="27"/>
        </w:trPr>
        <w:tc>
          <w:tcPr>
            <w:tcW w:w="72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7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Shareholders' equity:</w:t>
            </w:r>
          </w:p>
        </w:tc>
        <w:tc>
          <w:tcPr>
            <w:tcW w:w="240" w:type="dxa"/>
            <w:vAlign w:val="bottom"/>
            <w:tcBorders>
              <w:bottom w:val="single" w:sz="8" w:color="CCEEFF"/>
            </w:tcBorders>
            <w:shd w:val="clear" w:color="auto" w:fill="CCEEFF"/>
          </w:tcPr>
          <w:p>
            <w:pPr>
              <w:spacing w:after="0"/>
              <w:rPr>
                <w:sz w:val="21"/>
                <w:szCs w:val="21"/>
                <w:color w:val="auto"/>
              </w:rPr>
            </w:pPr>
          </w:p>
        </w:tc>
        <w:tc>
          <w:tcPr>
            <w:tcW w:w="18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8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7200" w:type="dxa"/>
            <w:vAlign w:val="bottom"/>
          </w:tcPr>
          <w:p>
            <w:pPr>
              <w:ind w:left="40"/>
              <w:spacing w:after="0"/>
              <w:rPr>
                <w:sz w:val="20"/>
                <w:szCs w:val="20"/>
                <w:color w:val="auto"/>
              </w:rPr>
            </w:pPr>
            <w:r>
              <w:rPr>
                <w:rFonts w:ascii="Arial" w:cs="Arial" w:eastAsia="Arial" w:hAnsi="Arial"/>
                <w:sz w:val="18"/>
                <w:szCs w:val="18"/>
                <w:color w:val="auto"/>
                <w:w w:val="91"/>
              </w:rPr>
              <w:t>Common stock, par value $0.001, 50,000,000 shares authorized, 9,163,177 and 8,986,080 shares</w:t>
            </w:r>
          </w:p>
        </w:tc>
        <w:tc>
          <w:tcPr>
            <w:tcW w:w="240" w:type="dxa"/>
            <w:vAlign w:val="bottom"/>
          </w:tcPr>
          <w:p>
            <w:pPr>
              <w:spacing w:after="0"/>
              <w:rPr>
                <w:sz w:val="19"/>
                <w:szCs w:val="19"/>
                <w:color w:val="auto"/>
              </w:rPr>
            </w:pPr>
          </w:p>
        </w:tc>
        <w:tc>
          <w:tcPr>
            <w:tcW w:w="1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8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200" w:type="dxa"/>
            <w:vAlign w:val="bottom"/>
          </w:tcPr>
          <w:p>
            <w:pPr>
              <w:ind w:left="360"/>
              <w:spacing w:after="0"/>
              <w:rPr>
                <w:sz w:val="20"/>
                <w:szCs w:val="20"/>
                <w:color w:val="auto"/>
              </w:rPr>
            </w:pPr>
            <w:r>
              <w:rPr>
                <w:rFonts w:ascii="Arial" w:cs="Arial" w:eastAsia="Arial" w:hAnsi="Arial"/>
                <w:sz w:val="18"/>
                <w:szCs w:val="18"/>
                <w:color w:val="auto"/>
              </w:rPr>
              <w:t>issued and outstanding</w:t>
            </w:r>
          </w:p>
        </w:tc>
        <w:tc>
          <w:tcPr>
            <w:tcW w:w="240" w:type="dxa"/>
            <w:vAlign w:val="bottom"/>
          </w:tcPr>
          <w:p>
            <w:pPr>
              <w:spacing w:after="0"/>
              <w:rPr>
                <w:sz w:val="20"/>
                <w:szCs w:val="20"/>
                <w:color w:val="auto"/>
              </w:rPr>
            </w:pPr>
          </w:p>
        </w:tc>
        <w:tc>
          <w:tcPr>
            <w:tcW w:w="1820" w:type="dxa"/>
            <w:vAlign w:val="bottom"/>
          </w:tcPr>
          <w:p>
            <w:pPr>
              <w:jc w:val="right"/>
              <w:ind w:right="11"/>
              <w:spacing w:after="0"/>
              <w:rPr>
                <w:sz w:val="20"/>
                <w:szCs w:val="20"/>
                <w:color w:val="auto"/>
              </w:rPr>
            </w:pPr>
            <w:r>
              <w:rPr>
                <w:rFonts w:ascii="Arial" w:cs="Arial" w:eastAsia="Arial" w:hAnsi="Arial"/>
                <w:sz w:val="18"/>
                <w:szCs w:val="18"/>
                <w:color w:val="auto"/>
              </w:rPr>
              <w:t>9</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800" w:type="dxa"/>
            <w:vAlign w:val="bottom"/>
          </w:tcPr>
          <w:p>
            <w:pPr>
              <w:jc w:val="right"/>
              <w:ind w:right="11"/>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7"/>
        </w:trPr>
        <w:tc>
          <w:tcPr>
            <w:tcW w:w="72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Additional paid-in capital</w:t>
            </w:r>
          </w:p>
        </w:tc>
        <w:tc>
          <w:tcPr>
            <w:tcW w:w="240" w:type="dxa"/>
            <w:vAlign w:val="bottom"/>
            <w:tcBorders>
              <w:bottom w:val="single" w:sz="8" w:color="CCEEFF"/>
            </w:tcBorders>
            <w:shd w:val="clear" w:color="auto" w:fill="CCEEFF"/>
          </w:tcPr>
          <w:p>
            <w:pPr>
              <w:spacing w:after="0"/>
              <w:rPr>
                <w:sz w:val="21"/>
                <w:szCs w:val="21"/>
                <w:color w:val="auto"/>
              </w:rPr>
            </w:pPr>
          </w:p>
        </w:tc>
        <w:tc>
          <w:tcPr>
            <w:tcW w:w="18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44,645</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8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41,311</w:t>
            </w:r>
          </w:p>
        </w:tc>
        <w:tc>
          <w:tcPr>
            <w:tcW w:w="0" w:type="dxa"/>
            <w:vAlign w:val="bottom"/>
          </w:tcPr>
          <w:p>
            <w:pPr>
              <w:spacing w:after="0"/>
              <w:rPr>
                <w:sz w:val="1"/>
                <w:szCs w:val="1"/>
                <w:color w:val="auto"/>
              </w:rPr>
            </w:pPr>
          </w:p>
        </w:tc>
      </w:tr>
      <w:tr>
        <w:trPr>
          <w:trHeight w:val="243"/>
        </w:trPr>
        <w:tc>
          <w:tcPr>
            <w:tcW w:w="7200" w:type="dxa"/>
            <w:vAlign w:val="bottom"/>
          </w:tcPr>
          <w:p>
            <w:pPr>
              <w:ind w:left="40"/>
              <w:spacing w:after="0"/>
              <w:rPr>
                <w:sz w:val="20"/>
                <w:szCs w:val="20"/>
                <w:color w:val="auto"/>
              </w:rPr>
            </w:pPr>
            <w:r>
              <w:rPr>
                <w:rFonts w:ascii="Arial" w:cs="Arial" w:eastAsia="Arial" w:hAnsi="Arial"/>
                <w:sz w:val="18"/>
                <w:szCs w:val="18"/>
                <w:color w:val="auto"/>
              </w:rPr>
              <w:t>Accumulated other comprehensive income</w:t>
            </w:r>
          </w:p>
        </w:tc>
        <w:tc>
          <w:tcPr>
            <w:tcW w:w="240" w:type="dxa"/>
            <w:vAlign w:val="bottom"/>
          </w:tcPr>
          <w:p>
            <w:pPr>
              <w:spacing w:after="0"/>
              <w:rPr>
                <w:sz w:val="21"/>
                <w:szCs w:val="21"/>
                <w:color w:val="auto"/>
              </w:rPr>
            </w:pPr>
          </w:p>
        </w:tc>
        <w:tc>
          <w:tcPr>
            <w:tcW w:w="1820" w:type="dxa"/>
            <w:vAlign w:val="bottom"/>
          </w:tcPr>
          <w:p>
            <w:pPr>
              <w:jc w:val="right"/>
              <w:ind w:right="11"/>
              <w:spacing w:after="0"/>
              <w:rPr>
                <w:sz w:val="20"/>
                <w:szCs w:val="20"/>
                <w:color w:val="auto"/>
              </w:rPr>
            </w:pPr>
            <w:r>
              <w:rPr>
                <w:rFonts w:ascii="Arial" w:cs="Arial" w:eastAsia="Arial" w:hAnsi="Arial"/>
                <w:sz w:val="18"/>
                <w:szCs w:val="18"/>
                <w:color w:val="auto"/>
              </w:rPr>
              <w:t>83</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800" w:type="dxa"/>
            <w:vAlign w:val="bottom"/>
          </w:tcPr>
          <w:p>
            <w:pPr>
              <w:jc w:val="right"/>
              <w:ind w:right="11"/>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7"/>
        </w:trPr>
        <w:tc>
          <w:tcPr>
            <w:tcW w:w="72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Retained earnings</w:t>
            </w:r>
          </w:p>
        </w:tc>
        <w:tc>
          <w:tcPr>
            <w:tcW w:w="240" w:type="dxa"/>
            <w:vAlign w:val="bottom"/>
            <w:tcBorders>
              <w:bottom w:val="single" w:sz="8" w:color="CCEEFF"/>
            </w:tcBorders>
            <w:shd w:val="clear" w:color="auto" w:fill="CCEEFF"/>
          </w:tcPr>
          <w:p>
            <w:pPr>
              <w:spacing w:after="0"/>
              <w:rPr>
                <w:sz w:val="23"/>
                <w:szCs w:val="23"/>
                <w:color w:val="auto"/>
              </w:rPr>
            </w:pPr>
          </w:p>
        </w:tc>
        <w:tc>
          <w:tcPr>
            <w:tcW w:w="18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30,135</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8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28,992</w:t>
            </w:r>
          </w:p>
        </w:tc>
        <w:tc>
          <w:tcPr>
            <w:tcW w:w="0" w:type="dxa"/>
            <w:vAlign w:val="bottom"/>
          </w:tcPr>
          <w:p>
            <w:pPr>
              <w:spacing w:after="0"/>
              <w:rPr>
                <w:sz w:val="1"/>
                <w:szCs w:val="1"/>
                <w:color w:val="auto"/>
              </w:rPr>
            </w:pPr>
          </w:p>
        </w:tc>
      </w:tr>
      <w:tr>
        <w:trPr>
          <w:trHeight w:val="237"/>
        </w:trPr>
        <w:tc>
          <w:tcPr>
            <w:tcW w:w="7200" w:type="dxa"/>
            <w:vAlign w:val="bottom"/>
          </w:tcPr>
          <w:p>
            <w:pPr>
              <w:ind w:left="220"/>
              <w:spacing w:after="0"/>
              <w:rPr>
                <w:sz w:val="20"/>
                <w:szCs w:val="20"/>
                <w:color w:val="auto"/>
              </w:rPr>
            </w:pPr>
            <w:r>
              <w:rPr>
                <w:rFonts w:ascii="Arial" w:cs="Arial" w:eastAsia="Arial" w:hAnsi="Arial"/>
                <w:sz w:val="18"/>
                <w:szCs w:val="18"/>
                <w:color w:val="auto"/>
              </w:rPr>
              <w:t>Total shareholders' equity</w:t>
            </w:r>
          </w:p>
        </w:tc>
        <w:tc>
          <w:tcPr>
            <w:tcW w:w="240" w:type="dxa"/>
            <w:vAlign w:val="bottom"/>
            <w:tcBorders>
              <w:top w:val="single" w:sz="8" w:color="auto"/>
            </w:tcBorders>
          </w:tcPr>
          <w:p>
            <w:pPr>
              <w:spacing w:after="0"/>
              <w:rPr>
                <w:sz w:val="20"/>
                <w:szCs w:val="20"/>
                <w:color w:val="auto"/>
              </w:rPr>
            </w:pPr>
          </w:p>
        </w:tc>
        <w:tc>
          <w:tcPr>
            <w:tcW w:w="18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74,872</w:t>
            </w: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8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70,335</w:t>
            </w:r>
          </w:p>
        </w:tc>
        <w:tc>
          <w:tcPr>
            <w:tcW w:w="0" w:type="dxa"/>
            <w:vAlign w:val="bottom"/>
          </w:tcPr>
          <w:p>
            <w:pPr>
              <w:spacing w:after="0"/>
              <w:rPr>
                <w:sz w:val="1"/>
                <w:szCs w:val="1"/>
                <w:color w:val="auto"/>
              </w:rPr>
            </w:pPr>
          </w:p>
        </w:tc>
      </w:tr>
      <w:tr>
        <w:trPr>
          <w:trHeight w:val="27"/>
        </w:trPr>
        <w:tc>
          <w:tcPr>
            <w:tcW w:w="72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720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Total liabilities and shareholders' equity</w:t>
            </w: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82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89,807</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80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81,061</w:t>
            </w:r>
          </w:p>
        </w:tc>
        <w:tc>
          <w:tcPr>
            <w:tcW w:w="0" w:type="dxa"/>
            <w:vAlign w:val="bottom"/>
          </w:tcPr>
          <w:p>
            <w:pPr>
              <w:spacing w:after="0"/>
              <w:rPr>
                <w:sz w:val="1"/>
                <w:szCs w:val="1"/>
                <w:color w:val="auto"/>
              </w:rPr>
            </w:pPr>
          </w:p>
        </w:tc>
      </w:tr>
      <w:tr>
        <w:trPr>
          <w:trHeight w:val="20"/>
        </w:trPr>
        <w:tc>
          <w:tcPr>
            <w:tcW w:w="72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accompanying notes</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20"/>
          </w:cols>
          <w:pgMar w:left="240" w:top="121" w:right="239" w:bottom="1440" w:gutter="0" w:footer="0" w:header="0"/>
        </w:sectPr>
      </w:pPr>
    </w:p>
    <w:bookmarkStart w:id="3" w:name="page4"/>
    <w:bookmarkEnd w:id="3"/>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36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CLEARONE,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CONDENSED CONSOLIDATED STATEMENTS OF INCOME AND COMPREHENSIVE INCOME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 except per share amounts)</w:t>
      </w:r>
    </w:p>
    <w:p>
      <w:pPr>
        <w:spacing w:after="0" w:line="387"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6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160" w:type="dxa"/>
            <w:vAlign w:val="bottom"/>
            <w:gridSpan w:val="5"/>
          </w:tcPr>
          <w:p>
            <w:pPr>
              <w:ind w:left="160"/>
              <w:spacing w:after="0"/>
              <w:rPr>
                <w:sz w:val="20"/>
                <w:szCs w:val="20"/>
                <w:color w:val="auto"/>
              </w:rPr>
            </w:pPr>
            <w:r>
              <w:rPr>
                <w:rFonts w:ascii="Arial" w:cs="Arial" w:eastAsia="Arial" w:hAnsi="Arial"/>
                <w:sz w:val="16"/>
                <w:szCs w:val="16"/>
                <w:b w:val="1"/>
                <w:bCs w:val="1"/>
                <w:color w:val="auto"/>
              </w:rPr>
              <w:t>Three months ended September 30,</w:t>
            </w:r>
          </w:p>
        </w:tc>
        <w:tc>
          <w:tcPr>
            <w:tcW w:w="320" w:type="dxa"/>
            <w:vAlign w:val="bottom"/>
          </w:tcPr>
          <w:p>
            <w:pPr>
              <w:spacing w:after="0"/>
              <w:rPr>
                <w:sz w:val="18"/>
                <w:szCs w:val="18"/>
                <w:color w:val="auto"/>
              </w:rPr>
            </w:pPr>
          </w:p>
        </w:tc>
        <w:tc>
          <w:tcPr>
            <w:tcW w:w="3020" w:type="dxa"/>
            <w:vAlign w:val="bottom"/>
            <w:gridSpan w:val="4"/>
          </w:tcPr>
          <w:p>
            <w:pPr>
              <w:jc w:val="right"/>
              <w:ind w:right="390"/>
              <w:spacing w:after="0"/>
              <w:rPr>
                <w:sz w:val="20"/>
                <w:szCs w:val="20"/>
                <w:color w:val="auto"/>
              </w:rPr>
            </w:pPr>
            <w:r>
              <w:rPr>
                <w:rFonts w:ascii="Arial" w:cs="Arial" w:eastAsia="Arial" w:hAnsi="Arial"/>
                <w:sz w:val="16"/>
                <w:szCs w:val="16"/>
                <w:b w:val="1"/>
                <w:bCs w:val="1"/>
                <w:color w:val="auto"/>
                <w:w w:val="96"/>
              </w:rPr>
              <w:t>Nine months ended September 30,</w:t>
            </w:r>
          </w:p>
        </w:tc>
      </w:tr>
      <w:tr>
        <w:trPr>
          <w:trHeight w:val="33"/>
        </w:trPr>
        <w:tc>
          <w:tcPr>
            <w:tcW w:w="46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31"/>
        </w:trPr>
        <w:tc>
          <w:tcPr>
            <w:tcW w:w="46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320" w:type="dxa"/>
            <w:vAlign w:val="bottom"/>
          </w:tcPr>
          <w:p>
            <w:pPr>
              <w:jc w:val="right"/>
              <w:ind w:right="571"/>
              <w:spacing w:after="0"/>
              <w:rPr>
                <w:sz w:val="20"/>
                <w:szCs w:val="20"/>
                <w:color w:val="auto"/>
              </w:rPr>
            </w:pPr>
            <w:r>
              <w:rPr>
                <w:rFonts w:ascii="Arial" w:cs="Arial" w:eastAsia="Arial" w:hAnsi="Arial"/>
                <w:sz w:val="16"/>
                <w:szCs w:val="16"/>
                <w:b w:val="1"/>
                <w:bCs w:val="1"/>
                <w:color w:val="auto"/>
              </w:rPr>
              <w:t>2014</w:t>
            </w: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220" w:type="dxa"/>
            <w:vAlign w:val="bottom"/>
          </w:tcPr>
          <w:p>
            <w:pPr>
              <w:jc w:val="right"/>
              <w:ind w:right="550"/>
              <w:spacing w:after="0"/>
              <w:rPr>
                <w:sz w:val="20"/>
                <w:szCs w:val="20"/>
                <w:color w:val="auto"/>
              </w:rPr>
            </w:pPr>
            <w:r>
              <w:rPr>
                <w:rFonts w:ascii="Arial" w:cs="Arial" w:eastAsia="Arial" w:hAnsi="Arial"/>
                <w:sz w:val="16"/>
                <w:szCs w:val="16"/>
                <w:b w:val="1"/>
                <w:bCs w:val="1"/>
                <w:color w:val="auto"/>
              </w:rPr>
              <w:t>2013</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300" w:type="dxa"/>
            <w:vAlign w:val="bottom"/>
          </w:tcPr>
          <w:p>
            <w:pPr>
              <w:jc w:val="right"/>
              <w:ind w:right="571"/>
              <w:spacing w:after="0"/>
              <w:rPr>
                <w:sz w:val="20"/>
                <w:szCs w:val="20"/>
                <w:color w:val="auto"/>
              </w:rPr>
            </w:pPr>
            <w:r>
              <w:rPr>
                <w:rFonts w:ascii="Arial" w:cs="Arial" w:eastAsia="Arial" w:hAnsi="Arial"/>
                <w:sz w:val="16"/>
                <w:szCs w:val="16"/>
                <w:b w:val="1"/>
                <w:bCs w:val="1"/>
                <w:color w:val="auto"/>
              </w:rPr>
              <w:t>2014</w:t>
            </w: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220" w:type="dxa"/>
            <w:vAlign w:val="bottom"/>
          </w:tcPr>
          <w:p>
            <w:pPr>
              <w:jc w:val="right"/>
              <w:ind w:right="550"/>
              <w:spacing w:after="0"/>
              <w:rPr>
                <w:sz w:val="20"/>
                <w:szCs w:val="20"/>
                <w:color w:val="auto"/>
              </w:rPr>
            </w:pPr>
            <w:r>
              <w:rPr>
                <w:rFonts w:ascii="Arial" w:cs="Arial" w:eastAsia="Arial" w:hAnsi="Arial"/>
                <w:sz w:val="16"/>
                <w:szCs w:val="16"/>
                <w:b w:val="1"/>
                <w:bCs w:val="1"/>
                <w:color w:val="auto"/>
              </w:rPr>
              <w:t>2013</w:t>
            </w:r>
          </w:p>
        </w:tc>
      </w:tr>
      <w:tr>
        <w:trPr>
          <w:trHeight w:val="33"/>
        </w:trPr>
        <w:tc>
          <w:tcPr>
            <w:tcW w:w="46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44"/>
        </w:trPr>
        <w:tc>
          <w:tcPr>
            <w:tcW w:w="4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Revenue</w:t>
            </w:r>
          </w:p>
        </w:tc>
        <w:tc>
          <w:tcPr>
            <w:tcW w:w="3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3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15,739</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12,366</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3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42,558</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35,362</w:t>
            </w:r>
          </w:p>
        </w:tc>
      </w:tr>
      <w:tr>
        <w:trPr>
          <w:trHeight w:val="243"/>
        </w:trPr>
        <w:tc>
          <w:tcPr>
            <w:tcW w:w="4620" w:type="dxa"/>
            <w:vAlign w:val="bottom"/>
          </w:tcPr>
          <w:p>
            <w:pPr>
              <w:ind w:left="40"/>
              <w:spacing w:after="0"/>
              <w:rPr>
                <w:sz w:val="20"/>
                <w:szCs w:val="20"/>
                <w:color w:val="auto"/>
              </w:rPr>
            </w:pPr>
            <w:r>
              <w:rPr>
                <w:rFonts w:ascii="Arial" w:cs="Arial" w:eastAsia="Arial" w:hAnsi="Arial"/>
                <w:sz w:val="18"/>
                <w:szCs w:val="18"/>
                <w:color w:val="auto"/>
              </w:rPr>
              <w:t>Cost of goods sold</w:t>
            </w:r>
          </w:p>
        </w:tc>
        <w:tc>
          <w:tcPr>
            <w:tcW w:w="300" w:type="dxa"/>
            <w:vAlign w:val="bottom"/>
          </w:tcPr>
          <w:p>
            <w:pPr>
              <w:spacing w:after="0"/>
              <w:rPr>
                <w:sz w:val="21"/>
                <w:szCs w:val="21"/>
                <w:color w:val="auto"/>
              </w:rPr>
            </w:pPr>
          </w:p>
        </w:tc>
        <w:tc>
          <w:tcPr>
            <w:tcW w:w="1320" w:type="dxa"/>
            <w:vAlign w:val="bottom"/>
          </w:tcPr>
          <w:p>
            <w:pPr>
              <w:jc w:val="right"/>
              <w:ind w:right="31"/>
              <w:spacing w:after="0"/>
              <w:rPr>
                <w:sz w:val="20"/>
                <w:szCs w:val="20"/>
                <w:color w:val="auto"/>
              </w:rPr>
            </w:pPr>
            <w:r>
              <w:rPr>
                <w:rFonts w:ascii="Arial" w:cs="Arial" w:eastAsia="Arial" w:hAnsi="Arial"/>
                <w:sz w:val="18"/>
                <w:szCs w:val="18"/>
                <w:color w:val="auto"/>
              </w:rPr>
              <w:t>6,099</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4,921</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300" w:type="dxa"/>
            <w:vAlign w:val="bottom"/>
          </w:tcPr>
          <w:p>
            <w:pPr>
              <w:jc w:val="right"/>
              <w:ind w:right="31"/>
              <w:spacing w:after="0"/>
              <w:rPr>
                <w:sz w:val="20"/>
                <w:szCs w:val="20"/>
                <w:color w:val="auto"/>
              </w:rPr>
            </w:pPr>
            <w:r>
              <w:rPr>
                <w:rFonts w:ascii="Arial" w:cs="Arial" w:eastAsia="Arial" w:hAnsi="Arial"/>
                <w:sz w:val="18"/>
                <w:szCs w:val="18"/>
                <w:color w:val="auto"/>
              </w:rPr>
              <w:t>17,152</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14,054</w:t>
            </w:r>
          </w:p>
        </w:tc>
      </w:tr>
      <w:tr>
        <w:trPr>
          <w:trHeight w:val="27"/>
        </w:trPr>
        <w:tc>
          <w:tcPr>
            <w:tcW w:w="46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64"/>
        </w:trPr>
        <w:tc>
          <w:tcPr>
            <w:tcW w:w="46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Gross profit</w:t>
            </w:r>
          </w:p>
        </w:tc>
        <w:tc>
          <w:tcPr>
            <w:tcW w:w="30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9,640</w:t>
            </w: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7,445</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25,406</w:t>
            </w: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21,308</w:t>
            </w:r>
          </w:p>
        </w:tc>
      </w:tr>
      <w:tr>
        <w:trPr>
          <w:trHeight w:val="291"/>
        </w:trPr>
        <w:tc>
          <w:tcPr>
            <w:tcW w:w="4620" w:type="dxa"/>
            <w:vAlign w:val="bottom"/>
          </w:tcPr>
          <w:p>
            <w:pPr>
              <w:spacing w:after="0"/>
              <w:rPr>
                <w:sz w:val="24"/>
                <w:szCs w:val="24"/>
                <w:color w:val="auto"/>
              </w:rPr>
            </w:pPr>
          </w:p>
        </w:tc>
        <w:tc>
          <w:tcPr>
            <w:tcW w:w="300" w:type="dxa"/>
            <w:vAlign w:val="bottom"/>
            <w:tcBorders>
              <w:top w:val="single" w:sz="8" w:color="auto"/>
            </w:tcBorders>
          </w:tcPr>
          <w:p>
            <w:pPr>
              <w:spacing w:after="0"/>
              <w:rPr>
                <w:sz w:val="24"/>
                <w:szCs w:val="24"/>
                <w:color w:val="auto"/>
              </w:rPr>
            </w:pPr>
          </w:p>
        </w:tc>
        <w:tc>
          <w:tcPr>
            <w:tcW w:w="132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Borders>
              <w:top w:val="single" w:sz="8" w:color="auto"/>
            </w:tcBorders>
          </w:tcPr>
          <w:p>
            <w:pPr>
              <w:spacing w:after="0"/>
              <w:rPr>
                <w:sz w:val="24"/>
                <w:szCs w:val="24"/>
                <w:color w:val="auto"/>
              </w:rPr>
            </w:pPr>
          </w:p>
        </w:tc>
        <w:tc>
          <w:tcPr>
            <w:tcW w:w="122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Borders>
              <w:top w:val="single" w:sz="8" w:color="auto"/>
            </w:tcBorders>
          </w:tcPr>
          <w:p>
            <w:pPr>
              <w:spacing w:after="0"/>
              <w:rPr>
                <w:sz w:val="24"/>
                <w:szCs w:val="24"/>
                <w:color w:val="auto"/>
              </w:rPr>
            </w:pPr>
          </w:p>
        </w:tc>
        <w:tc>
          <w:tcPr>
            <w:tcW w:w="130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Borders>
              <w:top w:val="single" w:sz="8" w:color="auto"/>
            </w:tcBorders>
          </w:tcPr>
          <w:p>
            <w:pPr>
              <w:spacing w:after="0"/>
              <w:rPr>
                <w:sz w:val="24"/>
                <w:szCs w:val="24"/>
                <w:color w:val="auto"/>
              </w:rPr>
            </w:pPr>
          </w:p>
        </w:tc>
        <w:tc>
          <w:tcPr>
            <w:tcW w:w="1220" w:type="dxa"/>
            <w:vAlign w:val="bottom"/>
            <w:tcBorders>
              <w:top w:val="single" w:sz="8" w:color="auto"/>
            </w:tcBorders>
          </w:tcPr>
          <w:p>
            <w:pPr>
              <w:spacing w:after="0"/>
              <w:rPr>
                <w:sz w:val="24"/>
                <w:szCs w:val="24"/>
                <w:color w:val="auto"/>
              </w:rPr>
            </w:pPr>
          </w:p>
        </w:tc>
      </w:tr>
      <w:tr>
        <w:trPr>
          <w:trHeight w:val="277"/>
        </w:trPr>
        <w:tc>
          <w:tcPr>
            <w:tcW w:w="4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expenses:</w:t>
            </w:r>
          </w:p>
        </w:tc>
        <w:tc>
          <w:tcPr>
            <w:tcW w:w="300" w:type="dxa"/>
            <w:vAlign w:val="bottom"/>
            <w:tcBorders>
              <w:bottom w:val="single" w:sz="8" w:color="CCEEFF"/>
            </w:tcBorders>
            <w:shd w:val="clear" w:color="auto" w:fill="CCEEFF"/>
          </w:tcPr>
          <w:p>
            <w:pPr>
              <w:spacing w:after="0"/>
              <w:rPr>
                <w:sz w:val="24"/>
                <w:szCs w:val="24"/>
                <w:color w:val="auto"/>
              </w:rPr>
            </w:pPr>
          </w:p>
        </w:tc>
        <w:tc>
          <w:tcPr>
            <w:tcW w:w="132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400" w:type="dxa"/>
            <w:vAlign w:val="bottom"/>
            <w:tcBorders>
              <w:bottom w:val="single" w:sz="8" w:color="CCEEFF"/>
            </w:tcBorders>
            <w:shd w:val="clear" w:color="auto" w:fill="CCEEFF"/>
          </w:tcPr>
          <w:p>
            <w:pPr>
              <w:spacing w:after="0"/>
              <w:rPr>
                <w:sz w:val="24"/>
                <w:szCs w:val="24"/>
                <w:color w:val="auto"/>
              </w:rPr>
            </w:pPr>
          </w:p>
        </w:tc>
        <w:tc>
          <w:tcPr>
            <w:tcW w:w="122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320" w:type="dxa"/>
            <w:vAlign w:val="bottom"/>
            <w:tcBorders>
              <w:bottom w:val="single" w:sz="8" w:color="CCEEFF"/>
            </w:tcBorders>
            <w:shd w:val="clear" w:color="auto" w:fill="CCEEFF"/>
          </w:tcPr>
          <w:p>
            <w:pPr>
              <w:spacing w:after="0"/>
              <w:rPr>
                <w:sz w:val="24"/>
                <w:szCs w:val="24"/>
                <w:color w:val="auto"/>
              </w:rPr>
            </w:pPr>
          </w:p>
        </w:tc>
        <w:tc>
          <w:tcPr>
            <w:tcW w:w="130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400" w:type="dxa"/>
            <w:vAlign w:val="bottom"/>
            <w:tcBorders>
              <w:bottom w:val="single" w:sz="8" w:color="CCEEFF"/>
            </w:tcBorders>
            <w:shd w:val="clear" w:color="auto" w:fill="CCEEFF"/>
          </w:tcPr>
          <w:p>
            <w:pPr>
              <w:spacing w:after="0"/>
              <w:rPr>
                <w:sz w:val="24"/>
                <w:szCs w:val="24"/>
                <w:color w:val="auto"/>
              </w:rPr>
            </w:pPr>
          </w:p>
        </w:tc>
        <w:tc>
          <w:tcPr>
            <w:tcW w:w="1220" w:type="dxa"/>
            <w:vAlign w:val="bottom"/>
            <w:tcBorders>
              <w:bottom w:val="single" w:sz="8" w:color="CCEEFF"/>
            </w:tcBorders>
            <w:shd w:val="clear" w:color="auto" w:fill="CCEEFF"/>
          </w:tcPr>
          <w:p>
            <w:pPr>
              <w:spacing w:after="0"/>
              <w:rPr>
                <w:sz w:val="24"/>
                <w:szCs w:val="24"/>
                <w:color w:val="auto"/>
              </w:rPr>
            </w:pPr>
          </w:p>
        </w:tc>
      </w:tr>
      <w:tr>
        <w:trPr>
          <w:trHeight w:val="243"/>
        </w:trPr>
        <w:tc>
          <w:tcPr>
            <w:tcW w:w="4620" w:type="dxa"/>
            <w:vAlign w:val="bottom"/>
          </w:tcPr>
          <w:p>
            <w:pPr>
              <w:ind w:left="40"/>
              <w:spacing w:after="0"/>
              <w:rPr>
                <w:sz w:val="20"/>
                <w:szCs w:val="20"/>
                <w:color w:val="auto"/>
              </w:rPr>
            </w:pPr>
            <w:r>
              <w:rPr>
                <w:rFonts w:ascii="Arial" w:cs="Arial" w:eastAsia="Arial" w:hAnsi="Arial"/>
                <w:sz w:val="18"/>
                <w:szCs w:val="18"/>
                <w:color w:val="auto"/>
              </w:rPr>
              <w:t>Sales and marketing</w:t>
            </w:r>
          </w:p>
        </w:tc>
        <w:tc>
          <w:tcPr>
            <w:tcW w:w="300" w:type="dxa"/>
            <w:vAlign w:val="bottom"/>
          </w:tcPr>
          <w:p>
            <w:pPr>
              <w:spacing w:after="0"/>
              <w:rPr>
                <w:sz w:val="21"/>
                <w:szCs w:val="21"/>
                <w:color w:val="auto"/>
              </w:rPr>
            </w:pPr>
          </w:p>
        </w:tc>
        <w:tc>
          <w:tcPr>
            <w:tcW w:w="1320" w:type="dxa"/>
            <w:vAlign w:val="bottom"/>
          </w:tcPr>
          <w:p>
            <w:pPr>
              <w:jc w:val="right"/>
              <w:ind w:right="31"/>
              <w:spacing w:after="0"/>
              <w:rPr>
                <w:sz w:val="20"/>
                <w:szCs w:val="20"/>
                <w:color w:val="auto"/>
              </w:rPr>
            </w:pPr>
            <w:r>
              <w:rPr>
                <w:rFonts w:ascii="Arial" w:cs="Arial" w:eastAsia="Arial" w:hAnsi="Arial"/>
                <w:sz w:val="18"/>
                <w:szCs w:val="18"/>
                <w:color w:val="auto"/>
              </w:rPr>
              <w:t>2,791</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2,220</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300" w:type="dxa"/>
            <w:vAlign w:val="bottom"/>
          </w:tcPr>
          <w:p>
            <w:pPr>
              <w:jc w:val="right"/>
              <w:ind w:right="31"/>
              <w:spacing w:after="0"/>
              <w:rPr>
                <w:sz w:val="20"/>
                <w:szCs w:val="20"/>
                <w:color w:val="auto"/>
              </w:rPr>
            </w:pPr>
            <w:r>
              <w:rPr>
                <w:rFonts w:ascii="Arial" w:cs="Arial" w:eastAsia="Arial" w:hAnsi="Arial"/>
                <w:sz w:val="18"/>
                <w:szCs w:val="18"/>
                <w:color w:val="auto"/>
              </w:rPr>
              <w:t>8,504</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6,575</w:t>
            </w:r>
          </w:p>
        </w:tc>
      </w:tr>
      <w:tr>
        <w:trPr>
          <w:trHeight w:val="27"/>
        </w:trPr>
        <w:tc>
          <w:tcPr>
            <w:tcW w:w="46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4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Research and product development</w:t>
            </w:r>
          </w:p>
        </w:tc>
        <w:tc>
          <w:tcPr>
            <w:tcW w:w="3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2,315</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1,788</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6,886</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5,497</w:t>
            </w:r>
          </w:p>
        </w:tc>
      </w:tr>
      <w:tr>
        <w:trPr>
          <w:trHeight w:val="243"/>
        </w:trPr>
        <w:tc>
          <w:tcPr>
            <w:tcW w:w="4620" w:type="dxa"/>
            <w:vAlign w:val="bottom"/>
          </w:tcPr>
          <w:p>
            <w:pPr>
              <w:ind w:left="40"/>
              <w:spacing w:after="0"/>
              <w:rPr>
                <w:sz w:val="20"/>
                <w:szCs w:val="20"/>
                <w:color w:val="auto"/>
              </w:rPr>
            </w:pPr>
            <w:r>
              <w:rPr>
                <w:rFonts w:ascii="Arial" w:cs="Arial" w:eastAsia="Arial" w:hAnsi="Arial"/>
                <w:sz w:val="18"/>
                <w:szCs w:val="18"/>
                <w:color w:val="auto"/>
              </w:rPr>
              <w:t>General and administrative</w:t>
            </w:r>
          </w:p>
        </w:tc>
        <w:tc>
          <w:tcPr>
            <w:tcW w:w="300" w:type="dxa"/>
            <w:vAlign w:val="bottom"/>
          </w:tcPr>
          <w:p>
            <w:pPr>
              <w:spacing w:after="0"/>
              <w:rPr>
                <w:sz w:val="21"/>
                <w:szCs w:val="21"/>
                <w:color w:val="auto"/>
              </w:rPr>
            </w:pPr>
          </w:p>
        </w:tc>
        <w:tc>
          <w:tcPr>
            <w:tcW w:w="1320" w:type="dxa"/>
            <w:vAlign w:val="bottom"/>
          </w:tcPr>
          <w:p>
            <w:pPr>
              <w:jc w:val="right"/>
              <w:ind w:right="31"/>
              <w:spacing w:after="0"/>
              <w:rPr>
                <w:sz w:val="20"/>
                <w:szCs w:val="20"/>
                <w:color w:val="auto"/>
              </w:rPr>
            </w:pPr>
            <w:r>
              <w:rPr>
                <w:rFonts w:ascii="Arial" w:cs="Arial" w:eastAsia="Arial" w:hAnsi="Arial"/>
                <w:sz w:val="18"/>
                <w:szCs w:val="18"/>
                <w:color w:val="auto"/>
              </w:rPr>
              <w:t>1,487</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1,405</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300" w:type="dxa"/>
            <w:vAlign w:val="bottom"/>
          </w:tcPr>
          <w:p>
            <w:pPr>
              <w:jc w:val="right"/>
              <w:ind w:right="31"/>
              <w:spacing w:after="0"/>
              <w:rPr>
                <w:sz w:val="20"/>
                <w:szCs w:val="20"/>
                <w:color w:val="auto"/>
              </w:rPr>
            </w:pPr>
            <w:r>
              <w:rPr>
                <w:rFonts w:ascii="Arial" w:cs="Arial" w:eastAsia="Arial" w:hAnsi="Arial"/>
                <w:sz w:val="18"/>
                <w:szCs w:val="18"/>
                <w:color w:val="auto"/>
              </w:rPr>
              <w:t>5,079</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4,639</w:t>
            </w:r>
          </w:p>
        </w:tc>
      </w:tr>
      <w:tr>
        <w:trPr>
          <w:trHeight w:val="27"/>
        </w:trPr>
        <w:tc>
          <w:tcPr>
            <w:tcW w:w="46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70"/>
        </w:trPr>
        <w:tc>
          <w:tcPr>
            <w:tcW w:w="4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Proceeds from litigation, net</w:t>
            </w:r>
          </w:p>
        </w:tc>
        <w:tc>
          <w:tcPr>
            <w:tcW w:w="30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0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(272)</w:t>
            </w: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0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(272)</w:t>
            </w:r>
          </w:p>
        </w:tc>
      </w:tr>
      <w:tr>
        <w:trPr>
          <w:trHeight w:val="237"/>
        </w:trPr>
        <w:tc>
          <w:tcPr>
            <w:tcW w:w="4620" w:type="dxa"/>
            <w:vAlign w:val="bottom"/>
          </w:tcPr>
          <w:p>
            <w:pPr>
              <w:ind w:left="180"/>
              <w:spacing w:after="0"/>
              <w:rPr>
                <w:sz w:val="20"/>
                <w:szCs w:val="20"/>
                <w:color w:val="auto"/>
              </w:rPr>
            </w:pPr>
            <w:r>
              <w:rPr>
                <w:rFonts w:ascii="Arial" w:cs="Arial" w:eastAsia="Arial" w:hAnsi="Arial"/>
                <w:sz w:val="18"/>
                <w:szCs w:val="18"/>
                <w:color w:val="auto"/>
              </w:rPr>
              <w:t>Total operating expenses</w:t>
            </w:r>
          </w:p>
        </w:tc>
        <w:tc>
          <w:tcPr>
            <w:tcW w:w="300" w:type="dxa"/>
            <w:vAlign w:val="bottom"/>
            <w:tcBorders>
              <w:top w:val="single" w:sz="8" w:color="auto"/>
            </w:tcBorders>
          </w:tcPr>
          <w:p>
            <w:pPr>
              <w:spacing w:after="0"/>
              <w:rPr>
                <w:sz w:val="20"/>
                <w:szCs w:val="20"/>
                <w:color w:val="auto"/>
              </w:rPr>
            </w:pPr>
          </w:p>
        </w:tc>
        <w:tc>
          <w:tcPr>
            <w:tcW w:w="132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6,593</w:t>
            </w:r>
          </w:p>
        </w:tc>
        <w:tc>
          <w:tcPr>
            <w:tcW w:w="100" w:type="dxa"/>
            <w:vAlign w:val="bottom"/>
          </w:tcPr>
          <w:p>
            <w:pPr>
              <w:spacing w:after="0"/>
              <w:rPr>
                <w:sz w:val="20"/>
                <w:szCs w:val="20"/>
                <w:color w:val="auto"/>
              </w:rPr>
            </w:pPr>
          </w:p>
        </w:tc>
        <w:tc>
          <w:tcPr>
            <w:tcW w:w="40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5,141</w:t>
            </w:r>
          </w:p>
        </w:tc>
        <w:tc>
          <w:tcPr>
            <w:tcW w:w="12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20,469</w:t>
            </w:r>
          </w:p>
        </w:tc>
        <w:tc>
          <w:tcPr>
            <w:tcW w:w="100" w:type="dxa"/>
            <w:vAlign w:val="bottom"/>
          </w:tcPr>
          <w:p>
            <w:pPr>
              <w:spacing w:after="0"/>
              <w:rPr>
                <w:sz w:val="20"/>
                <w:szCs w:val="20"/>
                <w:color w:val="auto"/>
              </w:rPr>
            </w:pPr>
          </w:p>
        </w:tc>
        <w:tc>
          <w:tcPr>
            <w:tcW w:w="40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16,439</w:t>
            </w:r>
          </w:p>
        </w:tc>
      </w:tr>
      <w:tr>
        <w:trPr>
          <w:trHeight w:val="27"/>
        </w:trPr>
        <w:tc>
          <w:tcPr>
            <w:tcW w:w="46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91"/>
        </w:trPr>
        <w:tc>
          <w:tcPr>
            <w:tcW w:w="46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3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12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3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1220" w:type="dxa"/>
            <w:vAlign w:val="bottom"/>
            <w:shd w:val="clear" w:color="auto" w:fill="CCEEFF"/>
          </w:tcPr>
          <w:p>
            <w:pPr>
              <w:spacing w:after="0"/>
              <w:rPr>
                <w:sz w:val="24"/>
                <w:szCs w:val="24"/>
                <w:color w:val="auto"/>
              </w:rPr>
            </w:pPr>
          </w:p>
        </w:tc>
      </w:tr>
      <w:tr>
        <w:trPr>
          <w:trHeight w:val="243"/>
        </w:trPr>
        <w:tc>
          <w:tcPr>
            <w:tcW w:w="4620" w:type="dxa"/>
            <w:vAlign w:val="bottom"/>
          </w:tcPr>
          <w:p>
            <w:pPr>
              <w:ind w:left="40"/>
              <w:spacing w:after="0"/>
              <w:rPr>
                <w:sz w:val="20"/>
                <w:szCs w:val="20"/>
                <w:color w:val="auto"/>
              </w:rPr>
            </w:pPr>
            <w:r>
              <w:rPr>
                <w:rFonts w:ascii="Arial" w:cs="Arial" w:eastAsia="Arial" w:hAnsi="Arial"/>
                <w:sz w:val="18"/>
                <w:szCs w:val="18"/>
                <w:color w:val="auto"/>
              </w:rPr>
              <w:t>Operating income</w:t>
            </w:r>
          </w:p>
        </w:tc>
        <w:tc>
          <w:tcPr>
            <w:tcW w:w="300" w:type="dxa"/>
            <w:vAlign w:val="bottom"/>
          </w:tcPr>
          <w:p>
            <w:pPr>
              <w:spacing w:after="0"/>
              <w:rPr>
                <w:sz w:val="21"/>
                <w:szCs w:val="21"/>
                <w:color w:val="auto"/>
              </w:rPr>
            </w:pPr>
          </w:p>
        </w:tc>
        <w:tc>
          <w:tcPr>
            <w:tcW w:w="1320" w:type="dxa"/>
            <w:vAlign w:val="bottom"/>
          </w:tcPr>
          <w:p>
            <w:pPr>
              <w:jc w:val="right"/>
              <w:ind w:right="31"/>
              <w:spacing w:after="0"/>
              <w:rPr>
                <w:sz w:val="20"/>
                <w:szCs w:val="20"/>
                <w:color w:val="auto"/>
              </w:rPr>
            </w:pPr>
            <w:r>
              <w:rPr>
                <w:rFonts w:ascii="Arial" w:cs="Arial" w:eastAsia="Arial" w:hAnsi="Arial"/>
                <w:sz w:val="18"/>
                <w:szCs w:val="18"/>
                <w:color w:val="auto"/>
              </w:rPr>
              <w:t>3,047</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2,304</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300" w:type="dxa"/>
            <w:vAlign w:val="bottom"/>
          </w:tcPr>
          <w:p>
            <w:pPr>
              <w:jc w:val="right"/>
              <w:ind w:right="31"/>
              <w:spacing w:after="0"/>
              <w:rPr>
                <w:sz w:val="20"/>
                <w:szCs w:val="20"/>
                <w:color w:val="auto"/>
              </w:rPr>
            </w:pPr>
            <w:r>
              <w:rPr>
                <w:rFonts w:ascii="Arial" w:cs="Arial" w:eastAsia="Arial" w:hAnsi="Arial"/>
                <w:sz w:val="18"/>
                <w:szCs w:val="18"/>
                <w:color w:val="auto"/>
              </w:rPr>
              <w:t>4,937</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4,869</w:t>
            </w:r>
          </w:p>
        </w:tc>
      </w:tr>
      <w:tr>
        <w:trPr>
          <w:trHeight w:val="27"/>
        </w:trPr>
        <w:tc>
          <w:tcPr>
            <w:tcW w:w="46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70"/>
        </w:trPr>
        <w:tc>
          <w:tcPr>
            <w:tcW w:w="4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income, net</w:t>
            </w:r>
          </w:p>
        </w:tc>
        <w:tc>
          <w:tcPr>
            <w:tcW w:w="30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70</w:t>
            </w:r>
          </w:p>
        </w:tc>
        <w:tc>
          <w:tcPr>
            <w:tcW w:w="10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85</w:t>
            </w: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215</w:t>
            </w:r>
          </w:p>
        </w:tc>
        <w:tc>
          <w:tcPr>
            <w:tcW w:w="10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117</w:t>
            </w:r>
          </w:p>
        </w:tc>
      </w:tr>
      <w:tr>
        <w:trPr>
          <w:trHeight w:val="237"/>
        </w:trPr>
        <w:tc>
          <w:tcPr>
            <w:tcW w:w="4620" w:type="dxa"/>
            <w:vAlign w:val="bottom"/>
          </w:tcPr>
          <w:p>
            <w:pPr>
              <w:ind w:left="180"/>
              <w:spacing w:after="0"/>
              <w:rPr>
                <w:sz w:val="20"/>
                <w:szCs w:val="20"/>
                <w:color w:val="auto"/>
              </w:rPr>
            </w:pPr>
            <w:r>
              <w:rPr>
                <w:rFonts w:ascii="Arial" w:cs="Arial" w:eastAsia="Arial" w:hAnsi="Arial"/>
                <w:sz w:val="18"/>
                <w:szCs w:val="18"/>
                <w:color w:val="auto"/>
              </w:rPr>
              <w:t>Income before income taxes</w:t>
            </w:r>
          </w:p>
        </w:tc>
        <w:tc>
          <w:tcPr>
            <w:tcW w:w="300" w:type="dxa"/>
            <w:vAlign w:val="bottom"/>
            <w:tcBorders>
              <w:top w:val="single" w:sz="8" w:color="auto"/>
            </w:tcBorders>
          </w:tcPr>
          <w:p>
            <w:pPr>
              <w:spacing w:after="0"/>
              <w:rPr>
                <w:sz w:val="20"/>
                <w:szCs w:val="20"/>
                <w:color w:val="auto"/>
              </w:rPr>
            </w:pPr>
          </w:p>
        </w:tc>
        <w:tc>
          <w:tcPr>
            <w:tcW w:w="132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3,117</w:t>
            </w:r>
          </w:p>
        </w:tc>
        <w:tc>
          <w:tcPr>
            <w:tcW w:w="100" w:type="dxa"/>
            <w:vAlign w:val="bottom"/>
          </w:tcPr>
          <w:p>
            <w:pPr>
              <w:spacing w:after="0"/>
              <w:rPr>
                <w:sz w:val="20"/>
                <w:szCs w:val="20"/>
                <w:color w:val="auto"/>
              </w:rPr>
            </w:pPr>
          </w:p>
        </w:tc>
        <w:tc>
          <w:tcPr>
            <w:tcW w:w="40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2,389</w:t>
            </w:r>
          </w:p>
        </w:tc>
        <w:tc>
          <w:tcPr>
            <w:tcW w:w="12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5,152</w:t>
            </w:r>
          </w:p>
        </w:tc>
        <w:tc>
          <w:tcPr>
            <w:tcW w:w="100" w:type="dxa"/>
            <w:vAlign w:val="bottom"/>
          </w:tcPr>
          <w:p>
            <w:pPr>
              <w:spacing w:after="0"/>
              <w:rPr>
                <w:sz w:val="20"/>
                <w:szCs w:val="20"/>
                <w:color w:val="auto"/>
              </w:rPr>
            </w:pPr>
          </w:p>
        </w:tc>
        <w:tc>
          <w:tcPr>
            <w:tcW w:w="40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4,986</w:t>
            </w:r>
          </w:p>
        </w:tc>
      </w:tr>
      <w:tr>
        <w:trPr>
          <w:trHeight w:val="27"/>
        </w:trPr>
        <w:tc>
          <w:tcPr>
            <w:tcW w:w="46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70"/>
        </w:trPr>
        <w:tc>
          <w:tcPr>
            <w:tcW w:w="4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Provision for income taxes</w:t>
            </w:r>
          </w:p>
        </w:tc>
        <w:tc>
          <w:tcPr>
            <w:tcW w:w="30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1,471</w:t>
            </w:r>
          </w:p>
        </w:tc>
        <w:tc>
          <w:tcPr>
            <w:tcW w:w="10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726</w:t>
            </w: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2,082</w:t>
            </w:r>
          </w:p>
        </w:tc>
        <w:tc>
          <w:tcPr>
            <w:tcW w:w="10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1,548</w:t>
            </w:r>
          </w:p>
        </w:tc>
      </w:tr>
      <w:tr>
        <w:trPr>
          <w:trHeight w:val="297"/>
        </w:trPr>
        <w:tc>
          <w:tcPr>
            <w:tcW w:w="462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Net income</w:t>
            </w:r>
          </w:p>
        </w:tc>
        <w:tc>
          <w:tcPr>
            <w:tcW w:w="30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rPr>
              <w:t>$</w:t>
            </w:r>
          </w:p>
        </w:tc>
        <w:tc>
          <w:tcPr>
            <w:tcW w:w="132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color w:val="auto"/>
              </w:rPr>
              <w:t>1,646</w:t>
            </w:r>
          </w:p>
        </w:tc>
        <w:tc>
          <w:tcPr>
            <w:tcW w:w="100" w:type="dxa"/>
            <w:vAlign w:val="bottom"/>
            <w:tcBorders>
              <w:bottom w:val="single" w:sz="8" w:color="CCEEFF"/>
            </w:tcBorders>
          </w:tcPr>
          <w:p>
            <w:pPr>
              <w:spacing w:after="0"/>
              <w:rPr>
                <w:sz w:val="24"/>
                <w:szCs w:val="24"/>
                <w:color w:val="auto"/>
              </w:rPr>
            </w:pPr>
          </w:p>
        </w:tc>
        <w:tc>
          <w:tcPr>
            <w:tcW w:w="40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rPr>
              <w:t>$</w:t>
            </w:r>
          </w:p>
        </w:tc>
        <w:tc>
          <w:tcPr>
            <w:tcW w:w="1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1,663</w:t>
            </w:r>
          </w:p>
        </w:tc>
        <w:tc>
          <w:tcPr>
            <w:tcW w:w="120" w:type="dxa"/>
            <w:vAlign w:val="bottom"/>
            <w:tcBorders>
              <w:bottom w:val="single" w:sz="8" w:color="CCEEFF"/>
            </w:tcBorders>
          </w:tcPr>
          <w:p>
            <w:pPr>
              <w:spacing w:after="0"/>
              <w:rPr>
                <w:sz w:val="24"/>
                <w:szCs w:val="24"/>
                <w:color w:val="auto"/>
              </w:rPr>
            </w:pPr>
          </w:p>
        </w:tc>
        <w:tc>
          <w:tcPr>
            <w:tcW w:w="32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rPr>
              <w:t>$</w:t>
            </w:r>
          </w:p>
        </w:tc>
        <w:tc>
          <w:tcPr>
            <w:tcW w:w="130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color w:val="auto"/>
              </w:rPr>
              <w:t>3,070</w:t>
            </w:r>
          </w:p>
        </w:tc>
        <w:tc>
          <w:tcPr>
            <w:tcW w:w="100" w:type="dxa"/>
            <w:vAlign w:val="bottom"/>
            <w:tcBorders>
              <w:bottom w:val="single" w:sz="8" w:color="CCEEFF"/>
            </w:tcBorders>
          </w:tcPr>
          <w:p>
            <w:pPr>
              <w:spacing w:after="0"/>
              <w:rPr>
                <w:sz w:val="24"/>
                <w:szCs w:val="24"/>
                <w:color w:val="auto"/>
              </w:rPr>
            </w:pPr>
          </w:p>
        </w:tc>
        <w:tc>
          <w:tcPr>
            <w:tcW w:w="40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rPr>
              <w:t>$</w:t>
            </w:r>
          </w:p>
        </w:tc>
        <w:tc>
          <w:tcPr>
            <w:tcW w:w="1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3,438</w:t>
            </w:r>
          </w:p>
        </w:tc>
      </w:tr>
      <w:tr>
        <w:trPr>
          <w:trHeight w:val="284"/>
        </w:trPr>
        <w:tc>
          <w:tcPr>
            <w:tcW w:w="46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3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12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3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1220" w:type="dxa"/>
            <w:vAlign w:val="bottom"/>
            <w:shd w:val="clear" w:color="auto" w:fill="CCEEFF"/>
          </w:tcPr>
          <w:p>
            <w:pPr>
              <w:spacing w:after="0"/>
              <w:rPr>
                <w:sz w:val="24"/>
                <w:szCs w:val="24"/>
                <w:color w:val="auto"/>
              </w:rPr>
            </w:pPr>
          </w:p>
        </w:tc>
      </w:tr>
      <w:tr>
        <w:trPr>
          <w:trHeight w:val="304"/>
        </w:trPr>
        <w:tc>
          <w:tcPr>
            <w:tcW w:w="462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Basic earnings per common share</w:t>
            </w:r>
          </w:p>
        </w:tc>
        <w:tc>
          <w:tcPr>
            <w:tcW w:w="30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w:t>
            </w:r>
          </w:p>
        </w:tc>
        <w:tc>
          <w:tcPr>
            <w:tcW w:w="132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0.18</w:t>
            </w:r>
          </w:p>
        </w:tc>
        <w:tc>
          <w:tcPr>
            <w:tcW w:w="100" w:type="dxa"/>
            <w:vAlign w:val="bottom"/>
            <w:tcBorders>
              <w:bottom w:val="single" w:sz="8" w:color="CCEEFF"/>
            </w:tcBorders>
          </w:tcPr>
          <w:p>
            <w:pPr>
              <w:spacing w:after="0"/>
              <w:rPr>
                <w:sz w:val="24"/>
                <w:szCs w:val="24"/>
                <w:color w:val="auto"/>
              </w:rPr>
            </w:pPr>
          </w:p>
        </w:tc>
        <w:tc>
          <w:tcPr>
            <w:tcW w:w="40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0.18</w:t>
            </w:r>
          </w:p>
        </w:tc>
        <w:tc>
          <w:tcPr>
            <w:tcW w:w="120" w:type="dxa"/>
            <w:vAlign w:val="bottom"/>
            <w:tcBorders>
              <w:bottom w:val="single" w:sz="8" w:color="CCEEFF"/>
            </w:tcBorders>
          </w:tcPr>
          <w:p>
            <w:pPr>
              <w:spacing w:after="0"/>
              <w:rPr>
                <w:sz w:val="24"/>
                <w:szCs w:val="24"/>
                <w:color w:val="auto"/>
              </w:rPr>
            </w:pPr>
          </w:p>
        </w:tc>
        <w:tc>
          <w:tcPr>
            <w:tcW w:w="32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w:t>
            </w:r>
          </w:p>
        </w:tc>
        <w:tc>
          <w:tcPr>
            <w:tcW w:w="130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0.33</w:t>
            </w:r>
          </w:p>
        </w:tc>
        <w:tc>
          <w:tcPr>
            <w:tcW w:w="100" w:type="dxa"/>
            <w:vAlign w:val="bottom"/>
            <w:tcBorders>
              <w:bottom w:val="single" w:sz="8" w:color="CCEEFF"/>
            </w:tcBorders>
          </w:tcPr>
          <w:p>
            <w:pPr>
              <w:spacing w:after="0"/>
              <w:rPr>
                <w:sz w:val="24"/>
                <w:szCs w:val="24"/>
                <w:color w:val="auto"/>
              </w:rPr>
            </w:pPr>
          </w:p>
        </w:tc>
        <w:tc>
          <w:tcPr>
            <w:tcW w:w="40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0.38</w:t>
            </w:r>
          </w:p>
        </w:tc>
      </w:tr>
      <w:tr>
        <w:trPr>
          <w:trHeight w:val="251"/>
        </w:trPr>
        <w:tc>
          <w:tcPr>
            <w:tcW w:w="4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Diluted earnings per common share</w:t>
            </w:r>
          </w:p>
        </w:tc>
        <w:tc>
          <w:tcPr>
            <w:tcW w:w="30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32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0.17</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0.18</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30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0.32</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0.36</w:t>
            </w:r>
          </w:p>
        </w:tc>
      </w:tr>
      <w:tr>
        <w:trPr>
          <w:trHeight w:val="20"/>
        </w:trPr>
        <w:tc>
          <w:tcPr>
            <w:tcW w:w="46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r>
        <w:trPr>
          <w:trHeight w:val="284"/>
        </w:trPr>
        <w:tc>
          <w:tcPr>
            <w:tcW w:w="46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250"/>
        </w:trPr>
        <w:tc>
          <w:tcPr>
            <w:tcW w:w="4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Basic weighted average shares outstanding</w:t>
            </w:r>
          </w:p>
        </w:tc>
        <w:tc>
          <w:tcPr>
            <w:tcW w:w="3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9,198,730</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9,027,764</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9,182,875</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9,090,903</w:t>
            </w:r>
          </w:p>
        </w:tc>
      </w:tr>
      <w:tr>
        <w:trPr>
          <w:trHeight w:val="243"/>
        </w:trPr>
        <w:tc>
          <w:tcPr>
            <w:tcW w:w="4620" w:type="dxa"/>
            <w:vAlign w:val="bottom"/>
          </w:tcPr>
          <w:p>
            <w:pPr>
              <w:ind w:left="40"/>
              <w:spacing w:after="0"/>
              <w:rPr>
                <w:sz w:val="20"/>
                <w:szCs w:val="20"/>
                <w:color w:val="auto"/>
              </w:rPr>
            </w:pPr>
            <w:r>
              <w:rPr>
                <w:rFonts w:ascii="Arial" w:cs="Arial" w:eastAsia="Arial" w:hAnsi="Arial"/>
                <w:sz w:val="18"/>
                <w:szCs w:val="18"/>
                <w:color w:val="auto"/>
              </w:rPr>
              <w:t>Diluted weighted average shares outstanding</w:t>
            </w:r>
          </w:p>
        </w:tc>
        <w:tc>
          <w:tcPr>
            <w:tcW w:w="300" w:type="dxa"/>
            <w:vAlign w:val="bottom"/>
          </w:tcPr>
          <w:p>
            <w:pPr>
              <w:spacing w:after="0"/>
              <w:rPr>
                <w:sz w:val="21"/>
                <w:szCs w:val="21"/>
                <w:color w:val="auto"/>
              </w:rPr>
            </w:pPr>
          </w:p>
        </w:tc>
        <w:tc>
          <w:tcPr>
            <w:tcW w:w="1320" w:type="dxa"/>
            <w:vAlign w:val="bottom"/>
          </w:tcPr>
          <w:p>
            <w:pPr>
              <w:jc w:val="right"/>
              <w:ind w:right="31"/>
              <w:spacing w:after="0"/>
              <w:rPr>
                <w:sz w:val="20"/>
                <w:szCs w:val="20"/>
                <w:color w:val="auto"/>
              </w:rPr>
            </w:pPr>
            <w:r>
              <w:rPr>
                <w:rFonts w:ascii="Arial" w:cs="Arial" w:eastAsia="Arial" w:hAnsi="Arial"/>
                <w:sz w:val="18"/>
                <w:szCs w:val="18"/>
                <w:color w:val="auto"/>
              </w:rPr>
              <w:t>9,607,644</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9,406,941</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300" w:type="dxa"/>
            <w:vAlign w:val="bottom"/>
          </w:tcPr>
          <w:p>
            <w:pPr>
              <w:jc w:val="right"/>
              <w:ind w:right="31"/>
              <w:spacing w:after="0"/>
              <w:rPr>
                <w:sz w:val="20"/>
                <w:szCs w:val="20"/>
                <w:color w:val="auto"/>
              </w:rPr>
            </w:pPr>
            <w:r>
              <w:rPr>
                <w:rFonts w:ascii="Arial" w:cs="Arial" w:eastAsia="Arial" w:hAnsi="Arial"/>
                <w:sz w:val="18"/>
                <w:szCs w:val="18"/>
                <w:color w:val="auto"/>
              </w:rPr>
              <w:t>9,615,878</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9,485,808</w:t>
            </w:r>
          </w:p>
        </w:tc>
      </w:tr>
      <w:tr>
        <w:trPr>
          <w:trHeight w:val="27"/>
        </w:trPr>
        <w:tc>
          <w:tcPr>
            <w:tcW w:w="46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324"/>
        </w:trPr>
        <w:tc>
          <w:tcPr>
            <w:tcW w:w="46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3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12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3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1220" w:type="dxa"/>
            <w:vAlign w:val="bottom"/>
            <w:shd w:val="clear" w:color="auto" w:fill="CCEEFF"/>
          </w:tcPr>
          <w:p>
            <w:pPr>
              <w:spacing w:after="0"/>
              <w:rPr>
                <w:sz w:val="24"/>
                <w:szCs w:val="24"/>
                <w:color w:val="auto"/>
              </w:rPr>
            </w:pPr>
          </w:p>
        </w:tc>
      </w:tr>
      <w:tr>
        <w:trPr>
          <w:trHeight w:val="243"/>
        </w:trPr>
        <w:tc>
          <w:tcPr>
            <w:tcW w:w="4620" w:type="dxa"/>
            <w:vAlign w:val="bottom"/>
          </w:tcPr>
          <w:p>
            <w:pPr>
              <w:ind w:left="40"/>
              <w:spacing w:after="0"/>
              <w:rPr>
                <w:sz w:val="20"/>
                <w:szCs w:val="20"/>
                <w:color w:val="auto"/>
              </w:rPr>
            </w:pPr>
            <w:r>
              <w:rPr>
                <w:rFonts w:ascii="Arial" w:cs="Arial" w:eastAsia="Arial" w:hAnsi="Arial"/>
                <w:sz w:val="18"/>
                <w:szCs w:val="18"/>
                <w:color w:val="auto"/>
              </w:rPr>
              <w:t>Comprehensive income:</w:t>
            </w:r>
          </w:p>
        </w:tc>
        <w:tc>
          <w:tcPr>
            <w:tcW w:w="30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20" w:type="dxa"/>
            <w:vAlign w:val="bottom"/>
          </w:tcPr>
          <w:p>
            <w:pPr>
              <w:spacing w:after="0"/>
              <w:rPr>
                <w:sz w:val="21"/>
                <w:szCs w:val="21"/>
                <w:color w:val="auto"/>
              </w:rPr>
            </w:pPr>
          </w:p>
        </w:tc>
      </w:tr>
      <w:tr>
        <w:trPr>
          <w:trHeight w:val="27"/>
        </w:trPr>
        <w:tc>
          <w:tcPr>
            <w:tcW w:w="46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4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1,646</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1,663</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3,070</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3,438</w:t>
            </w:r>
          </w:p>
        </w:tc>
      </w:tr>
      <w:tr>
        <w:trPr>
          <w:trHeight w:val="243"/>
        </w:trPr>
        <w:tc>
          <w:tcPr>
            <w:tcW w:w="4620" w:type="dxa"/>
            <w:vAlign w:val="bottom"/>
          </w:tcPr>
          <w:p>
            <w:pPr>
              <w:ind w:left="40"/>
              <w:spacing w:after="0"/>
              <w:rPr>
                <w:sz w:val="20"/>
                <w:szCs w:val="20"/>
                <w:color w:val="auto"/>
              </w:rPr>
            </w:pPr>
            <w:r>
              <w:rPr>
                <w:rFonts w:ascii="Arial" w:cs="Arial" w:eastAsia="Arial" w:hAnsi="Arial"/>
                <w:sz w:val="18"/>
                <w:szCs w:val="18"/>
                <w:color w:val="auto"/>
              </w:rPr>
              <w:t>Other comprehensive income:</w:t>
            </w:r>
          </w:p>
        </w:tc>
        <w:tc>
          <w:tcPr>
            <w:tcW w:w="30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20" w:type="dxa"/>
            <w:vAlign w:val="bottom"/>
          </w:tcPr>
          <w:p>
            <w:pPr>
              <w:spacing w:after="0"/>
              <w:rPr>
                <w:sz w:val="21"/>
                <w:szCs w:val="21"/>
                <w:color w:val="auto"/>
              </w:rPr>
            </w:pPr>
          </w:p>
        </w:tc>
      </w:tr>
      <w:tr>
        <w:trPr>
          <w:trHeight w:val="27"/>
        </w:trPr>
        <w:tc>
          <w:tcPr>
            <w:tcW w:w="46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29"/>
        </w:trPr>
        <w:tc>
          <w:tcPr>
            <w:tcW w:w="4620" w:type="dxa"/>
            <w:vAlign w:val="bottom"/>
            <w:shd w:val="clear" w:color="auto" w:fill="CCEEFF"/>
          </w:tcPr>
          <w:p>
            <w:pPr>
              <w:ind w:left="180"/>
              <w:spacing w:after="0"/>
              <w:rPr>
                <w:sz w:val="20"/>
                <w:szCs w:val="20"/>
                <w:color w:val="auto"/>
              </w:rPr>
            </w:pPr>
            <w:r>
              <w:rPr>
                <w:rFonts w:ascii="Arial" w:cs="Arial" w:eastAsia="Arial" w:hAnsi="Arial"/>
                <w:sz w:val="18"/>
                <w:szCs w:val="18"/>
                <w:color w:val="auto"/>
                <w:w w:val="92"/>
              </w:rPr>
              <w:t>Unrealized gain (loss) on available-for-sale securities, net of</w:t>
            </w:r>
          </w:p>
        </w:tc>
        <w:tc>
          <w:tcPr>
            <w:tcW w:w="30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r>
      <w:tr>
        <w:trPr>
          <w:trHeight w:val="257"/>
        </w:trPr>
        <w:tc>
          <w:tcPr>
            <w:tcW w:w="46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tax</w:t>
            </w:r>
          </w:p>
        </w:tc>
        <w:tc>
          <w:tcPr>
            <w:tcW w:w="30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(78)</w:t>
            </w: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55</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60</w:t>
            </w: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w:t>
            </w:r>
          </w:p>
        </w:tc>
      </w:tr>
      <w:tr>
        <w:trPr>
          <w:trHeight w:val="257"/>
        </w:trPr>
        <w:tc>
          <w:tcPr>
            <w:tcW w:w="4620" w:type="dxa"/>
            <w:vAlign w:val="bottom"/>
          </w:tcPr>
          <w:p>
            <w:pPr>
              <w:ind w:left="40"/>
              <w:spacing w:after="0"/>
              <w:rPr>
                <w:sz w:val="20"/>
                <w:szCs w:val="20"/>
                <w:color w:val="auto"/>
              </w:rPr>
            </w:pPr>
            <w:r>
              <w:rPr>
                <w:rFonts w:ascii="Arial" w:cs="Arial" w:eastAsia="Arial" w:hAnsi="Arial"/>
                <w:sz w:val="18"/>
                <w:szCs w:val="18"/>
                <w:color w:val="auto"/>
              </w:rPr>
              <w:t>Comprehensive income</w:t>
            </w: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32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color w:val="auto"/>
              </w:rPr>
              <w:t>1,568</w:t>
            </w:r>
          </w:p>
        </w:tc>
        <w:tc>
          <w:tcPr>
            <w:tcW w:w="100" w:type="dxa"/>
            <w:vAlign w:val="bottom"/>
          </w:tcPr>
          <w:p>
            <w:pPr>
              <w:spacing w:after="0"/>
              <w:rPr>
                <w:sz w:val="22"/>
                <w:szCs w:val="22"/>
                <w:color w:val="auto"/>
              </w:rPr>
            </w:pPr>
          </w:p>
        </w:tc>
        <w:tc>
          <w:tcPr>
            <w:tcW w:w="400" w:type="dxa"/>
            <w:vAlign w:val="bottom"/>
            <w:tcBorders>
              <w:top w:val="single" w:sz="8" w:color="auto"/>
              <w:bottom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1,718</w:t>
            </w:r>
          </w:p>
        </w:tc>
        <w:tc>
          <w:tcPr>
            <w:tcW w:w="120" w:type="dxa"/>
            <w:vAlign w:val="bottom"/>
          </w:tcPr>
          <w:p>
            <w:pPr>
              <w:spacing w:after="0"/>
              <w:rPr>
                <w:sz w:val="22"/>
                <w:szCs w:val="22"/>
                <w:color w:val="auto"/>
              </w:rPr>
            </w:pP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30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color w:val="auto"/>
              </w:rPr>
              <w:t>3,130</w:t>
            </w:r>
          </w:p>
        </w:tc>
        <w:tc>
          <w:tcPr>
            <w:tcW w:w="100" w:type="dxa"/>
            <w:vAlign w:val="bottom"/>
          </w:tcPr>
          <w:p>
            <w:pPr>
              <w:spacing w:after="0"/>
              <w:rPr>
                <w:sz w:val="22"/>
                <w:szCs w:val="22"/>
                <w:color w:val="auto"/>
              </w:rPr>
            </w:pPr>
          </w:p>
        </w:tc>
        <w:tc>
          <w:tcPr>
            <w:tcW w:w="400" w:type="dxa"/>
            <w:vAlign w:val="bottom"/>
            <w:tcBorders>
              <w:top w:val="single" w:sz="8" w:color="auto"/>
              <w:bottom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3,405</w:t>
            </w:r>
          </w:p>
        </w:tc>
      </w:tr>
      <w:tr>
        <w:trPr>
          <w:trHeight w:val="20"/>
        </w:trPr>
        <w:tc>
          <w:tcPr>
            <w:tcW w:w="46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accompanying notes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122" w:right="239" w:bottom="1440" w:gutter="0" w:footer="0" w:header="0"/>
        </w:sectPr>
      </w:pPr>
    </w:p>
    <w:bookmarkStart w:id="4" w:name="page5"/>
    <w:bookmarkEnd w:id="4"/>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36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CLEARONE,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CONDENSED 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w:t>
      </w:r>
    </w:p>
    <w:p>
      <w:pPr>
        <w:spacing w:after="0" w:line="387"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70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820" w:type="dxa"/>
            <w:vAlign w:val="bottom"/>
            <w:gridSpan w:val="4"/>
          </w:tcPr>
          <w:p>
            <w:pPr>
              <w:jc w:val="right"/>
              <w:ind w:right="910"/>
              <w:spacing w:after="0"/>
              <w:rPr>
                <w:sz w:val="20"/>
                <w:szCs w:val="20"/>
                <w:color w:val="auto"/>
              </w:rPr>
            </w:pPr>
            <w:r>
              <w:rPr>
                <w:rFonts w:ascii="Arial" w:cs="Arial" w:eastAsia="Arial" w:hAnsi="Arial"/>
                <w:sz w:val="16"/>
                <w:szCs w:val="16"/>
                <w:b w:val="1"/>
                <w:bCs w:val="1"/>
                <w:color w:val="auto"/>
              </w:rPr>
              <w:t>Nine months ended September 30,</w:t>
            </w:r>
          </w:p>
        </w:tc>
        <w:tc>
          <w:tcPr>
            <w:tcW w:w="0" w:type="dxa"/>
            <w:vAlign w:val="bottom"/>
          </w:tcPr>
          <w:p>
            <w:pPr>
              <w:spacing w:after="0"/>
              <w:rPr>
                <w:sz w:val="1"/>
                <w:szCs w:val="1"/>
                <w:color w:val="auto"/>
              </w:rPr>
            </w:pPr>
          </w:p>
        </w:tc>
      </w:tr>
      <w:tr>
        <w:trPr>
          <w:trHeight w:val="33"/>
        </w:trPr>
        <w:tc>
          <w:tcPr>
            <w:tcW w:w="7020" w:type="dxa"/>
            <w:vAlign w:val="bottom"/>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1"/>
        </w:trPr>
        <w:tc>
          <w:tcPr>
            <w:tcW w:w="70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560" w:type="dxa"/>
            <w:vAlign w:val="bottom"/>
          </w:tcPr>
          <w:p>
            <w:pPr>
              <w:jc w:val="right"/>
              <w:ind w:right="811"/>
              <w:spacing w:after="0"/>
              <w:rPr>
                <w:sz w:val="20"/>
                <w:szCs w:val="20"/>
                <w:color w:val="auto"/>
              </w:rPr>
            </w:pPr>
            <w:r>
              <w:rPr>
                <w:rFonts w:ascii="Arial" w:cs="Arial" w:eastAsia="Arial" w:hAnsi="Arial"/>
                <w:sz w:val="16"/>
                <w:szCs w:val="16"/>
                <w:b w:val="1"/>
                <w:bCs w:val="1"/>
                <w:color w:val="auto"/>
              </w:rPr>
              <w:t>2014</w:t>
            </w:r>
          </w:p>
        </w:tc>
        <w:tc>
          <w:tcPr>
            <w:tcW w:w="1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580" w:type="dxa"/>
            <w:vAlign w:val="bottom"/>
          </w:tcPr>
          <w:p>
            <w:pPr>
              <w:jc w:val="right"/>
              <w:ind w:right="830"/>
              <w:spacing w:after="0"/>
              <w:rPr>
                <w:sz w:val="20"/>
                <w:szCs w:val="20"/>
                <w:color w:val="auto"/>
              </w:rPr>
            </w:pPr>
            <w:r>
              <w:rPr>
                <w:rFonts w:ascii="Arial" w:cs="Arial" w:eastAsia="Arial" w:hAnsi="Arial"/>
                <w:sz w:val="16"/>
                <w:szCs w:val="16"/>
                <w:b w:val="1"/>
                <w:bCs w:val="1"/>
                <w:color w:val="auto"/>
              </w:rPr>
              <w:t>2013</w:t>
            </w:r>
          </w:p>
        </w:tc>
        <w:tc>
          <w:tcPr>
            <w:tcW w:w="0" w:type="dxa"/>
            <w:vAlign w:val="bottom"/>
          </w:tcPr>
          <w:p>
            <w:pPr>
              <w:spacing w:after="0"/>
              <w:rPr>
                <w:sz w:val="1"/>
                <w:szCs w:val="1"/>
                <w:color w:val="auto"/>
              </w:rPr>
            </w:pPr>
          </w:p>
        </w:tc>
      </w:tr>
      <w:tr>
        <w:trPr>
          <w:trHeight w:val="33"/>
        </w:trPr>
        <w:tc>
          <w:tcPr>
            <w:tcW w:w="7020" w:type="dxa"/>
            <w:vAlign w:val="bottom"/>
            <w:tcBorders>
              <w:bottom w:val="single" w:sz="8" w:color="CCEEFF"/>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7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flows from operating activities:</w:t>
            </w:r>
          </w:p>
        </w:tc>
        <w:tc>
          <w:tcPr>
            <w:tcW w:w="58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020" w:type="dxa"/>
            <w:vAlign w:val="bottom"/>
          </w:tcPr>
          <w:p>
            <w:pPr>
              <w:ind w:left="40"/>
              <w:spacing w:after="0"/>
              <w:rPr>
                <w:sz w:val="20"/>
                <w:szCs w:val="20"/>
                <w:color w:val="auto"/>
              </w:rPr>
            </w:pPr>
            <w:r>
              <w:rPr>
                <w:rFonts w:ascii="Arial" w:cs="Arial" w:eastAsia="Arial" w:hAnsi="Arial"/>
                <w:sz w:val="18"/>
                <w:szCs w:val="18"/>
                <w:color w:val="auto"/>
              </w:rPr>
              <w:t>Net income</w:t>
            </w:r>
          </w:p>
        </w:tc>
        <w:tc>
          <w:tcPr>
            <w:tcW w:w="580" w:type="dxa"/>
            <w:vAlign w:val="bottom"/>
          </w:tcPr>
          <w:p>
            <w:pPr>
              <w:jc w:val="right"/>
              <w:ind w:right="370"/>
              <w:spacing w:after="0"/>
              <w:rPr>
                <w:sz w:val="20"/>
                <w:szCs w:val="20"/>
                <w:color w:val="auto"/>
              </w:rPr>
            </w:pPr>
            <w:r>
              <w:rPr>
                <w:rFonts w:ascii="Arial" w:cs="Arial" w:eastAsia="Arial" w:hAnsi="Arial"/>
                <w:sz w:val="18"/>
                <w:szCs w:val="18"/>
                <w:color w:val="auto"/>
                <w:w w:val="99"/>
              </w:rPr>
              <w:t>$</w:t>
            </w:r>
          </w:p>
        </w:tc>
        <w:tc>
          <w:tcPr>
            <w:tcW w:w="1560" w:type="dxa"/>
            <w:vAlign w:val="bottom"/>
          </w:tcPr>
          <w:p>
            <w:pPr>
              <w:jc w:val="right"/>
              <w:ind w:right="11"/>
              <w:spacing w:after="0"/>
              <w:rPr>
                <w:sz w:val="20"/>
                <w:szCs w:val="20"/>
                <w:color w:val="auto"/>
              </w:rPr>
            </w:pPr>
            <w:r>
              <w:rPr>
                <w:rFonts w:ascii="Arial" w:cs="Arial" w:eastAsia="Arial" w:hAnsi="Arial"/>
                <w:sz w:val="18"/>
                <w:szCs w:val="18"/>
                <w:color w:val="auto"/>
              </w:rPr>
              <w:t>3,070</w:t>
            </w:r>
          </w:p>
        </w:tc>
        <w:tc>
          <w:tcPr>
            <w:tcW w:w="120" w:type="dxa"/>
            <w:vAlign w:val="bottom"/>
          </w:tcPr>
          <w:p>
            <w:pPr>
              <w:spacing w:after="0"/>
              <w:rPr>
                <w:sz w:val="21"/>
                <w:szCs w:val="21"/>
                <w:color w:val="auto"/>
              </w:rPr>
            </w:pPr>
          </w:p>
        </w:tc>
        <w:tc>
          <w:tcPr>
            <w:tcW w:w="560" w:type="dxa"/>
            <w:vAlign w:val="bottom"/>
          </w:tcPr>
          <w:p>
            <w:pPr>
              <w:jc w:val="right"/>
              <w:ind w:right="370"/>
              <w:spacing w:after="0"/>
              <w:rPr>
                <w:sz w:val="20"/>
                <w:szCs w:val="20"/>
                <w:color w:val="auto"/>
              </w:rPr>
            </w:pPr>
            <w:r>
              <w:rPr>
                <w:rFonts w:ascii="Arial" w:cs="Arial" w:eastAsia="Arial" w:hAnsi="Arial"/>
                <w:sz w:val="18"/>
                <w:szCs w:val="18"/>
                <w:color w:val="auto"/>
                <w:w w:val="79"/>
              </w:rPr>
              <w:t>$</w:t>
            </w:r>
          </w:p>
        </w:tc>
        <w:tc>
          <w:tcPr>
            <w:tcW w:w="1580" w:type="dxa"/>
            <w:vAlign w:val="bottom"/>
          </w:tcPr>
          <w:p>
            <w:pPr>
              <w:jc w:val="right"/>
              <w:ind w:right="10"/>
              <w:spacing w:after="0"/>
              <w:rPr>
                <w:sz w:val="20"/>
                <w:szCs w:val="20"/>
                <w:color w:val="auto"/>
              </w:rPr>
            </w:pPr>
            <w:r>
              <w:rPr>
                <w:rFonts w:ascii="Arial" w:cs="Arial" w:eastAsia="Arial" w:hAnsi="Arial"/>
                <w:sz w:val="18"/>
                <w:szCs w:val="18"/>
                <w:color w:val="auto"/>
              </w:rPr>
              <w:t>3,438</w:t>
            </w:r>
          </w:p>
        </w:tc>
        <w:tc>
          <w:tcPr>
            <w:tcW w:w="0" w:type="dxa"/>
            <w:vAlign w:val="bottom"/>
          </w:tcPr>
          <w:p>
            <w:pPr>
              <w:spacing w:after="0"/>
              <w:rPr>
                <w:sz w:val="1"/>
                <w:szCs w:val="1"/>
                <w:color w:val="auto"/>
              </w:rPr>
            </w:pPr>
          </w:p>
        </w:tc>
      </w:tr>
      <w:tr>
        <w:trPr>
          <w:trHeight w:val="27"/>
        </w:trPr>
        <w:tc>
          <w:tcPr>
            <w:tcW w:w="70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5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Adjustments to reconcile net income to net cash provided by (used in) operations:</w:t>
            </w:r>
          </w:p>
        </w:tc>
        <w:tc>
          <w:tcPr>
            <w:tcW w:w="58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020" w:type="dxa"/>
            <w:vAlign w:val="bottom"/>
          </w:tcPr>
          <w:p>
            <w:pPr>
              <w:ind w:left="220"/>
              <w:spacing w:after="0"/>
              <w:rPr>
                <w:sz w:val="20"/>
                <w:szCs w:val="20"/>
                <w:color w:val="auto"/>
              </w:rPr>
            </w:pPr>
            <w:r>
              <w:rPr>
                <w:rFonts w:ascii="Arial" w:cs="Arial" w:eastAsia="Arial" w:hAnsi="Arial"/>
                <w:sz w:val="18"/>
                <w:szCs w:val="18"/>
                <w:color w:val="auto"/>
              </w:rPr>
              <w:t>Depreciation and amortization expense</w:t>
            </w:r>
          </w:p>
        </w:tc>
        <w:tc>
          <w:tcPr>
            <w:tcW w:w="580" w:type="dxa"/>
            <w:vAlign w:val="bottom"/>
          </w:tcPr>
          <w:p>
            <w:pPr>
              <w:spacing w:after="0"/>
              <w:rPr>
                <w:sz w:val="21"/>
                <w:szCs w:val="21"/>
                <w:color w:val="auto"/>
              </w:rPr>
            </w:pPr>
          </w:p>
        </w:tc>
        <w:tc>
          <w:tcPr>
            <w:tcW w:w="1560" w:type="dxa"/>
            <w:vAlign w:val="bottom"/>
          </w:tcPr>
          <w:p>
            <w:pPr>
              <w:jc w:val="right"/>
              <w:ind w:right="11"/>
              <w:spacing w:after="0"/>
              <w:rPr>
                <w:sz w:val="20"/>
                <w:szCs w:val="20"/>
                <w:color w:val="auto"/>
              </w:rPr>
            </w:pPr>
            <w:r>
              <w:rPr>
                <w:rFonts w:ascii="Arial" w:cs="Arial" w:eastAsia="Arial" w:hAnsi="Arial"/>
                <w:sz w:val="18"/>
                <w:szCs w:val="18"/>
                <w:color w:val="auto"/>
              </w:rPr>
              <w:t>1,255</w:t>
            </w:r>
          </w:p>
        </w:tc>
        <w:tc>
          <w:tcPr>
            <w:tcW w:w="1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580" w:type="dxa"/>
            <w:vAlign w:val="bottom"/>
          </w:tcPr>
          <w:p>
            <w:pPr>
              <w:jc w:val="right"/>
              <w:ind w:right="10"/>
              <w:spacing w:after="0"/>
              <w:rPr>
                <w:sz w:val="20"/>
                <w:szCs w:val="20"/>
                <w:color w:val="auto"/>
              </w:rPr>
            </w:pPr>
            <w:r>
              <w:rPr>
                <w:rFonts w:ascii="Arial" w:cs="Arial" w:eastAsia="Arial" w:hAnsi="Arial"/>
                <w:sz w:val="18"/>
                <w:szCs w:val="18"/>
                <w:color w:val="auto"/>
              </w:rPr>
              <w:t>979</w:t>
            </w:r>
          </w:p>
        </w:tc>
        <w:tc>
          <w:tcPr>
            <w:tcW w:w="0" w:type="dxa"/>
            <w:vAlign w:val="bottom"/>
          </w:tcPr>
          <w:p>
            <w:pPr>
              <w:spacing w:after="0"/>
              <w:rPr>
                <w:sz w:val="1"/>
                <w:szCs w:val="1"/>
                <w:color w:val="auto"/>
              </w:rPr>
            </w:pPr>
          </w:p>
        </w:tc>
      </w:tr>
      <w:tr>
        <w:trPr>
          <w:trHeight w:val="27"/>
        </w:trPr>
        <w:tc>
          <w:tcPr>
            <w:tcW w:w="70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5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02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Amortization of deferred rent</w:t>
            </w:r>
          </w:p>
        </w:tc>
        <w:tc>
          <w:tcPr>
            <w:tcW w:w="58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(69)</w:t>
            </w:r>
          </w:p>
        </w:tc>
        <w:tc>
          <w:tcPr>
            <w:tcW w:w="12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(77)</w:t>
            </w:r>
          </w:p>
        </w:tc>
        <w:tc>
          <w:tcPr>
            <w:tcW w:w="0" w:type="dxa"/>
            <w:vAlign w:val="bottom"/>
          </w:tcPr>
          <w:p>
            <w:pPr>
              <w:spacing w:after="0"/>
              <w:rPr>
                <w:sz w:val="1"/>
                <w:szCs w:val="1"/>
                <w:color w:val="auto"/>
              </w:rPr>
            </w:pPr>
          </w:p>
        </w:tc>
      </w:tr>
      <w:tr>
        <w:trPr>
          <w:trHeight w:val="243"/>
        </w:trPr>
        <w:tc>
          <w:tcPr>
            <w:tcW w:w="7020" w:type="dxa"/>
            <w:vAlign w:val="bottom"/>
          </w:tcPr>
          <w:p>
            <w:pPr>
              <w:ind w:left="220"/>
              <w:spacing w:after="0"/>
              <w:rPr>
                <w:sz w:val="20"/>
                <w:szCs w:val="20"/>
                <w:color w:val="auto"/>
              </w:rPr>
            </w:pPr>
            <w:r>
              <w:rPr>
                <w:rFonts w:ascii="Arial" w:cs="Arial" w:eastAsia="Arial" w:hAnsi="Arial"/>
                <w:sz w:val="18"/>
                <w:szCs w:val="18"/>
                <w:color w:val="auto"/>
              </w:rPr>
              <w:t>Stock-based compensation expense</w:t>
            </w:r>
          </w:p>
        </w:tc>
        <w:tc>
          <w:tcPr>
            <w:tcW w:w="580" w:type="dxa"/>
            <w:vAlign w:val="bottom"/>
          </w:tcPr>
          <w:p>
            <w:pPr>
              <w:spacing w:after="0"/>
              <w:rPr>
                <w:sz w:val="21"/>
                <w:szCs w:val="21"/>
                <w:color w:val="auto"/>
              </w:rPr>
            </w:pPr>
          </w:p>
        </w:tc>
        <w:tc>
          <w:tcPr>
            <w:tcW w:w="1560" w:type="dxa"/>
            <w:vAlign w:val="bottom"/>
          </w:tcPr>
          <w:p>
            <w:pPr>
              <w:jc w:val="right"/>
              <w:ind w:right="11"/>
              <w:spacing w:after="0"/>
              <w:rPr>
                <w:sz w:val="20"/>
                <w:szCs w:val="20"/>
                <w:color w:val="auto"/>
              </w:rPr>
            </w:pPr>
            <w:r>
              <w:rPr>
                <w:rFonts w:ascii="Arial" w:cs="Arial" w:eastAsia="Arial" w:hAnsi="Arial"/>
                <w:sz w:val="18"/>
                <w:szCs w:val="18"/>
                <w:color w:val="auto"/>
              </w:rPr>
              <w:t>266</w:t>
            </w:r>
          </w:p>
        </w:tc>
        <w:tc>
          <w:tcPr>
            <w:tcW w:w="1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580" w:type="dxa"/>
            <w:vAlign w:val="bottom"/>
          </w:tcPr>
          <w:p>
            <w:pPr>
              <w:jc w:val="right"/>
              <w:ind w:right="10"/>
              <w:spacing w:after="0"/>
              <w:rPr>
                <w:sz w:val="20"/>
                <w:szCs w:val="20"/>
                <w:color w:val="auto"/>
              </w:rPr>
            </w:pPr>
            <w:r>
              <w:rPr>
                <w:rFonts w:ascii="Arial" w:cs="Arial" w:eastAsia="Arial" w:hAnsi="Arial"/>
                <w:sz w:val="18"/>
                <w:szCs w:val="18"/>
                <w:color w:val="auto"/>
              </w:rPr>
              <w:t>205</w:t>
            </w:r>
          </w:p>
        </w:tc>
        <w:tc>
          <w:tcPr>
            <w:tcW w:w="0" w:type="dxa"/>
            <w:vAlign w:val="bottom"/>
          </w:tcPr>
          <w:p>
            <w:pPr>
              <w:spacing w:after="0"/>
              <w:rPr>
                <w:sz w:val="1"/>
                <w:szCs w:val="1"/>
                <w:color w:val="auto"/>
              </w:rPr>
            </w:pPr>
          </w:p>
        </w:tc>
      </w:tr>
      <w:tr>
        <w:trPr>
          <w:trHeight w:val="27"/>
        </w:trPr>
        <w:tc>
          <w:tcPr>
            <w:tcW w:w="70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5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02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Provision for doubtful accounts, net</w:t>
            </w:r>
          </w:p>
        </w:tc>
        <w:tc>
          <w:tcPr>
            <w:tcW w:w="58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40</w:t>
            </w:r>
          </w:p>
        </w:tc>
        <w:tc>
          <w:tcPr>
            <w:tcW w:w="12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61</w:t>
            </w:r>
          </w:p>
        </w:tc>
        <w:tc>
          <w:tcPr>
            <w:tcW w:w="0" w:type="dxa"/>
            <w:vAlign w:val="bottom"/>
          </w:tcPr>
          <w:p>
            <w:pPr>
              <w:spacing w:after="0"/>
              <w:rPr>
                <w:sz w:val="1"/>
                <w:szCs w:val="1"/>
                <w:color w:val="auto"/>
              </w:rPr>
            </w:pPr>
          </w:p>
        </w:tc>
      </w:tr>
      <w:tr>
        <w:trPr>
          <w:trHeight w:val="243"/>
        </w:trPr>
        <w:tc>
          <w:tcPr>
            <w:tcW w:w="7020" w:type="dxa"/>
            <w:vAlign w:val="bottom"/>
          </w:tcPr>
          <w:p>
            <w:pPr>
              <w:ind w:left="220"/>
              <w:spacing w:after="0"/>
              <w:rPr>
                <w:sz w:val="20"/>
                <w:szCs w:val="20"/>
                <w:color w:val="auto"/>
              </w:rPr>
            </w:pPr>
            <w:r>
              <w:rPr>
                <w:rFonts w:ascii="Arial" w:cs="Arial" w:eastAsia="Arial" w:hAnsi="Arial"/>
                <w:sz w:val="18"/>
                <w:szCs w:val="18"/>
                <w:color w:val="auto"/>
              </w:rPr>
              <w:t>Inventory valuation reserve adjustments</w:t>
            </w:r>
          </w:p>
        </w:tc>
        <w:tc>
          <w:tcPr>
            <w:tcW w:w="580" w:type="dxa"/>
            <w:vAlign w:val="bottom"/>
          </w:tcPr>
          <w:p>
            <w:pPr>
              <w:spacing w:after="0"/>
              <w:rPr>
                <w:sz w:val="21"/>
                <w:szCs w:val="21"/>
                <w:color w:val="auto"/>
              </w:rPr>
            </w:pPr>
          </w:p>
        </w:tc>
        <w:tc>
          <w:tcPr>
            <w:tcW w:w="1560" w:type="dxa"/>
            <w:vAlign w:val="bottom"/>
          </w:tcPr>
          <w:p>
            <w:pPr>
              <w:jc w:val="right"/>
              <w:ind w:right="11"/>
              <w:spacing w:after="0"/>
              <w:rPr>
                <w:sz w:val="20"/>
                <w:szCs w:val="20"/>
                <w:color w:val="auto"/>
              </w:rPr>
            </w:pPr>
            <w:r>
              <w:rPr>
                <w:rFonts w:ascii="Arial" w:cs="Arial" w:eastAsia="Arial" w:hAnsi="Arial"/>
                <w:sz w:val="18"/>
                <w:szCs w:val="18"/>
                <w:color w:val="auto"/>
              </w:rPr>
              <w:t>537</w:t>
            </w:r>
          </w:p>
        </w:tc>
        <w:tc>
          <w:tcPr>
            <w:tcW w:w="1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580" w:type="dxa"/>
            <w:vAlign w:val="bottom"/>
          </w:tcPr>
          <w:p>
            <w:pPr>
              <w:jc w:val="right"/>
              <w:ind w:right="10"/>
              <w:spacing w:after="0"/>
              <w:rPr>
                <w:sz w:val="20"/>
                <w:szCs w:val="20"/>
                <w:color w:val="auto"/>
              </w:rPr>
            </w:pPr>
            <w:r>
              <w:rPr>
                <w:rFonts w:ascii="Arial" w:cs="Arial" w:eastAsia="Arial" w:hAnsi="Arial"/>
                <w:sz w:val="18"/>
                <w:szCs w:val="18"/>
                <w:color w:val="auto"/>
              </w:rPr>
              <w:t>524</w:t>
            </w:r>
          </w:p>
        </w:tc>
        <w:tc>
          <w:tcPr>
            <w:tcW w:w="0" w:type="dxa"/>
            <w:vAlign w:val="bottom"/>
          </w:tcPr>
          <w:p>
            <w:pPr>
              <w:spacing w:after="0"/>
              <w:rPr>
                <w:sz w:val="1"/>
                <w:szCs w:val="1"/>
                <w:color w:val="auto"/>
              </w:rPr>
            </w:pPr>
          </w:p>
        </w:tc>
      </w:tr>
      <w:tr>
        <w:trPr>
          <w:trHeight w:val="27"/>
        </w:trPr>
        <w:tc>
          <w:tcPr>
            <w:tcW w:w="70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5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02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Tax benefit from the exercise of stock options</w:t>
            </w:r>
          </w:p>
        </w:tc>
        <w:tc>
          <w:tcPr>
            <w:tcW w:w="58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(92)</w:t>
            </w:r>
          </w:p>
        </w:tc>
        <w:tc>
          <w:tcPr>
            <w:tcW w:w="12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(76)</w:t>
            </w:r>
          </w:p>
        </w:tc>
        <w:tc>
          <w:tcPr>
            <w:tcW w:w="0" w:type="dxa"/>
            <w:vAlign w:val="bottom"/>
          </w:tcPr>
          <w:p>
            <w:pPr>
              <w:spacing w:after="0"/>
              <w:rPr>
                <w:sz w:val="1"/>
                <w:szCs w:val="1"/>
                <w:color w:val="auto"/>
              </w:rPr>
            </w:pPr>
          </w:p>
        </w:tc>
      </w:tr>
      <w:tr>
        <w:trPr>
          <w:trHeight w:val="243"/>
        </w:trPr>
        <w:tc>
          <w:tcPr>
            <w:tcW w:w="7020" w:type="dxa"/>
            <w:vAlign w:val="bottom"/>
          </w:tcPr>
          <w:p>
            <w:pPr>
              <w:ind w:left="40"/>
              <w:spacing w:after="0"/>
              <w:rPr>
                <w:sz w:val="20"/>
                <w:szCs w:val="20"/>
                <w:color w:val="auto"/>
              </w:rPr>
            </w:pPr>
            <w:r>
              <w:rPr>
                <w:rFonts w:ascii="Arial" w:cs="Arial" w:eastAsia="Arial" w:hAnsi="Arial"/>
                <w:sz w:val="18"/>
                <w:szCs w:val="18"/>
                <w:color w:val="auto"/>
              </w:rPr>
              <w:t>Changes in operating assets and liabilities:</w:t>
            </w:r>
          </w:p>
        </w:tc>
        <w:tc>
          <w:tcPr>
            <w:tcW w:w="580" w:type="dxa"/>
            <w:vAlign w:val="bottom"/>
          </w:tcPr>
          <w:p>
            <w:pPr>
              <w:spacing w:after="0"/>
              <w:rPr>
                <w:sz w:val="21"/>
                <w:szCs w:val="21"/>
                <w:color w:val="auto"/>
              </w:rPr>
            </w:pPr>
          </w:p>
        </w:tc>
        <w:tc>
          <w:tcPr>
            <w:tcW w:w="15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70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5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02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Receivables</w:t>
            </w:r>
          </w:p>
        </w:tc>
        <w:tc>
          <w:tcPr>
            <w:tcW w:w="58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(65)</w:t>
            </w:r>
          </w:p>
        </w:tc>
        <w:tc>
          <w:tcPr>
            <w:tcW w:w="12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(115)</w:t>
            </w:r>
          </w:p>
        </w:tc>
        <w:tc>
          <w:tcPr>
            <w:tcW w:w="0" w:type="dxa"/>
            <w:vAlign w:val="bottom"/>
          </w:tcPr>
          <w:p>
            <w:pPr>
              <w:spacing w:after="0"/>
              <w:rPr>
                <w:sz w:val="1"/>
                <w:szCs w:val="1"/>
                <w:color w:val="auto"/>
              </w:rPr>
            </w:pPr>
          </w:p>
        </w:tc>
      </w:tr>
      <w:tr>
        <w:trPr>
          <w:trHeight w:val="243"/>
        </w:trPr>
        <w:tc>
          <w:tcPr>
            <w:tcW w:w="7020" w:type="dxa"/>
            <w:vAlign w:val="bottom"/>
          </w:tcPr>
          <w:p>
            <w:pPr>
              <w:ind w:left="220"/>
              <w:spacing w:after="0"/>
              <w:rPr>
                <w:sz w:val="20"/>
                <w:szCs w:val="20"/>
                <w:color w:val="auto"/>
              </w:rPr>
            </w:pPr>
            <w:r>
              <w:rPr>
                <w:rFonts w:ascii="Arial" w:cs="Arial" w:eastAsia="Arial" w:hAnsi="Arial"/>
                <w:sz w:val="18"/>
                <w:szCs w:val="18"/>
                <w:color w:val="auto"/>
              </w:rPr>
              <w:t>Inventories</w:t>
            </w:r>
          </w:p>
        </w:tc>
        <w:tc>
          <w:tcPr>
            <w:tcW w:w="580" w:type="dxa"/>
            <w:vAlign w:val="bottom"/>
          </w:tcPr>
          <w:p>
            <w:pPr>
              <w:spacing w:after="0"/>
              <w:rPr>
                <w:sz w:val="21"/>
                <w:szCs w:val="21"/>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(1,136)</w:t>
            </w:r>
          </w:p>
        </w:tc>
        <w:tc>
          <w:tcPr>
            <w:tcW w:w="1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(1,258)</w:t>
            </w:r>
          </w:p>
        </w:tc>
        <w:tc>
          <w:tcPr>
            <w:tcW w:w="0" w:type="dxa"/>
            <w:vAlign w:val="bottom"/>
          </w:tcPr>
          <w:p>
            <w:pPr>
              <w:spacing w:after="0"/>
              <w:rPr>
                <w:sz w:val="1"/>
                <w:szCs w:val="1"/>
                <w:color w:val="auto"/>
              </w:rPr>
            </w:pPr>
          </w:p>
        </w:tc>
      </w:tr>
      <w:tr>
        <w:trPr>
          <w:trHeight w:val="27"/>
        </w:trPr>
        <w:tc>
          <w:tcPr>
            <w:tcW w:w="70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5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02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Deferred income taxes</w:t>
            </w:r>
          </w:p>
        </w:tc>
        <w:tc>
          <w:tcPr>
            <w:tcW w:w="58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(333)</w:t>
            </w:r>
          </w:p>
        </w:tc>
        <w:tc>
          <w:tcPr>
            <w:tcW w:w="12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7020" w:type="dxa"/>
            <w:vAlign w:val="bottom"/>
          </w:tcPr>
          <w:p>
            <w:pPr>
              <w:ind w:left="220"/>
              <w:spacing w:after="0"/>
              <w:rPr>
                <w:sz w:val="20"/>
                <w:szCs w:val="20"/>
                <w:color w:val="auto"/>
              </w:rPr>
            </w:pPr>
            <w:r>
              <w:rPr>
                <w:rFonts w:ascii="Arial" w:cs="Arial" w:eastAsia="Arial" w:hAnsi="Arial"/>
                <w:sz w:val="18"/>
                <w:szCs w:val="18"/>
                <w:color w:val="auto"/>
              </w:rPr>
              <w:t>Prepaid expenses and other assets</w:t>
            </w:r>
          </w:p>
        </w:tc>
        <w:tc>
          <w:tcPr>
            <w:tcW w:w="580" w:type="dxa"/>
            <w:vAlign w:val="bottom"/>
          </w:tcPr>
          <w:p>
            <w:pPr>
              <w:spacing w:after="0"/>
              <w:rPr>
                <w:sz w:val="21"/>
                <w:szCs w:val="21"/>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(396)</w:t>
            </w:r>
          </w:p>
        </w:tc>
        <w:tc>
          <w:tcPr>
            <w:tcW w:w="1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(262)</w:t>
            </w:r>
          </w:p>
        </w:tc>
        <w:tc>
          <w:tcPr>
            <w:tcW w:w="0" w:type="dxa"/>
            <w:vAlign w:val="bottom"/>
          </w:tcPr>
          <w:p>
            <w:pPr>
              <w:spacing w:after="0"/>
              <w:rPr>
                <w:sz w:val="1"/>
                <w:szCs w:val="1"/>
                <w:color w:val="auto"/>
              </w:rPr>
            </w:pPr>
          </w:p>
        </w:tc>
      </w:tr>
      <w:tr>
        <w:trPr>
          <w:trHeight w:val="27"/>
        </w:trPr>
        <w:tc>
          <w:tcPr>
            <w:tcW w:w="70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5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02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Accounts payable</w:t>
            </w:r>
          </w:p>
        </w:tc>
        <w:tc>
          <w:tcPr>
            <w:tcW w:w="58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(298)</w:t>
            </w:r>
          </w:p>
        </w:tc>
        <w:tc>
          <w:tcPr>
            <w:tcW w:w="12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1,180</w:t>
            </w:r>
          </w:p>
        </w:tc>
        <w:tc>
          <w:tcPr>
            <w:tcW w:w="0" w:type="dxa"/>
            <w:vAlign w:val="bottom"/>
          </w:tcPr>
          <w:p>
            <w:pPr>
              <w:spacing w:after="0"/>
              <w:rPr>
                <w:sz w:val="1"/>
                <w:szCs w:val="1"/>
                <w:color w:val="auto"/>
              </w:rPr>
            </w:pPr>
          </w:p>
        </w:tc>
      </w:tr>
      <w:tr>
        <w:trPr>
          <w:trHeight w:val="243"/>
        </w:trPr>
        <w:tc>
          <w:tcPr>
            <w:tcW w:w="7020" w:type="dxa"/>
            <w:vAlign w:val="bottom"/>
          </w:tcPr>
          <w:p>
            <w:pPr>
              <w:ind w:left="220"/>
              <w:spacing w:after="0"/>
              <w:rPr>
                <w:sz w:val="20"/>
                <w:szCs w:val="20"/>
                <w:color w:val="auto"/>
              </w:rPr>
            </w:pPr>
            <w:r>
              <w:rPr>
                <w:rFonts w:ascii="Arial" w:cs="Arial" w:eastAsia="Arial" w:hAnsi="Arial"/>
                <w:sz w:val="18"/>
                <w:szCs w:val="18"/>
                <w:color w:val="auto"/>
              </w:rPr>
              <w:t>Accrued liabilities</w:t>
            </w:r>
          </w:p>
        </w:tc>
        <w:tc>
          <w:tcPr>
            <w:tcW w:w="580" w:type="dxa"/>
            <w:vAlign w:val="bottom"/>
          </w:tcPr>
          <w:p>
            <w:pPr>
              <w:spacing w:after="0"/>
              <w:rPr>
                <w:sz w:val="21"/>
                <w:szCs w:val="21"/>
                <w:color w:val="auto"/>
              </w:rPr>
            </w:pPr>
          </w:p>
        </w:tc>
        <w:tc>
          <w:tcPr>
            <w:tcW w:w="1560" w:type="dxa"/>
            <w:vAlign w:val="bottom"/>
          </w:tcPr>
          <w:p>
            <w:pPr>
              <w:jc w:val="right"/>
              <w:ind w:right="11"/>
              <w:spacing w:after="0"/>
              <w:rPr>
                <w:sz w:val="20"/>
                <w:szCs w:val="20"/>
                <w:color w:val="auto"/>
              </w:rPr>
            </w:pPr>
            <w:r>
              <w:rPr>
                <w:rFonts w:ascii="Arial" w:cs="Arial" w:eastAsia="Arial" w:hAnsi="Arial"/>
                <w:sz w:val="18"/>
                <w:szCs w:val="18"/>
                <w:color w:val="auto"/>
              </w:rPr>
              <w:t>828</w:t>
            </w:r>
          </w:p>
        </w:tc>
        <w:tc>
          <w:tcPr>
            <w:tcW w:w="1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580" w:type="dxa"/>
            <w:vAlign w:val="bottom"/>
          </w:tcPr>
          <w:p>
            <w:pPr>
              <w:jc w:val="right"/>
              <w:ind w:right="10"/>
              <w:spacing w:after="0"/>
              <w:rPr>
                <w:sz w:val="20"/>
                <w:szCs w:val="20"/>
                <w:color w:val="auto"/>
              </w:rPr>
            </w:pPr>
            <w:r>
              <w:rPr>
                <w:rFonts w:ascii="Arial" w:cs="Arial" w:eastAsia="Arial" w:hAnsi="Arial"/>
                <w:sz w:val="18"/>
                <w:szCs w:val="18"/>
                <w:color w:val="auto"/>
              </w:rPr>
              <w:t>143</w:t>
            </w:r>
          </w:p>
        </w:tc>
        <w:tc>
          <w:tcPr>
            <w:tcW w:w="0" w:type="dxa"/>
            <w:vAlign w:val="bottom"/>
          </w:tcPr>
          <w:p>
            <w:pPr>
              <w:spacing w:after="0"/>
              <w:rPr>
                <w:sz w:val="1"/>
                <w:szCs w:val="1"/>
                <w:color w:val="auto"/>
              </w:rPr>
            </w:pPr>
          </w:p>
        </w:tc>
      </w:tr>
      <w:tr>
        <w:trPr>
          <w:trHeight w:val="27"/>
        </w:trPr>
        <w:tc>
          <w:tcPr>
            <w:tcW w:w="70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5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02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Income taxes payable</w:t>
            </w:r>
          </w:p>
        </w:tc>
        <w:tc>
          <w:tcPr>
            <w:tcW w:w="58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1,445</w:t>
            </w:r>
          </w:p>
        </w:tc>
        <w:tc>
          <w:tcPr>
            <w:tcW w:w="12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(14,782)</w:t>
            </w:r>
          </w:p>
        </w:tc>
        <w:tc>
          <w:tcPr>
            <w:tcW w:w="0" w:type="dxa"/>
            <w:vAlign w:val="bottom"/>
          </w:tcPr>
          <w:p>
            <w:pPr>
              <w:spacing w:after="0"/>
              <w:rPr>
                <w:sz w:val="1"/>
                <w:szCs w:val="1"/>
                <w:color w:val="auto"/>
              </w:rPr>
            </w:pPr>
          </w:p>
        </w:tc>
      </w:tr>
      <w:tr>
        <w:trPr>
          <w:trHeight w:val="243"/>
        </w:trPr>
        <w:tc>
          <w:tcPr>
            <w:tcW w:w="7020" w:type="dxa"/>
            <w:vAlign w:val="bottom"/>
          </w:tcPr>
          <w:p>
            <w:pPr>
              <w:ind w:left="220"/>
              <w:spacing w:after="0"/>
              <w:rPr>
                <w:sz w:val="20"/>
                <w:szCs w:val="20"/>
                <w:color w:val="auto"/>
              </w:rPr>
            </w:pPr>
            <w:r>
              <w:rPr>
                <w:rFonts w:ascii="Arial" w:cs="Arial" w:eastAsia="Arial" w:hAnsi="Arial"/>
                <w:sz w:val="18"/>
                <w:szCs w:val="18"/>
                <w:color w:val="auto"/>
              </w:rPr>
              <w:t>Deferred product revenue</w:t>
            </w:r>
          </w:p>
        </w:tc>
        <w:tc>
          <w:tcPr>
            <w:tcW w:w="580" w:type="dxa"/>
            <w:vAlign w:val="bottom"/>
          </w:tcPr>
          <w:p>
            <w:pPr>
              <w:spacing w:after="0"/>
              <w:rPr>
                <w:sz w:val="21"/>
                <w:szCs w:val="21"/>
                <w:color w:val="auto"/>
              </w:rPr>
            </w:pPr>
          </w:p>
        </w:tc>
        <w:tc>
          <w:tcPr>
            <w:tcW w:w="1560" w:type="dxa"/>
            <w:vAlign w:val="bottom"/>
          </w:tcPr>
          <w:p>
            <w:pPr>
              <w:jc w:val="right"/>
              <w:ind w:right="11"/>
              <w:spacing w:after="0"/>
              <w:rPr>
                <w:sz w:val="20"/>
                <w:szCs w:val="20"/>
                <w:color w:val="auto"/>
              </w:rPr>
            </w:pPr>
            <w:r>
              <w:rPr>
                <w:rFonts w:ascii="Arial" w:cs="Arial" w:eastAsia="Arial" w:hAnsi="Arial"/>
                <w:sz w:val="18"/>
                <w:szCs w:val="18"/>
                <w:color w:val="auto"/>
              </w:rPr>
              <w:t>822</w:t>
            </w:r>
          </w:p>
        </w:tc>
        <w:tc>
          <w:tcPr>
            <w:tcW w:w="1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580" w:type="dxa"/>
            <w:vAlign w:val="bottom"/>
          </w:tcPr>
          <w:p>
            <w:pPr>
              <w:jc w:val="right"/>
              <w:ind w:right="10"/>
              <w:spacing w:after="0"/>
              <w:rPr>
                <w:sz w:val="20"/>
                <w:szCs w:val="20"/>
                <w:color w:val="auto"/>
              </w:rPr>
            </w:pPr>
            <w:r>
              <w:rPr>
                <w:rFonts w:ascii="Arial" w:cs="Arial" w:eastAsia="Arial" w:hAnsi="Arial"/>
                <w:sz w:val="18"/>
                <w:szCs w:val="18"/>
                <w:color w:val="auto"/>
              </w:rPr>
              <w:t>512</w:t>
            </w:r>
          </w:p>
        </w:tc>
        <w:tc>
          <w:tcPr>
            <w:tcW w:w="0" w:type="dxa"/>
            <w:vAlign w:val="bottom"/>
          </w:tcPr>
          <w:p>
            <w:pPr>
              <w:spacing w:after="0"/>
              <w:rPr>
                <w:sz w:val="1"/>
                <w:szCs w:val="1"/>
                <w:color w:val="auto"/>
              </w:rPr>
            </w:pPr>
          </w:p>
        </w:tc>
      </w:tr>
      <w:tr>
        <w:trPr>
          <w:trHeight w:val="27"/>
        </w:trPr>
        <w:tc>
          <w:tcPr>
            <w:tcW w:w="70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5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02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Other long-term liabilities</w:t>
            </w:r>
          </w:p>
        </w:tc>
        <w:tc>
          <w:tcPr>
            <w:tcW w:w="580" w:type="dxa"/>
            <w:vAlign w:val="bottom"/>
            <w:tcBorders>
              <w:bottom w:val="single" w:sz="8" w:color="CCEEFF"/>
            </w:tcBorders>
            <w:shd w:val="clear" w:color="auto" w:fill="CCEEFF"/>
          </w:tcPr>
          <w:p>
            <w:pPr>
              <w:spacing w:after="0"/>
              <w:rPr>
                <w:sz w:val="23"/>
                <w:szCs w:val="23"/>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(62)</w:t>
            </w:r>
          </w:p>
        </w:tc>
        <w:tc>
          <w:tcPr>
            <w:tcW w:w="120" w:type="dxa"/>
            <w:vAlign w:val="bottom"/>
            <w:tcBorders>
              <w:bottom w:val="single" w:sz="8" w:color="CCEEFF"/>
            </w:tcBorders>
            <w:shd w:val="clear" w:color="auto" w:fill="CCEEFF"/>
          </w:tcPr>
          <w:p>
            <w:pPr>
              <w:spacing w:after="0"/>
              <w:rPr>
                <w:sz w:val="23"/>
                <w:szCs w:val="23"/>
                <w:color w:val="auto"/>
              </w:rPr>
            </w:pPr>
          </w:p>
        </w:tc>
        <w:tc>
          <w:tcPr>
            <w:tcW w:w="560" w:type="dxa"/>
            <w:vAlign w:val="bottom"/>
            <w:tcBorders>
              <w:bottom w:val="single" w:sz="8" w:color="CCEEFF"/>
            </w:tcBorders>
            <w:shd w:val="clear" w:color="auto" w:fill="CCEEFF"/>
          </w:tcPr>
          <w:p>
            <w:pPr>
              <w:spacing w:after="0"/>
              <w:rPr>
                <w:sz w:val="23"/>
                <w:szCs w:val="23"/>
                <w:color w:val="auto"/>
              </w:rPr>
            </w:pPr>
          </w:p>
        </w:tc>
        <w:tc>
          <w:tcPr>
            <w:tcW w:w="15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7"/>
        </w:trPr>
        <w:tc>
          <w:tcPr>
            <w:tcW w:w="7020" w:type="dxa"/>
            <w:vAlign w:val="bottom"/>
          </w:tcPr>
          <w:p>
            <w:pPr>
              <w:ind w:left="40"/>
              <w:spacing w:after="0"/>
              <w:rPr>
                <w:sz w:val="20"/>
                <w:szCs w:val="20"/>
                <w:color w:val="auto"/>
              </w:rPr>
            </w:pPr>
            <w:r>
              <w:rPr>
                <w:rFonts w:ascii="Arial" w:cs="Arial" w:eastAsia="Arial" w:hAnsi="Arial"/>
                <w:sz w:val="18"/>
                <w:szCs w:val="18"/>
                <w:color w:val="auto"/>
              </w:rPr>
              <w:t>Net cash provided by (used in) operating activities</w:t>
            </w:r>
          </w:p>
        </w:tc>
        <w:tc>
          <w:tcPr>
            <w:tcW w:w="580" w:type="dxa"/>
            <w:vAlign w:val="bottom"/>
            <w:tcBorders>
              <w:top w:val="single" w:sz="8" w:color="auto"/>
            </w:tcBorders>
          </w:tcPr>
          <w:p>
            <w:pPr>
              <w:spacing w:after="0"/>
              <w:rPr>
                <w:sz w:val="20"/>
                <w:szCs w:val="20"/>
                <w:color w:val="auto"/>
              </w:rPr>
            </w:pPr>
          </w:p>
        </w:tc>
        <w:tc>
          <w:tcPr>
            <w:tcW w:w="15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5,812</w:t>
            </w:r>
          </w:p>
        </w:tc>
        <w:tc>
          <w:tcPr>
            <w:tcW w:w="120" w:type="dxa"/>
            <w:vAlign w:val="bottom"/>
            <w:tcBorders>
              <w:top w:val="single" w:sz="8" w:color="auto"/>
            </w:tcBorders>
          </w:tcPr>
          <w:p>
            <w:pPr>
              <w:spacing w:after="0"/>
              <w:rPr>
                <w:sz w:val="20"/>
                <w:szCs w:val="20"/>
                <w:color w:val="auto"/>
              </w:rPr>
            </w:pPr>
          </w:p>
        </w:tc>
        <w:tc>
          <w:tcPr>
            <w:tcW w:w="560" w:type="dxa"/>
            <w:vAlign w:val="bottom"/>
            <w:tcBorders>
              <w:top w:val="single" w:sz="8" w:color="auto"/>
            </w:tcBorders>
          </w:tcPr>
          <w:p>
            <w:pPr>
              <w:spacing w:after="0"/>
              <w:rPr>
                <w:sz w:val="20"/>
                <w:szCs w:val="20"/>
                <w:color w:val="auto"/>
              </w:rPr>
            </w:pPr>
          </w:p>
        </w:tc>
        <w:tc>
          <w:tcPr>
            <w:tcW w:w="1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(9,528)</w:t>
            </w:r>
          </w:p>
        </w:tc>
        <w:tc>
          <w:tcPr>
            <w:tcW w:w="0" w:type="dxa"/>
            <w:vAlign w:val="bottom"/>
          </w:tcPr>
          <w:p>
            <w:pPr>
              <w:spacing w:after="0"/>
              <w:rPr>
                <w:sz w:val="1"/>
                <w:szCs w:val="1"/>
                <w:color w:val="auto"/>
              </w:rPr>
            </w:pPr>
          </w:p>
        </w:tc>
      </w:tr>
      <w:tr>
        <w:trPr>
          <w:trHeight w:val="27"/>
        </w:trPr>
        <w:tc>
          <w:tcPr>
            <w:tcW w:w="7020" w:type="dxa"/>
            <w:vAlign w:val="bottom"/>
            <w:tcBorders>
              <w:bottom w:val="single" w:sz="8" w:color="CCEEFF"/>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0"/>
        </w:trPr>
        <w:tc>
          <w:tcPr>
            <w:tcW w:w="70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5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7020" w:type="dxa"/>
            <w:vAlign w:val="bottom"/>
          </w:tcPr>
          <w:p>
            <w:pPr>
              <w:ind w:left="40"/>
              <w:spacing w:after="0"/>
              <w:rPr>
                <w:sz w:val="20"/>
                <w:szCs w:val="20"/>
                <w:color w:val="auto"/>
              </w:rPr>
            </w:pPr>
            <w:r>
              <w:rPr>
                <w:rFonts w:ascii="Arial" w:cs="Arial" w:eastAsia="Arial" w:hAnsi="Arial"/>
                <w:sz w:val="18"/>
                <w:szCs w:val="18"/>
                <w:color w:val="auto"/>
              </w:rPr>
              <w:t>Cash flows from investing activities:</w:t>
            </w:r>
          </w:p>
        </w:tc>
        <w:tc>
          <w:tcPr>
            <w:tcW w:w="580" w:type="dxa"/>
            <w:vAlign w:val="bottom"/>
          </w:tcPr>
          <w:p>
            <w:pPr>
              <w:spacing w:after="0"/>
              <w:rPr>
                <w:sz w:val="21"/>
                <w:szCs w:val="21"/>
                <w:color w:val="auto"/>
              </w:rPr>
            </w:pPr>
          </w:p>
        </w:tc>
        <w:tc>
          <w:tcPr>
            <w:tcW w:w="15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70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5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02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Payment towards business acquisitions</w:t>
            </w:r>
          </w:p>
        </w:tc>
        <w:tc>
          <w:tcPr>
            <w:tcW w:w="58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(13,068)</w:t>
            </w:r>
          </w:p>
        </w:tc>
        <w:tc>
          <w:tcPr>
            <w:tcW w:w="12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7020" w:type="dxa"/>
            <w:vAlign w:val="bottom"/>
          </w:tcPr>
          <w:p>
            <w:pPr>
              <w:ind w:left="220"/>
              <w:spacing w:after="0"/>
              <w:rPr>
                <w:sz w:val="20"/>
                <w:szCs w:val="20"/>
                <w:color w:val="auto"/>
              </w:rPr>
            </w:pPr>
            <w:r>
              <w:rPr>
                <w:rFonts w:ascii="Arial" w:cs="Arial" w:eastAsia="Arial" w:hAnsi="Arial"/>
                <w:sz w:val="18"/>
                <w:szCs w:val="18"/>
                <w:color w:val="auto"/>
              </w:rPr>
              <w:t>Purchase of property and equipment</w:t>
            </w:r>
          </w:p>
        </w:tc>
        <w:tc>
          <w:tcPr>
            <w:tcW w:w="580" w:type="dxa"/>
            <w:vAlign w:val="bottom"/>
          </w:tcPr>
          <w:p>
            <w:pPr>
              <w:spacing w:after="0"/>
              <w:rPr>
                <w:sz w:val="21"/>
                <w:szCs w:val="21"/>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(496)</w:t>
            </w:r>
          </w:p>
        </w:tc>
        <w:tc>
          <w:tcPr>
            <w:tcW w:w="1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(723)</w:t>
            </w:r>
          </w:p>
        </w:tc>
        <w:tc>
          <w:tcPr>
            <w:tcW w:w="0" w:type="dxa"/>
            <w:vAlign w:val="bottom"/>
          </w:tcPr>
          <w:p>
            <w:pPr>
              <w:spacing w:after="0"/>
              <w:rPr>
                <w:sz w:val="1"/>
                <w:szCs w:val="1"/>
                <w:color w:val="auto"/>
              </w:rPr>
            </w:pPr>
          </w:p>
        </w:tc>
      </w:tr>
      <w:tr>
        <w:trPr>
          <w:trHeight w:val="27"/>
        </w:trPr>
        <w:tc>
          <w:tcPr>
            <w:tcW w:w="70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5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02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Purchase of patents</w:t>
            </w:r>
          </w:p>
        </w:tc>
        <w:tc>
          <w:tcPr>
            <w:tcW w:w="58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(90)</w:t>
            </w:r>
          </w:p>
        </w:tc>
        <w:tc>
          <w:tcPr>
            <w:tcW w:w="12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7020" w:type="dxa"/>
            <w:vAlign w:val="bottom"/>
          </w:tcPr>
          <w:p>
            <w:pPr>
              <w:ind w:left="220"/>
              <w:spacing w:after="0"/>
              <w:rPr>
                <w:sz w:val="20"/>
                <w:szCs w:val="20"/>
                <w:color w:val="auto"/>
              </w:rPr>
            </w:pPr>
            <w:r>
              <w:rPr>
                <w:rFonts w:ascii="Arial" w:cs="Arial" w:eastAsia="Arial" w:hAnsi="Arial"/>
                <w:sz w:val="18"/>
                <w:szCs w:val="18"/>
                <w:color w:val="auto"/>
              </w:rPr>
              <w:t>Proceeds from maturities and sales of marketable investment securities</w:t>
            </w:r>
          </w:p>
        </w:tc>
        <w:tc>
          <w:tcPr>
            <w:tcW w:w="580" w:type="dxa"/>
            <w:vAlign w:val="bottom"/>
          </w:tcPr>
          <w:p>
            <w:pPr>
              <w:spacing w:after="0"/>
              <w:rPr>
                <w:sz w:val="21"/>
                <w:szCs w:val="21"/>
                <w:color w:val="auto"/>
              </w:rPr>
            </w:pPr>
          </w:p>
        </w:tc>
        <w:tc>
          <w:tcPr>
            <w:tcW w:w="1560" w:type="dxa"/>
            <w:vAlign w:val="bottom"/>
            <w:vMerge w:val="restart"/>
          </w:tcPr>
          <w:p>
            <w:pPr>
              <w:jc w:val="right"/>
              <w:ind w:right="11"/>
              <w:spacing w:after="0"/>
              <w:rPr>
                <w:sz w:val="20"/>
                <w:szCs w:val="20"/>
                <w:color w:val="auto"/>
              </w:rPr>
            </w:pPr>
            <w:r>
              <w:rPr>
                <w:rFonts w:ascii="Arial" w:cs="Arial" w:eastAsia="Arial" w:hAnsi="Arial"/>
                <w:sz w:val="18"/>
                <w:szCs w:val="18"/>
                <w:color w:val="auto"/>
              </w:rPr>
              <w:t>6,790</w:t>
            </w:r>
          </w:p>
        </w:tc>
        <w:tc>
          <w:tcPr>
            <w:tcW w:w="1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580" w:type="dxa"/>
            <w:vAlign w:val="bottom"/>
            <w:vMerge w:val="restart"/>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70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56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5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70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5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02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Purchase of marketable securities</w:t>
            </w:r>
          </w:p>
        </w:tc>
        <w:tc>
          <w:tcPr>
            <w:tcW w:w="580" w:type="dxa"/>
            <w:vAlign w:val="bottom"/>
            <w:tcBorders>
              <w:bottom w:val="single" w:sz="8" w:color="CCEEFF"/>
            </w:tcBorders>
            <w:shd w:val="clear" w:color="auto" w:fill="CCEEFF"/>
          </w:tcPr>
          <w:p>
            <w:pPr>
              <w:spacing w:after="0"/>
              <w:rPr>
                <w:sz w:val="23"/>
                <w:szCs w:val="23"/>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(6,655)</w:t>
            </w:r>
          </w:p>
        </w:tc>
        <w:tc>
          <w:tcPr>
            <w:tcW w:w="120" w:type="dxa"/>
            <w:vAlign w:val="bottom"/>
            <w:tcBorders>
              <w:bottom w:val="single" w:sz="8" w:color="CCEEFF"/>
            </w:tcBorders>
            <w:shd w:val="clear" w:color="auto" w:fill="CCEEFF"/>
          </w:tcPr>
          <w:p>
            <w:pPr>
              <w:spacing w:after="0"/>
              <w:rPr>
                <w:sz w:val="23"/>
                <w:szCs w:val="23"/>
                <w:color w:val="auto"/>
              </w:rPr>
            </w:pPr>
          </w:p>
        </w:tc>
        <w:tc>
          <w:tcPr>
            <w:tcW w:w="560" w:type="dxa"/>
            <w:vAlign w:val="bottom"/>
            <w:tcBorders>
              <w:bottom w:val="single" w:sz="8" w:color="CCEEFF"/>
            </w:tcBorders>
            <w:shd w:val="clear" w:color="auto" w:fill="CCEEFF"/>
          </w:tcPr>
          <w:p>
            <w:pPr>
              <w:spacing w:after="0"/>
              <w:rPr>
                <w:sz w:val="23"/>
                <w:szCs w:val="23"/>
                <w:color w:val="auto"/>
              </w:rPr>
            </w:pPr>
          </w:p>
        </w:tc>
        <w:tc>
          <w:tcPr>
            <w:tcW w:w="1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(25,409)</w:t>
            </w:r>
          </w:p>
        </w:tc>
        <w:tc>
          <w:tcPr>
            <w:tcW w:w="0" w:type="dxa"/>
            <w:vAlign w:val="bottom"/>
          </w:tcPr>
          <w:p>
            <w:pPr>
              <w:spacing w:after="0"/>
              <w:rPr>
                <w:sz w:val="1"/>
                <w:szCs w:val="1"/>
                <w:color w:val="auto"/>
              </w:rPr>
            </w:pPr>
          </w:p>
        </w:tc>
      </w:tr>
      <w:tr>
        <w:trPr>
          <w:trHeight w:val="237"/>
        </w:trPr>
        <w:tc>
          <w:tcPr>
            <w:tcW w:w="7020" w:type="dxa"/>
            <w:vAlign w:val="bottom"/>
          </w:tcPr>
          <w:p>
            <w:pPr>
              <w:ind w:left="40"/>
              <w:spacing w:after="0"/>
              <w:rPr>
                <w:sz w:val="20"/>
                <w:szCs w:val="20"/>
                <w:color w:val="auto"/>
              </w:rPr>
            </w:pPr>
            <w:r>
              <w:rPr>
                <w:rFonts w:ascii="Arial" w:cs="Arial" w:eastAsia="Arial" w:hAnsi="Arial"/>
                <w:sz w:val="18"/>
                <w:szCs w:val="18"/>
                <w:color w:val="auto"/>
              </w:rPr>
              <w:t>Net cash used in investing activities</w:t>
            </w:r>
          </w:p>
        </w:tc>
        <w:tc>
          <w:tcPr>
            <w:tcW w:w="580" w:type="dxa"/>
            <w:vAlign w:val="bottom"/>
            <w:tcBorders>
              <w:top w:val="single" w:sz="8" w:color="auto"/>
            </w:tcBorders>
          </w:tcPr>
          <w:p>
            <w:pPr>
              <w:spacing w:after="0"/>
              <w:rPr>
                <w:sz w:val="20"/>
                <w:szCs w:val="20"/>
                <w:color w:val="auto"/>
              </w:rPr>
            </w:pPr>
          </w:p>
        </w:tc>
        <w:tc>
          <w:tcPr>
            <w:tcW w:w="15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(13,519)</w:t>
            </w:r>
          </w:p>
        </w:tc>
        <w:tc>
          <w:tcPr>
            <w:tcW w:w="120" w:type="dxa"/>
            <w:vAlign w:val="bottom"/>
          </w:tcPr>
          <w:p>
            <w:pPr>
              <w:spacing w:after="0"/>
              <w:rPr>
                <w:sz w:val="20"/>
                <w:szCs w:val="20"/>
                <w:color w:val="auto"/>
              </w:rPr>
            </w:pPr>
          </w:p>
        </w:tc>
        <w:tc>
          <w:tcPr>
            <w:tcW w:w="560" w:type="dxa"/>
            <w:vAlign w:val="bottom"/>
            <w:tcBorders>
              <w:top w:val="single" w:sz="8" w:color="auto"/>
            </w:tcBorders>
          </w:tcPr>
          <w:p>
            <w:pPr>
              <w:spacing w:after="0"/>
              <w:rPr>
                <w:sz w:val="20"/>
                <w:szCs w:val="20"/>
                <w:color w:val="auto"/>
              </w:rPr>
            </w:pPr>
          </w:p>
        </w:tc>
        <w:tc>
          <w:tcPr>
            <w:tcW w:w="1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(26,132)</w:t>
            </w:r>
          </w:p>
        </w:tc>
        <w:tc>
          <w:tcPr>
            <w:tcW w:w="0" w:type="dxa"/>
            <w:vAlign w:val="bottom"/>
          </w:tcPr>
          <w:p>
            <w:pPr>
              <w:spacing w:after="0"/>
              <w:rPr>
                <w:sz w:val="1"/>
                <w:szCs w:val="1"/>
                <w:color w:val="auto"/>
              </w:rPr>
            </w:pPr>
          </w:p>
        </w:tc>
      </w:tr>
      <w:tr>
        <w:trPr>
          <w:trHeight w:val="27"/>
        </w:trPr>
        <w:tc>
          <w:tcPr>
            <w:tcW w:w="7020" w:type="dxa"/>
            <w:vAlign w:val="bottom"/>
            <w:tcBorders>
              <w:bottom w:val="single" w:sz="8" w:color="CCEEFF"/>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702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5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5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7020" w:type="dxa"/>
            <w:vAlign w:val="bottom"/>
          </w:tcPr>
          <w:p>
            <w:pPr>
              <w:ind w:left="40"/>
              <w:spacing w:after="0"/>
              <w:rPr>
                <w:sz w:val="20"/>
                <w:szCs w:val="20"/>
                <w:color w:val="auto"/>
              </w:rPr>
            </w:pPr>
            <w:r>
              <w:rPr>
                <w:rFonts w:ascii="Arial" w:cs="Arial" w:eastAsia="Arial" w:hAnsi="Arial"/>
                <w:sz w:val="18"/>
                <w:szCs w:val="18"/>
                <w:color w:val="auto"/>
              </w:rPr>
              <w:t>Cash flows from financing activities:</w:t>
            </w:r>
          </w:p>
        </w:tc>
        <w:tc>
          <w:tcPr>
            <w:tcW w:w="580" w:type="dxa"/>
            <w:vAlign w:val="bottom"/>
          </w:tcPr>
          <w:p>
            <w:pPr>
              <w:spacing w:after="0"/>
              <w:rPr>
                <w:sz w:val="21"/>
                <w:szCs w:val="21"/>
                <w:color w:val="auto"/>
              </w:rPr>
            </w:pPr>
          </w:p>
        </w:tc>
        <w:tc>
          <w:tcPr>
            <w:tcW w:w="15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70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5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02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Proceeds from the exercise of stock options</w:t>
            </w:r>
          </w:p>
        </w:tc>
        <w:tc>
          <w:tcPr>
            <w:tcW w:w="58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1,297</w:t>
            </w:r>
          </w:p>
        </w:tc>
        <w:tc>
          <w:tcPr>
            <w:tcW w:w="12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456</w:t>
            </w:r>
          </w:p>
        </w:tc>
        <w:tc>
          <w:tcPr>
            <w:tcW w:w="0" w:type="dxa"/>
            <w:vAlign w:val="bottom"/>
          </w:tcPr>
          <w:p>
            <w:pPr>
              <w:spacing w:after="0"/>
              <w:rPr>
                <w:sz w:val="1"/>
                <w:szCs w:val="1"/>
                <w:color w:val="auto"/>
              </w:rPr>
            </w:pPr>
          </w:p>
        </w:tc>
      </w:tr>
      <w:tr>
        <w:trPr>
          <w:trHeight w:val="243"/>
        </w:trPr>
        <w:tc>
          <w:tcPr>
            <w:tcW w:w="7020" w:type="dxa"/>
            <w:vAlign w:val="bottom"/>
          </w:tcPr>
          <w:p>
            <w:pPr>
              <w:ind w:left="220"/>
              <w:spacing w:after="0"/>
              <w:rPr>
                <w:sz w:val="20"/>
                <w:szCs w:val="20"/>
                <w:color w:val="auto"/>
              </w:rPr>
            </w:pPr>
            <w:r>
              <w:rPr>
                <w:rFonts w:ascii="Arial" w:cs="Arial" w:eastAsia="Arial" w:hAnsi="Arial"/>
                <w:sz w:val="18"/>
                <w:szCs w:val="18"/>
                <w:color w:val="auto"/>
              </w:rPr>
              <w:t>Tax benefit from stock options</w:t>
            </w:r>
          </w:p>
        </w:tc>
        <w:tc>
          <w:tcPr>
            <w:tcW w:w="580" w:type="dxa"/>
            <w:vAlign w:val="bottom"/>
          </w:tcPr>
          <w:p>
            <w:pPr>
              <w:spacing w:after="0"/>
              <w:rPr>
                <w:sz w:val="21"/>
                <w:szCs w:val="21"/>
                <w:color w:val="auto"/>
              </w:rPr>
            </w:pPr>
          </w:p>
        </w:tc>
        <w:tc>
          <w:tcPr>
            <w:tcW w:w="1560" w:type="dxa"/>
            <w:vAlign w:val="bottom"/>
          </w:tcPr>
          <w:p>
            <w:pPr>
              <w:jc w:val="right"/>
              <w:ind w:right="11"/>
              <w:spacing w:after="0"/>
              <w:rPr>
                <w:sz w:val="20"/>
                <w:szCs w:val="20"/>
                <w:color w:val="auto"/>
              </w:rPr>
            </w:pPr>
            <w:r>
              <w:rPr>
                <w:rFonts w:ascii="Arial" w:cs="Arial" w:eastAsia="Arial" w:hAnsi="Arial"/>
                <w:sz w:val="18"/>
                <w:szCs w:val="18"/>
                <w:color w:val="auto"/>
              </w:rPr>
              <w:t>92</w:t>
            </w:r>
          </w:p>
        </w:tc>
        <w:tc>
          <w:tcPr>
            <w:tcW w:w="1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580" w:type="dxa"/>
            <w:vAlign w:val="bottom"/>
          </w:tcPr>
          <w:p>
            <w:pPr>
              <w:jc w:val="right"/>
              <w:ind w:right="10"/>
              <w:spacing w:after="0"/>
              <w:rPr>
                <w:sz w:val="20"/>
                <w:szCs w:val="20"/>
                <w:color w:val="auto"/>
              </w:rPr>
            </w:pPr>
            <w:r>
              <w:rPr>
                <w:rFonts w:ascii="Arial" w:cs="Arial" w:eastAsia="Arial" w:hAnsi="Arial"/>
                <w:sz w:val="18"/>
                <w:szCs w:val="18"/>
                <w:color w:val="auto"/>
              </w:rPr>
              <w:t>76</w:t>
            </w:r>
          </w:p>
        </w:tc>
        <w:tc>
          <w:tcPr>
            <w:tcW w:w="0" w:type="dxa"/>
            <w:vAlign w:val="bottom"/>
          </w:tcPr>
          <w:p>
            <w:pPr>
              <w:spacing w:after="0"/>
              <w:rPr>
                <w:sz w:val="1"/>
                <w:szCs w:val="1"/>
                <w:color w:val="auto"/>
              </w:rPr>
            </w:pPr>
          </w:p>
        </w:tc>
      </w:tr>
      <w:tr>
        <w:trPr>
          <w:trHeight w:val="27"/>
        </w:trPr>
        <w:tc>
          <w:tcPr>
            <w:tcW w:w="70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5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02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Stock registration costs</w:t>
            </w:r>
          </w:p>
        </w:tc>
        <w:tc>
          <w:tcPr>
            <w:tcW w:w="58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(55)</w:t>
            </w:r>
          </w:p>
        </w:tc>
        <w:tc>
          <w:tcPr>
            <w:tcW w:w="12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7020" w:type="dxa"/>
            <w:vAlign w:val="bottom"/>
          </w:tcPr>
          <w:p>
            <w:pPr>
              <w:ind w:left="220"/>
              <w:spacing w:after="0"/>
              <w:rPr>
                <w:sz w:val="20"/>
                <w:szCs w:val="20"/>
                <w:color w:val="auto"/>
              </w:rPr>
            </w:pPr>
            <w:r>
              <w:rPr>
                <w:rFonts w:ascii="Arial" w:cs="Arial" w:eastAsia="Arial" w:hAnsi="Arial"/>
                <w:sz w:val="18"/>
                <w:szCs w:val="18"/>
                <w:color w:val="auto"/>
              </w:rPr>
              <w:t>Treasury stock purchased</w:t>
            </w:r>
          </w:p>
        </w:tc>
        <w:tc>
          <w:tcPr>
            <w:tcW w:w="580" w:type="dxa"/>
            <w:vAlign w:val="bottom"/>
          </w:tcPr>
          <w:p>
            <w:pPr>
              <w:spacing w:after="0"/>
              <w:rPr>
                <w:sz w:val="21"/>
                <w:szCs w:val="21"/>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(1,927)</w:t>
            </w:r>
          </w:p>
        </w:tc>
        <w:tc>
          <w:tcPr>
            <w:tcW w:w="1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(2,191)</w:t>
            </w:r>
          </w:p>
        </w:tc>
        <w:tc>
          <w:tcPr>
            <w:tcW w:w="0" w:type="dxa"/>
            <w:vAlign w:val="bottom"/>
          </w:tcPr>
          <w:p>
            <w:pPr>
              <w:spacing w:after="0"/>
              <w:rPr>
                <w:sz w:val="1"/>
                <w:szCs w:val="1"/>
                <w:color w:val="auto"/>
              </w:rPr>
            </w:pPr>
          </w:p>
        </w:tc>
      </w:tr>
      <w:tr>
        <w:trPr>
          <w:trHeight w:val="27"/>
        </w:trPr>
        <w:tc>
          <w:tcPr>
            <w:tcW w:w="7020" w:type="dxa"/>
            <w:vAlign w:val="bottom"/>
            <w:tcBorders>
              <w:bottom w:val="single" w:sz="8" w:color="CCEEFF"/>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7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cash used in financing activities</w:t>
            </w:r>
          </w:p>
        </w:tc>
        <w:tc>
          <w:tcPr>
            <w:tcW w:w="580" w:type="dxa"/>
            <w:vAlign w:val="bottom"/>
            <w:tcBorders>
              <w:bottom w:val="single" w:sz="8" w:color="CCEEFF"/>
            </w:tcBorders>
            <w:shd w:val="clear" w:color="auto" w:fill="CCEEFF"/>
          </w:tcPr>
          <w:p>
            <w:pPr>
              <w:spacing w:after="0"/>
              <w:rPr>
                <w:sz w:val="22"/>
                <w:szCs w:val="22"/>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(593)</w:t>
            </w:r>
          </w:p>
        </w:tc>
        <w:tc>
          <w:tcPr>
            <w:tcW w:w="120" w:type="dxa"/>
            <w:vAlign w:val="bottom"/>
            <w:tcBorders>
              <w:bottom w:val="single" w:sz="8" w:color="CCEEFF"/>
            </w:tcBorders>
            <w:shd w:val="clear" w:color="auto" w:fill="CCEEFF"/>
          </w:tcPr>
          <w:p>
            <w:pPr>
              <w:spacing w:after="0"/>
              <w:rPr>
                <w:sz w:val="22"/>
                <w:szCs w:val="22"/>
                <w:color w:val="auto"/>
              </w:rPr>
            </w:pPr>
          </w:p>
        </w:tc>
        <w:tc>
          <w:tcPr>
            <w:tcW w:w="560" w:type="dxa"/>
            <w:vAlign w:val="bottom"/>
            <w:tcBorders>
              <w:bottom w:val="single" w:sz="8" w:color="CCEEFF"/>
            </w:tcBorders>
            <w:shd w:val="clear" w:color="auto" w:fill="CCEEFF"/>
          </w:tcPr>
          <w:p>
            <w:pPr>
              <w:spacing w:after="0"/>
              <w:rPr>
                <w:sz w:val="22"/>
                <w:szCs w:val="22"/>
                <w:color w:val="auto"/>
              </w:rPr>
            </w:pPr>
          </w:p>
        </w:tc>
        <w:tc>
          <w:tcPr>
            <w:tcW w:w="1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(1,659)</w:t>
            </w:r>
          </w:p>
        </w:tc>
        <w:tc>
          <w:tcPr>
            <w:tcW w:w="0" w:type="dxa"/>
            <w:vAlign w:val="bottom"/>
          </w:tcPr>
          <w:p>
            <w:pPr>
              <w:spacing w:after="0"/>
              <w:rPr>
                <w:sz w:val="1"/>
                <w:szCs w:val="1"/>
                <w:color w:val="auto"/>
              </w:rPr>
            </w:pPr>
          </w:p>
        </w:tc>
      </w:tr>
      <w:tr>
        <w:trPr>
          <w:trHeight w:val="210"/>
        </w:trPr>
        <w:tc>
          <w:tcPr>
            <w:tcW w:w="7020" w:type="dxa"/>
            <w:vAlign w:val="bottom"/>
          </w:tcPr>
          <w:p>
            <w:pPr>
              <w:spacing w:after="0"/>
              <w:rPr>
                <w:sz w:val="18"/>
                <w:szCs w:val="18"/>
                <w:color w:val="auto"/>
              </w:rPr>
            </w:pPr>
          </w:p>
        </w:tc>
        <w:tc>
          <w:tcPr>
            <w:tcW w:w="580" w:type="dxa"/>
            <w:vAlign w:val="bottom"/>
            <w:tcBorders>
              <w:top w:val="single" w:sz="8" w:color="auto"/>
            </w:tcBorders>
          </w:tcPr>
          <w:p>
            <w:pPr>
              <w:spacing w:after="0"/>
              <w:rPr>
                <w:sz w:val="18"/>
                <w:szCs w:val="18"/>
                <w:color w:val="auto"/>
              </w:rPr>
            </w:pPr>
          </w:p>
        </w:tc>
        <w:tc>
          <w:tcPr>
            <w:tcW w:w="156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Borders>
              <w:top w:val="single" w:sz="8" w:color="auto"/>
            </w:tcBorders>
          </w:tcPr>
          <w:p>
            <w:pPr>
              <w:spacing w:after="0"/>
              <w:rPr>
                <w:sz w:val="18"/>
                <w:szCs w:val="18"/>
                <w:color w:val="auto"/>
              </w:rPr>
            </w:pPr>
          </w:p>
        </w:tc>
        <w:tc>
          <w:tcPr>
            <w:tcW w:w="158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7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decrease in cash and cash equivalents</w:t>
            </w:r>
          </w:p>
        </w:tc>
        <w:tc>
          <w:tcPr>
            <w:tcW w:w="58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(8,300)</w:t>
            </w:r>
          </w:p>
        </w:tc>
        <w:tc>
          <w:tcPr>
            <w:tcW w:w="12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(37,319)</w:t>
            </w:r>
          </w:p>
        </w:tc>
        <w:tc>
          <w:tcPr>
            <w:tcW w:w="0" w:type="dxa"/>
            <w:vAlign w:val="bottom"/>
          </w:tcPr>
          <w:p>
            <w:pPr>
              <w:spacing w:after="0"/>
              <w:rPr>
                <w:sz w:val="1"/>
                <w:szCs w:val="1"/>
                <w:color w:val="auto"/>
              </w:rPr>
            </w:pPr>
          </w:p>
        </w:tc>
      </w:tr>
      <w:tr>
        <w:trPr>
          <w:trHeight w:val="243"/>
        </w:trPr>
        <w:tc>
          <w:tcPr>
            <w:tcW w:w="7020" w:type="dxa"/>
            <w:vAlign w:val="bottom"/>
          </w:tcPr>
          <w:p>
            <w:pPr>
              <w:ind w:left="40"/>
              <w:spacing w:after="0"/>
              <w:rPr>
                <w:sz w:val="20"/>
                <w:szCs w:val="20"/>
                <w:color w:val="auto"/>
              </w:rPr>
            </w:pPr>
            <w:r>
              <w:rPr>
                <w:rFonts w:ascii="Arial" w:cs="Arial" w:eastAsia="Arial" w:hAnsi="Arial"/>
                <w:sz w:val="18"/>
                <w:szCs w:val="18"/>
                <w:color w:val="auto"/>
              </w:rPr>
              <w:t>Cash and cash equivalents at the beginning of the period</w:t>
            </w:r>
          </w:p>
        </w:tc>
        <w:tc>
          <w:tcPr>
            <w:tcW w:w="580" w:type="dxa"/>
            <w:vAlign w:val="bottom"/>
          </w:tcPr>
          <w:p>
            <w:pPr>
              <w:spacing w:after="0"/>
              <w:rPr>
                <w:sz w:val="21"/>
                <w:szCs w:val="21"/>
                <w:color w:val="auto"/>
              </w:rPr>
            </w:pPr>
          </w:p>
        </w:tc>
        <w:tc>
          <w:tcPr>
            <w:tcW w:w="1560" w:type="dxa"/>
            <w:vAlign w:val="bottom"/>
          </w:tcPr>
          <w:p>
            <w:pPr>
              <w:jc w:val="right"/>
              <w:ind w:right="11"/>
              <w:spacing w:after="0"/>
              <w:rPr>
                <w:sz w:val="20"/>
                <w:szCs w:val="20"/>
                <w:color w:val="auto"/>
              </w:rPr>
            </w:pPr>
            <w:r>
              <w:rPr>
                <w:rFonts w:ascii="Arial" w:cs="Arial" w:eastAsia="Arial" w:hAnsi="Arial"/>
                <w:sz w:val="18"/>
                <w:szCs w:val="18"/>
                <w:color w:val="auto"/>
              </w:rPr>
              <w:t>17,192</w:t>
            </w:r>
          </w:p>
        </w:tc>
        <w:tc>
          <w:tcPr>
            <w:tcW w:w="1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580" w:type="dxa"/>
            <w:vAlign w:val="bottom"/>
          </w:tcPr>
          <w:p>
            <w:pPr>
              <w:jc w:val="right"/>
              <w:ind w:right="10"/>
              <w:spacing w:after="0"/>
              <w:rPr>
                <w:sz w:val="20"/>
                <w:szCs w:val="20"/>
                <w:color w:val="auto"/>
              </w:rPr>
            </w:pPr>
            <w:r>
              <w:rPr>
                <w:rFonts w:ascii="Arial" w:cs="Arial" w:eastAsia="Arial" w:hAnsi="Arial"/>
                <w:sz w:val="18"/>
                <w:szCs w:val="18"/>
                <w:color w:val="auto"/>
              </w:rPr>
              <w:t>55,509</w:t>
            </w:r>
          </w:p>
        </w:tc>
        <w:tc>
          <w:tcPr>
            <w:tcW w:w="0" w:type="dxa"/>
            <w:vAlign w:val="bottom"/>
          </w:tcPr>
          <w:p>
            <w:pPr>
              <w:spacing w:after="0"/>
              <w:rPr>
                <w:sz w:val="1"/>
                <w:szCs w:val="1"/>
                <w:color w:val="auto"/>
              </w:rPr>
            </w:pPr>
          </w:p>
        </w:tc>
      </w:tr>
      <w:tr>
        <w:trPr>
          <w:trHeight w:val="27"/>
        </w:trPr>
        <w:tc>
          <w:tcPr>
            <w:tcW w:w="7020" w:type="dxa"/>
            <w:vAlign w:val="bottom"/>
            <w:tcBorders>
              <w:bottom w:val="single" w:sz="8" w:color="CCEEFF"/>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7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and cash equivalents at the end of the period</w:t>
            </w:r>
          </w:p>
        </w:tc>
        <w:tc>
          <w:tcPr>
            <w:tcW w:w="580" w:type="dxa"/>
            <w:vAlign w:val="bottom"/>
            <w:tcBorders>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rPr>
              <w:t>$</w:t>
            </w:r>
          </w:p>
        </w:tc>
        <w:tc>
          <w:tcPr>
            <w:tcW w:w="156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8,892</w:t>
            </w:r>
          </w:p>
        </w:tc>
        <w:tc>
          <w:tcPr>
            <w:tcW w:w="120" w:type="dxa"/>
            <w:vAlign w:val="bottom"/>
            <w:tcBorders>
              <w:bottom w:val="single" w:sz="8" w:color="CCEEFF"/>
            </w:tcBorders>
            <w:shd w:val="clear" w:color="auto" w:fill="CCEEFF"/>
          </w:tcPr>
          <w:p>
            <w:pPr>
              <w:spacing w:after="0"/>
              <w:rPr>
                <w:sz w:val="22"/>
                <w:szCs w:val="22"/>
                <w:color w:val="auto"/>
              </w:rPr>
            </w:pPr>
          </w:p>
        </w:tc>
        <w:tc>
          <w:tcPr>
            <w:tcW w:w="560" w:type="dxa"/>
            <w:vAlign w:val="bottom"/>
            <w:tcBorders>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rPr>
              <w:t>$</w:t>
            </w:r>
          </w:p>
        </w:tc>
        <w:tc>
          <w:tcPr>
            <w:tcW w:w="15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18,190</w:t>
            </w:r>
          </w:p>
        </w:tc>
        <w:tc>
          <w:tcPr>
            <w:tcW w:w="0" w:type="dxa"/>
            <w:vAlign w:val="bottom"/>
          </w:tcPr>
          <w:p>
            <w:pPr>
              <w:spacing w:after="0"/>
              <w:rPr>
                <w:sz w:val="1"/>
                <w:szCs w:val="1"/>
                <w:color w:val="auto"/>
              </w:rPr>
            </w:pPr>
          </w:p>
        </w:tc>
      </w:tr>
      <w:tr>
        <w:trPr>
          <w:trHeight w:val="20"/>
        </w:trPr>
        <w:tc>
          <w:tcPr>
            <w:tcW w:w="702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22"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w:t>
      </w:r>
    </w:p>
    <w:p>
      <w:pPr>
        <w:sectPr>
          <w:pgSz w:w="11900" w:h="16838" w:orient="portrait"/>
          <w:cols w:equalWidth="0" w:num="1">
            <w:col w:w="11420"/>
          </w:cols>
          <w:pgMar w:left="240" w:top="122" w:right="239" w:bottom="1440" w:gutter="0" w:footer="0" w:header="0"/>
          <w:type w:val="continuous"/>
        </w:sectPr>
      </w:pPr>
    </w:p>
    <w:bookmarkStart w:id="5" w:name="page6"/>
    <w:bookmarkEnd w:id="5"/>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36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CLEARONE,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 CONDENSED CONSOLIDATED STATEMENTS OF CASH FLOWS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(Dollars in thousands)</w:t>
      </w:r>
    </w:p>
    <w:p>
      <w:pPr>
        <w:spacing w:after="0" w:line="387" w:lineRule="exact"/>
        <w:rPr>
          <w:sz w:val="20"/>
          <w:szCs w:val="20"/>
          <w:color w:val="auto"/>
        </w:rPr>
      </w:pPr>
    </w:p>
    <w:tbl>
      <w:tblPr>
        <w:tblLayout w:type="fixed"/>
        <w:tblInd w:w="40" w:type="dxa"/>
        <w:tblCellMar>
          <w:top w:w="0" w:type="dxa"/>
          <w:left w:w="0" w:type="dxa"/>
          <w:bottom w:w="0" w:type="dxa"/>
          <w:right w:w="0" w:type="dxa"/>
        </w:tblCellMar>
      </w:tblPr>
      <w:tr>
        <w:trPr>
          <w:trHeight w:val="210"/>
        </w:trPr>
        <w:tc>
          <w:tcPr>
            <w:tcW w:w="69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820" w:type="dxa"/>
            <w:vAlign w:val="bottom"/>
            <w:gridSpan w:val="4"/>
          </w:tcPr>
          <w:p>
            <w:pPr>
              <w:jc w:val="right"/>
              <w:ind w:right="914"/>
              <w:spacing w:after="0"/>
              <w:rPr>
                <w:sz w:val="20"/>
                <w:szCs w:val="20"/>
                <w:color w:val="auto"/>
              </w:rPr>
            </w:pPr>
            <w:r>
              <w:rPr>
                <w:rFonts w:ascii="Arial" w:cs="Arial" w:eastAsia="Arial" w:hAnsi="Arial"/>
                <w:sz w:val="16"/>
                <w:szCs w:val="16"/>
                <w:b w:val="1"/>
                <w:bCs w:val="1"/>
                <w:color w:val="auto"/>
              </w:rPr>
              <w:t>Nine months ended September 30,</w:t>
            </w:r>
          </w:p>
        </w:tc>
        <w:tc>
          <w:tcPr>
            <w:tcW w:w="0" w:type="dxa"/>
            <w:vAlign w:val="bottom"/>
          </w:tcPr>
          <w:p>
            <w:pPr>
              <w:spacing w:after="0"/>
              <w:rPr>
                <w:sz w:val="1"/>
                <w:szCs w:val="1"/>
                <w:color w:val="auto"/>
              </w:rPr>
            </w:pPr>
          </w:p>
        </w:tc>
      </w:tr>
      <w:tr>
        <w:trPr>
          <w:trHeight w:val="33"/>
        </w:trPr>
        <w:tc>
          <w:tcPr>
            <w:tcW w:w="6980" w:type="dxa"/>
            <w:vAlign w:val="bottom"/>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1"/>
        </w:trPr>
        <w:tc>
          <w:tcPr>
            <w:tcW w:w="69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580" w:type="dxa"/>
            <w:vAlign w:val="bottom"/>
          </w:tcPr>
          <w:p>
            <w:pPr>
              <w:jc w:val="right"/>
              <w:ind w:right="835"/>
              <w:spacing w:after="0"/>
              <w:rPr>
                <w:sz w:val="20"/>
                <w:szCs w:val="20"/>
                <w:color w:val="auto"/>
              </w:rPr>
            </w:pPr>
            <w:r>
              <w:rPr>
                <w:rFonts w:ascii="Arial" w:cs="Arial" w:eastAsia="Arial" w:hAnsi="Arial"/>
                <w:sz w:val="16"/>
                <w:szCs w:val="16"/>
                <w:b w:val="1"/>
                <w:bCs w:val="1"/>
                <w:color w:val="auto"/>
              </w:rPr>
              <w:t>2014</w:t>
            </w:r>
          </w:p>
        </w:tc>
        <w:tc>
          <w:tcPr>
            <w:tcW w:w="1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560" w:type="dxa"/>
            <w:vAlign w:val="bottom"/>
          </w:tcPr>
          <w:p>
            <w:pPr>
              <w:jc w:val="right"/>
              <w:ind w:right="834"/>
              <w:spacing w:after="0"/>
              <w:rPr>
                <w:sz w:val="20"/>
                <w:szCs w:val="20"/>
                <w:color w:val="auto"/>
              </w:rPr>
            </w:pPr>
            <w:r>
              <w:rPr>
                <w:rFonts w:ascii="Arial" w:cs="Arial" w:eastAsia="Arial" w:hAnsi="Arial"/>
                <w:sz w:val="16"/>
                <w:szCs w:val="16"/>
                <w:b w:val="1"/>
                <w:bCs w:val="1"/>
                <w:color w:val="auto"/>
              </w:rPr>
              <w:t>2013</w:t>
            </w:r>
          </w:p>
        </w:tc>
        <w:tc>
          <w:tcPr>
            <w:tcW w:w="0" w:type="dxa"/>
            <w:vAlign w:val="bottom"/>
          </w:tcPr>
          <w:p>
            <w:pPr>
              <w:spacing w:after="0"/>
              <w:rPr>
                <w:sz w:val="1"/>
                <w:szCs w:val="1"/>
                <w:color w:val="auto"/>
              </w:rPr>
            </w:pPr>
          </w:p>
        </w:tc>
      </w:tr>
      <w:tr>
        <w:trPr>
          <w:trHeight w:val="33"/>
        </w:trPr>
        <w:tc>
          <w:tcPr>
            <w:tcW w:w="6980" w:type="dxa"/>
            <w:vAlign w:val="bottom"/>
            <w:vMerge w:val="restart"/>
          </w:tcPr>
          <w:p>
            <w:pPr>
              <w:ind w:left="20"/>
              <w:spacing w:after="0"/>
              <w:rPr>
                <w:sz w:val="20"/>
                <w:szCs w:val="20"/>
                <w:color w:val="auto"/>
              </w:rPr>
            </w:pPr>
            <w:r>
              <w:rPr>
                <w:rFonts w:ascii="Arial" w:cs="Arial" w:eastAsia="Arial" w:hAnsi="Arial"/>
                <w:sz w:val="18"/>
                <w:szCs w:val="18"/>
                <w:color w:val="auto"/>
              </w:rPr>
              <w:t>Supplemental disclosure of cash flow information:</w:t>
            </w:r>
          </w:p>
        </w:tc>
        <w:tc>
          <w:tcPr>
            <w:tcW w:w="56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6980" w:type="dxa"/>
            <w:vAlign w:val="bottom"/>
            <w:vMerge w:val="continue"/>
          </w:tcPr>
          <w:p>
            <w:pPr>
              <w:spacing w:after="0"/>
              <w:rPr>
                <w:sz w:val="20"/>
                <w:szCs w:val="20"/>
                <w:color w:val="auto"/>
              </w:rPr>
            </w:pPr>
          </w:p>
        </w:tc>
        <w:tc>
          <w:tcPr>
            <w:tcW w:w="56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6980" w:type="dxa"/>
            <w:vAlign w:val="bottom"/>
          </w:tcPr>
          <w:p>
            <w:pPr>
              <w:spacing w:after="0"/>
              <w:rPr>
                <w:sz w:val="2"/>
                <w:szCs w:val="2"/>
                <w:color w:val="auto"/>
              </w:rPr>
            </w:pPr>
          </w:p>
        </w:tc>
        <w:tc>
          <w:tcPr>
            <w:tcW w:w="56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5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98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Cash paid for income taxes</w:t>
            </w:r>
          </w:p>
        </w:tc>
        <w:tc>
          <w:tcPr>
            <w:tcW w:w="56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rPr>
              <w:t>$</w:t>
            </w:r>
          </w:p>
        </w:tc>
        <w:tc>
          <w:tcPr>
            <w:tcW w:w="158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1,695</w:t>
            </w:r>
          </w:p>
        </w:tc>
        <w:tc>
          <w:tcPr>
            <w:tcW w:w="1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rPr>
              <w:t>$</w:t>
            </w:r>
          </w:p>
        </w:tc>
        <w:tc>
          <w:tcPr>
            <w:tcW w:w="15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16,987</w:t>
            </w:r>
          </w:p>
        </w:tc>
        <w:tc>
          <w:tcPr>
            <w:tcW w:w="0" w:type="dxa"/>
            <w:vAlign w:val="bottom"/>
          </w:tcPr>
          <w:p>
            <w:pPr>
              <w:spacing w:after="0"/>
              <w:rPr>
                <w:sz w:val="1"/>
                <w:szCs w:val="1"/>
                <w:color w:val="auto"/>
              </w:rPr>
            </w:pPr>
          </w:p>
        </w:tc>
      </w:tr>
      <w:tr>
        <w:trPr>
          <w:trHeight w:val="243"/>
        </w:trPr>
        <w:tc>
          <w:tcPr>
            <w:tcW w:w="6980" w:type="dxa"/>
            <w:vAlign w:val="bottom"/>
          </w:tcPr>
          <w:p>
            <w:pPr>
              <w:ind w:left="200"/>
              <w:spacing w:after="0"/>
              <w:rPr>
                <w:sz w:val="20"/>
                <w:szCs w:val="20"/>
                <w:color w:val="auto"/>
              </w:rPr>
            </w:pPr>
            <w:r>
              <w:rPr>
                <w:rFonts w:ascii="Arial" w:cs="Arial" w:eastAsia="Arial" w:hAnsi="Arial"/>
                <w:sz w:val="18"/>
                <w:szCs w:val="18"/>
                <w:color w:val="auto"/>
              </w:rPr>
              <w:t>Acquisition of property and equipment through accounts payable</w:t>
            </w:r>
          </w:p>
        </w:tc>
        <w:tc>
          <w:tcPr>
            <w:tcW w:w="560" w:type="dxa"/>
            <w:vAlign w:val="bottom"/>
          </w:tcPr>
          <w:p>
            <w:pPr>
              <w:jc w:val="right"/>
              <w:ind w:right="230"/>
              <w:spacing w:after="0"/>
              <w:rPr>
                <w:sz w:val="20"/>
                <w:szCs w:val="20"/>
                <w:color w:val="auto"/>
              </w:rPr>
            </w:pPr>
            <w:r>
              <w:rPr>
                <w:rFonts w:ascii="Arial" w:cs="Arial" w:eastAsia="Arial" w:hAnsi="Arial"/>
                <w:sz w:val="18"/>
                <w:szCs w:val="18"/>
                <w:color w:val="auto"/>
              </w:rPr>
              <w:t>$</w:t>
            </w:r>
          </w:p>
        </w:tc>
        <w:tc>
          <w:tcPr>
            <w:tcW w:w="16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580" w:type="dxa"/>
            <w:vAlign w:val="bottom"/>
          </w:tcPr>
          <w:p>
            <w:pPr>
              <w:jc w:val="right"/>
              <w:ind w:right="250"/>
              <w:spacing w:after="0"/>
              <w:rPr>
                <w:sz w:val="20"/>
                <w:szCs w:val="20"/>
                <w:color w:val="auto"/>
              </w:rPr>
            </w:pPr>
            <w:r>
              <w:rPr>
                <w:rFonts w:ascii="Arial" w:cs="Arial" w:eastAsia="Arial" w:hAnsi="Arial"/>
                <w:sz w:val="18"/>
                <w:szCs w:val="18"/>
                <w:color w:val="auto"/>
              </w:rPr>
              <w:t>$</w:t>
            </w:r>
          </w:p>
        </w:tc>
        <w:tc>
          <w:tcPr>
            <w:tcW w:w="1560" w:type="dxa"/>
            <w:vAlign w:val="bottom"/>
          </w:tcPr>
          <w:p>
            <w:pPr>
              <w:jc w:val="right"/>
              <w:ind w:right="34"/>
              <w:spacing w:after="0"/>
              <w:rPr>
                <w:sz w:val="20"/>
                <w:szCs w:val="20"/>
                <w:color w:val="auto"/>
              </w:rPr>
            </w:pPr>
            <w:r>
              <w:rPr>
                <w:rFonts w:ascii="Arial" w:cs="Arial" w:eastAsia="Arial" w:hAnsi="Arial"/>
                <w:sz w:val="18"/>
                <w:szCs w:val="18"/>
                <w:color w:val="auto"/>
              </w:rPr>
              <w:t>150</w:t>
            </w:r>
          </w:p>
        </w:tc>
        <w:tc>
          <w:tcPr>
            <w:tcW w:w="0" w:type="dxa"/>
            <w:vAlign w:val="bottom"/>
          </w:tcPr>
          <w:p>
            <w:pPr>
              <w:spacing w:after="0"/>
              <w:rPr>
                <w:sz w:val="1"/>
                <w:szCs w:val="1"/>
                <w:color w:val="auto"/>
              </w:rPr>
            </w:pPr>
          </w:p>
        </w:tc>
      </w:tr>
      <w:tr>
        <w:trPr>
          <w:trHeight w:val="912"/>
        </w:trPr>
        <w:tc>
          <w:tcPr>
            <w:tcW w:w="69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820" w:type="dxa"/>
            <w:vAlign w:val="bottom"/>
            <w:gridSpan w:val="4"/>
          </w:tcPr>
          <w:p>
            <w:pPr>
              <w:jc w:val="right"/>
              <w:ind w:right="914"/>
              <w:spacing w:after="0"/>
              <w:rPr>
                <w:sz w:val="20"/>
                <w:szCs w:val="20"/>
                <w:color w:val="auto"/>
              </w:rPr>
            </w:pPr>
            <w:r>
              <w:rPr>
                <w:rFonts w:ascii="Arial" w:cs="Arial" w:eastAsia="Arial" w:hAnsi="Arial"/>
                <w:sz w:val="16"/>
                <w:szCs w:val="16"/>
                <w:b w:val="1"/>
                <w:bCs w:val="1"/>
                <w:color w:val="auto"/>
              </w:rPr>
              <w:t>Nine months ended September 30,</w:t>
            </w:r>
          </w:p>
        </w:tc>
        <w:tc>
          <w:tcPr>
            <w:tcW w:w="0" w:type="dxa"/>
            <w:vAlign w:val="bottom"/>
          </w:tcPr>
          <w:p>
            <w:pPr>
              <w:spacing w:after="0"/>
              <w:rPr>
                <w:sz w:val="1"/>
                <w:szCs w:val="1"/>
                <w:color w:val="auto"/>
              </w:rPr>
            </w:pPr>
          </w:p>
        </w:tc>
      </w:tr>
      <w:tr>
        <w:trPr>
          <w:trHeight w:val="33"/>
        </w:trPr>
        <w:tc>
          <w:tcPr>
            <w:tcW w:w="6980" w:type="dxa"/>
            <w:vAlign w:val="bottom"/>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1"/>
        </w:trPr>
        <w:tc>
          <w:tcPr>
            <w:tcW w:w="69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580" w:type="dxa"/>
            <w:vAlign w:val="bottom"/>
          </w:tcPr>
          <w:p>
            <w:pPr>
              <w:jc w:val="right"/>
              <w:ind w:right="835"/>
              <w:spacing w:after="0"/>
              <w:rPr>
                <w:sz w:val="20"/>
                <w:szCs w:val="20"/>
                <w:color w:val="auto"/>
              </w:rPr>
            </w:pPr>
            <w:r>
              <w:rPr>
                <w:rFonts w:ascii="Arial" w:cs="Arial" w:eastAsia="Arial" w:hAnsi="Arial"/>
                <w:sz w:val="16"/>
                <w:szCs w:val="16"/>
                <w:b w:val="1"/>
                <w:bCs w:val="1"/>
                <w:color w:val="auto"/>
              </w:rPr>
              <w:t>2014</w:t>
            </w:r>
          </w:p>
        </w:tc>
        <w:tc>
          <w:tcPr>
            <w:tcW w:w="1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560" w:type="dxa"/>
            <w:vAlign w:val="bottom"/>
          </w:tcPr>
          <w:p>
            <w:pPr>
              <w:jc w:val="right"/>
              <w:ind w:right="834"/>
              <w:spacing w:after="0"/>
              <w:rPr>
                <w:sz w:val="20"/>
                <w:szCs w:val="20"/>
                <w:color w:val="auto"/>
              </w:rPr>
            </w:pPr>
            <w:r>
              <w:rPr>
                <w:rFonts w:ascii="Arial" w:cs="Arial" w:eastAsia="Arial" w:hAnsi="Arial"/>
                <w:sz w:val="16"/>
                <w:szCs w:val="16"/>
                <w:b w:val="1"/>
                <w:bCs w:val="1"/>
                <w:color w:val="auto"/>
              </w:rPr>
              <w:t>2013</w:t>
            </w:r>
          </w:p>
        </w:tc>
        <w:tc>
          <w:tcPr>
            <w:tcW w:w="0" w:type="dxa"/>
            <w:vAlign w:val="bottom"/>
          </w:tcPr>
          <w:p>
            <w:pPr>
              <w:spacing w:after="0"/>
              <w:rPr>
                <w:sz w:val="1"/>
                <w:szCs w:val="1"/>
                <w:color w:val="auto"/>
              </w:rPr>
            </w:pPr>
          </w:p>
        </w:tc>
      </w:tr>
      <w:tr>
        <w:trPr>
          <w:trHeight w:val="33"/>
        </w:trPr>
        <w:tc>
          <w:tcPr>
            <w:tcW w:w="6980" w:type="dxa"/>
            <w:vAlign w:val="bottom"/>
            <w:tcBorders>
              <w:bottom w:val="single" w:sz="8" w:color="CCEEFF"/>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6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Supplemental schedule of non-cash investing and financing activities:</w:t>
            </w:r>
          </w:p>
        </w:tc>
        <w:tc>
          <w:tcPr>
            <w:tcW w:w="56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980" w:type="dxa"/>
            <w:vAlign w:val="bottom"/>
          </w:tcPr>
          <w:p>
            <w:pPr>
              <w:ind w:left="160"/>
              <w:spacing w:after="0"/>
              <w:rPr>
                <w:sz w:val="20"/>
                <w:szCs w:val="20"/>
                <w:color w:val="auto"/>
              </w:rPr>
            </w:pPr>
            <w:r>
              <w:rPr>
                <w:rFonts w:ascii="Arial" w:cs="Arial" w:eastAsia="Arial" w:hAnsi="Arial"/>
                <w:sz w:val="18"/>
                <w:szCs w:val="18"/>
                <w:color w:val="auto"/>
              </w:rPr>
              <w:t>Issuance of common stock in connection with acquisition of business</w:t>
            </w:r>
          </w:p>
        </w:tc>
        <w:tc>
          <w:tcPr>
            <w:tcW w:w="560" w:type="dxa"/>
            <w:vAlign w:val="bottom"/>
          </w:tcPr>
          <w:p>
            <w:pPr>
              <w:jc w:val="right"/>
              <w:ind w:right="350"/>
              <w:spacing w:after="0"/>
              <w:rPr>
                <w:sz w:val="20"/>
                <w:szCs w:val="20"/>
                <w:color w:val="auto"/>
              </w:rPr>
            </w:pPr>
            <w:r>
              <w:rPr>
                <w:rFonts w:ascii="Arial" w:cs="Arial" w:eastAsia="Arial" w:hAnsi="Arial"/>
                <w:sz w:val="18"/>
                <w:szCs w:val="18"/>
                <w:color w:val="auto"/>
                <w:w w:val="99"/>
              </w:rPr>
              <w:t>$</w:t>
            </w:r>
          </w:p>
        </w:tc>
        <w:tc>
          <w:tcPr>
            <w:tcW w:w="1580" w:type="dxa"/>
            <w:vAlign w:val="bottom"/>
          </w:tcPr>
          <w:p>
            <w:pPr>
              <w:jc w:val="right"/>
              <w:ind w:right="35"/>
              <w:spacing w:after="0"/>
              <w:rPr>
                <w:sz w:val="20"/>
                <w:szCs w:val="20"/>
                <w:color w:val="auto"/>
              </w:rPr>
            </w:pPr>
            <w:r>
              <w:rPr>
                <w:rFonts w:ascii="Arial" w:cs="Arial" w:eastAsia="Arial" w:hAnsi="Arial"/>
                <w:sz w:val="18"/>
                <w:szCs w:val="18"/>
                <w:color w:val="auto"/>
              </w:rPr>
              <w:t>1,679</w:t>
            </w:r>
          </w:p>
        </w:tc>
        <w:tc>
          <w:tcPr>
            <w:tcW w:w="100" w:type="dxa"/>
            <w:vAlign w:val="bottom"/>
          </w:tcPr>
          <w:p>
            <w:pPr>
              <w:spacing w:after="0"/>
              <w:rPr>
                <w:sz w:val="21"/>
                <w:szCs w:val="21"/>
                <w:color w:val="auto"/>
              </w:rPr>
            </w:pPr>
          </w:p>
        </w:tc>
        <w:tc>
          <w:tcPr>
            <w:tcW w:w="580" w:type="dxa"/>
            <w:vAlign w:val="bottom"/>
          </w:tcPr>
          <w:p>
            <w:pPr>
              <w:jc w:val="right"/>
              <w:ind w:right="370"/>
              <w:spacing w:after="0"/>
              <w:rPr>
                <w:sz w:val="20"/>
                <w:szCs w:val="20"/>
                <w:color w:val="auto"/>
              </w:rPr>
            </w:pPr>
            <w:r>
              <w:rPr>
                <w:rFonts w:ascii="Arial" w:cs="Arial" w:eastAsia="Arial" w:hAnsi="Arial"/>
                <w:sz w:val="18"/>
                <w:szCs w:val="18"/>
                <w:color w:val="auto"/>
                <w:w w:val="99"/>
              </w:rPr>
              <w:t>$</w:t>
            </w:r>
          </w:p>
        </w:tc>
        <w:tc>
          <w:tcPr>
            <w:tcW w:w="1560" w:type="dxa"/>
            <w:vAlign w:val="bottom"/>
          </w:tcPr>
          <w:p>
            <w:pPr>
              <w:jc w:val="right"/>
              <w:ind w:right="34"/>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229" w:lineRule="exact"/>
        <w:rPr>
          <w:sz w:val="20"/>
          <w:szCs w:val="20"/>
          <w:color w:val="auto"/>
        </w:rPr>
      </w:pPr>
    </w:p>
    <w:p>
      <w:pPr>
        <w:jc w:val="center"/>
        <w:ind w:right="-19"/>
        <w:spacing w:after="0"/>
        <w:rPr>
          <w:sz w:val="20"/>
          <w:szCs w:val="20"/>
          <w:color w:val="auto"/>
        </w:rPr>
      </w:pPr>
      <w:r>
        <w:rPr>
          <w:rFonts w:ascii="Arial" w:cs="Arial" w:eastAsia="Arial" w:hAnsi="Arial"/>
          <w:sz w:val="18"/>
          <w:szCs w:val="18"/>
          <w:i w:val="1"/>
          <w:iCs w:val="1"/>
          <w:color w:val="auto"/>
        </w:rPr>
        <w:t>See accompanying notes</w:t>
      </w:r>
    </w:p>
    <w:p>
      <w:pPr>
        <w:spacing w:after="0" w:line="200" w:lineRule="exact"/>
        <w:rPr>
          <w:sz w:val="20"/>
          <w:szCs w:val="20"/>
          <w:color w:val="auto"/>
        </w:rPr>
      </w:pPr>
    </w:p>
    <w:p>
      <w:pPr>
        <w:spacing w:after="0" w:line="26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00"/>
          </w:cols>
          <w:pgMar w:left="240" w:top="121" w:right="259" w:bottom="1440" w:gutter="0" w:footer="0" w:header="0"/>
        </w:sectPr>
      </w:pPr>
    </w:p>
    <w:bookmarkStart w:id="6" w:name="page7"/>
    <w:bookmarkEnd w:id="6"/>
    <w:p>
      <w:pPr>
        <w:jc w:val="center"/>
        <w:spacing w:after="0"/>
        <w:rPr>
          <w:sz w:val="20"/>
          <w:szCs w:val="20"/>
          <w:color w:val="auto"/>
        </w:rPr>
      </w:pPr>
      <w:r>
        <w:rPr>
          <w:rFonts w:ascii="Arial" w:cs="Arial" w:eastAsia="Arial" w:hAnsi="Arial"/>
          <w:sz w:val="18"/>
          <w:szCs w:val="18"/>
          <w:b w:val="1"/>
          <w:bCs w:val="1"/>
          <w:color w:val="auto"/>
        </w:rPr>
        <w:t>CLEARONE,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(Unaudited – Dollars in thousands)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ind w:left="340" w:hanging="332"/>
        <w:spacing w:after="0"/>
        <w:tabs>
          <w:tab w:leader="none" w:pos="340"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color w:val="auto"/>
        </w:rPr>
        <w:t>Business Description, Basis of Presentation and Significant Accounting Policies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0000FF"/>
        </w:rPr>
        <w:t>Business Description:</w:t>
      </w:r>
    </w:p>
    <w:p>
      <w:pPr>
        <w:spacing w:after="0" w:line="225"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ClearOne, Inc., together with its subsidiaries (collectively, “ClearOne” or the “Company”), is a global company that designs, develops and sells conferencing, collaboration, streaming and digital signage solutions for audio and visual communications. The performance and simplicity of its advanced comprehensive solutions offer unprecedented levels of functionality, reliability and scalability.</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0000FF"/>
        </w:rPr>
        <w:t>Basis of Presentation:</w:t>
      </w:r>
    </w:p>
    <w:p>
      <w:pPr>
        <w:spacing w:after="0" w:line="225" w:lineRule="exact"/>
        <w:rPr>
          <w:sz w:val="20"/>
          <w:szCs w:val="20"/>
          <w:color w:val="auto"/>
        </w:rPr>
      </w:pPr>
    </w:p>
    <w:p>
      <w:pPr>
        <w:ind w:right="460"/>
        <w:spacing w:after="0" w:line="216" w:lineRule="auto"/>
        <w:rPr>
          <w:sz w:val="20"/>
          <w:szCs w:val="20"/>
          <w:color w:val="auto"/>
        </w:rPr>
      </w:pPr>
      <w:r>
        <w:rPr>
          <w:rFonts w:ascii="Arial" w:cs="Arial" w:eastAsia="Arial" w:hAnsi="Arial"/>
          <w:sz w:val="18"/>
          <w:szCs w:val="18"/>
          <w:color w:val="auto"/>
        </w:rPr>
        <w:t>The fiscal year for ClearOne is the 12 months ending on December 31</w:t>
      </w:r>
      <w:r>
        <w:rPr>
          <w:rFonts w:ascii="Arial" w:cs="Arial" w:eastAsia="Arial" w:hAnsi="Arial"/>
          <w:sz w:val="25"/>
          <w:szCs w:val="25"/>
          <w:color w:val="auto"/>
          <w:vertAlign w:val="superscript"/>
        </w:rPr>
        <w:t>st</w:t>
      </w:r>
      <w:r>
        <w:rPr>
          <w:rFonts w:ascii="Arial" w:cs="Arial" w:eastAsia="Arial" w:hAnsi="Arial"/>
          <w:sz w:val="18"/>
          <w:szCs w:val="18"/>
          <w:color w:val="auto"/>
        </w:rPr>
        <w:t>. The consolidated financial statements include the accounts of ClearOne and its subsidiaries. All significant inter-company accounts and transactions have been eliminated.</w:t>
      </w:r>
    </w:p>
    <w:p>
      <w:pPr>
        <w:spacing w:after="0" w:line="203" w:lineRule="exact"/>
        <w:rPr>
          <w:sz w:val="20"/>
          <w:szCs w:val="20"/>
          <w:color w:val="auto"/>
        </w:rPr>
      </w:pPr>
    </w:p>
    <w:p>
      <w:pPr>
        <w:ind w:right="60"/>
        <w:spacing w:after="0" w:line="285" w:lineRule="auto"/>
        <w:rPr>
          <w:sz w:val="20"/>
          <w:szCs w:val="20"/>
          <w:color w:val="auto"/>
        </w:rPr>
      </w:pPr>
      <w:r>
        <w:rPr>
          <w:rFonts w:ascii="Arial" w:cs="Arial" w:eastAsia="Arial" w:hAnsi="Arial"/>
          <w:sz w:val="16"/>
          <w:szCs w:val="16"/>
          <w:color w:val="auto"/>
        </w:rPr>
        <w:t>These accompanying interim condensed consolidated financial statements for the three and nine months ended September 30, 2014 and 2013, respectively, have been prepared by the Company pursuant to the rules and regulations of the Securities and Exchange Commission (“SEC”) and are not audited. Certain information and footnote disclosures that are usually included in financial statements prepared in accordance with generally accepted accounting principles in the United States (“GAAP”) have been either condensed or omitted in accordance with SEC rules and regulations. The accompanying consolidated financial statements contain all adjustments, consisting of normal recurring accruals, necessary for a fair presentation of the Company's financial position as</w:t>
      </w:r>
    </w:p>
    <w:p>
      <w:pPr>
        <w:spacing w:after="0" w:line="2" w:lineRule="exact"/>
        <w:rPr>
          <w:sz w:val="20"/>
          <w:szCs w:val="20"/>
          <w:color w:val="auto"/>
        </w:rPr>
      </w:pPr>
    </w:p>
    <w:p>
      <w:pPr>
        <w:ind w:right="200"/>
        <w:spacing w:after="0" w:line="253" w:lineRule="auto"/>
        <w:rPr>
          <w:sz w:val="20"/>
          <w:szCs w:val="20"/>
          <w:color w:val="auto"/>
        </w:rPr>
      </w:pPr>
      <w:r>
        <w:rPr>
          <w:rFonts w:ascii="Arial" w:cs="Arial" w:eastAsia="Arial" w:hAnsi="Arial"/>
          <w:sz w:val="18"/>
          <w:szCs w:val="18"/>
          <w:color w:val="auto"/>
        </w:rPr>
        <w:t>of September 30, 2014 and December 31, 2013, the results of operations for the three and nine months ended September 30, 2014 and 2013, and the statements of cash flows for the nine months ended September 30, 2014 and 2013. The results of operations for the three and nine months ended September 30, 2014 and 2013 are not necessarily indicative of the results for a full-year period. These interim condensed consolidated financial statements should be read in conjunction with the financial statements included in the Company's Annual Report on Form 10-K for the year ended December 31, 2013 filed with the SEC on March 20, 2014.</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0000FF"/>
        </w:rPr>
        <w:t>Significant Accounting Policies:</w:t>
      </w:r>
    </w:p>
    <w:p>
      <w:pPr>
        <w:spacing w:after="0" w:line="225"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The significant accounting policies were described in Note 2 to the audited consolidated financial statements included in the Company’s Annual Report on Form 10-K for the year ended December 31, 2013. There have been no changes to these policies during the nine months ended September 30, 2014 that are of significance or potential significance to the Company.</w:t>
      </w:r>
    </w:p>
    <w:p>
      <w:pPr>
        <w:spacing w:after="0" w:line="181"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i w:val="1"/>
          <w:iCs w:val="1"/>
          <w:color w:val="auto"/>
        </w:rPr>
        <w:t xml:space="preserve">Warranty Costs </w:t>
      </w:r>
      <w:r>
        <w:rPr>
          <w:rFonts w:ascii="Arial" w:cs="Arial" w:eastAsia="Arial" w:hAnsi="Arial"/>
          <w:sz w:val="18"/>
          <w:szCs w:val="18"/>
          <w:color w:val="auto"/>
        </w:rPr>
        <w:t>– The Company accrues for warranty costs based on estimated warranty return rates and estimated costs to repair. Factors that affect the</w:t>
      </w:r>
      <w:r>
        <w:rPr>
          <w:rFonts w:ascii="Arial" w:cs="Arial" w:eastAsia="Arial" w:hAnsi="Arial"/>
          <w:sz w:val="18"/>
          <w:szCs w:val="18"/>
          <w:i w:val="1"/>
          <w:iCs w:val="1"/>
          <w:color w:val="auto"/>
        </w:rPr>
        <w:t xml:space="preserve"> </w:t>
      </w:r>
      <w:r>
        <w:rPr>
          <w:rFonts w:ascii="Arial" w:cs="Arial" w:eastAsia="Arial" w:hAnsi="Arial"/>
          <w:sz w:val="18"/>
          <w:szCs w:val="18"/>
          <w:color w:val="auto"/>
        </w:rPr>
        <w:t>Company’s warranty liability include the number of units sold, historical and anticipated rates of warranty returns, and repair cost. The Company reviews the adequacy of its recorded warranty accrual on a quarterly basis.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The details of changes in the Company’s warranty accrual are as follows: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020" w:type="dxa"/>
            <w:vAlign w:val="bottom"/>
          </w:tcPr>
          <w:p>
            <w:pPr>
              <w:spacing w:after="0"/>
              <w:rPr>
                <w:sz w:val="18"/>
                <w:szCs w:val="18"/>
                <w:color w:val="auto"/>
              </w:rPr>
            </w:pPr>
          </w:p>
        </w:tc>
        <w:tc>
          <w:tcPr>
            <w:tcW w:w="29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960" w:type="dxa"/>
            <w:vAlign w:val="bottom"/>
            <w:gridSpan w:val="2"/>
          </w:tcPr>
          <w:p>
            <w:pPr>
              <w:ind w:left="80"/>
              <w:spacing w:after="0"/>
              <w:rPr>
                <w:sz w:val="20"/>
                <w:szCs w:val="20"/>
                <w:color w:val="auto"/>
              </w:rPr>
            </w:pPr>
            <w:r>
              <w:rPr>
                <w:rFonts w:ascii="Arial" w:cs="Arial" w:eastAsia="Arial" w:hAnsi="Arial"/>
                <w:sz w:val="16"/>
                <w:szCs w:val="16"/>
                <w:b w:val="1"/>
                <w:bCs w:val="1"/>
                <w:color w:val="auto"/>
              </w:rPr>
              <w:t>September 30, 2014</w:t>
            </w:r>
          </w:p>
        </w:tc>
        <w:tc>
          <w:tcPr>
            <w:tcW w:w="320" w:type="dxa"/>
            <w:vAlign w:val="bottom"/>
          </w:tcPr>
          <w:p>
            <w:pPr>
              <w:spacing w:after="0"/>
              <w:rPr>
                <w:sz w:val="18"/>
                <w:szCs w:val="18"/>
                <w:color w:val="auto"/>
              </w:rPr>
            </w:pPr>
          </w:p>
        </w:tc>
        <w:tc>
          <w:tcPr>
            <w:tcW w:w="1820" w:type="dxa"/>
            <w:vAlign w:val="bottom"/>
          </w:tcPr>
          <w:p>
            <w:pPr>
              <w:jc w:val="right"/>
              <w:ind w:right="332"/>
              <w:spacing w:after="0"/>
              <w:rPr>
                <w:sz w:val="20"/>
                <w:szCs w:val="20"/>
                <w:color w:val="auto"/>
              </w:rPr>
            </w:pPr>
            <w:r>
              <w:rPr>
                <w:rFonts w:ascii="Arial" w:cs="Arial" w:eastAsia="Arial" w:hAnsi="Arial"/>
                <w:sz w:val="16"/>
                <w:szCs w:val="16"/>
                <w:b w:val="1"/>
                <w:bCs w:val="1"/>
                <w:color w:val="auto"/>
                <w:w w:val="95"/>
              </w:rPr>
              <w:t>December 31, 2013</w:t>
            </w:r>
          </w:p>
        </w:tc>
        <w:tc>
          <w:tcPr>
            <w:tcW w:w="0" w:type="dxa"/>
            <w:vAlign w:val="bottom"/>
          </w:tcPr>
          <w:p>
            <w:pPr>
              <w:spacing w:after="0"/>
              <w:rPr>
                <w:sz w:val="1"/>
                <w:szCs w:val="1"/>
                <w:color w:val="auto"/>
              </w:rPr>
            </w:pPr>
          </w:p>
        </w:tc>
      </w:tr>
      <w:tr>
        <w:trPr>
          <w:trHeight w:val="33"/>
        </w:trPr>
        <w:tc>
          <w:tcPr>
            <w:tcW w:w="4020" w:type="dxa"/>
            <w:vAlign w:val="bottom"/>
          </w:tcPr>
          <w:p>
            <w:pPr>
              <w:spacing w:after="0"/>
              <w:rPr>
                <w:sz w:val="2"/>
                <w:szCs w:val="2"/>
                <w:color w:val="auto"/>
              </w:rPr>
            </w:pPr>
          </w:p>
        </w:tc>
        <w:tc>
          <w:tcPr>
            <w:tcW w:w="298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020" w:type="dxa"/>
            <w:vAlign w:val="bottom"/>
          </w:tcPr>
          <w:p>
            <w:pPr>
              <w:ind w:left="40"/>
              <w:spacing w:after="0"/>
              <w:rPr>
                <w:sz w:val="20"/>
                <w:szCs w:val="20"/>
                <w:color w:val="auto"/>
              </w:rPr>
            </w:pPr>
            <w:r>
              <w:rPr>
                <w:rFonts w:ascii="Arial" w:cs="Arial" w:eastAsia="Arial" w:hAnsi="Arial"/>
                <w:sz w:val="18"/>
                <w:szCs w:val="18"/>
                <w:color w:val="auto"/>
              </w:rPr>
              <w:t>Balance at the beginning of year</w:t>
            </w:r>
          </w:p>
        </w:tc>
        <w:tc>
          <w:tcPr>
            <w:tcW w:w="330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840" w:type="dxa"/>
            <w:vAlign w:val="bottom"/>
          </w:tcPr>
          <w:p>
            <w:pPr>
              <w:jc w:val="right"/>
              <w:ind w:right="12"/>
              <w:spacing w:after="0"/>
              <w:rPr>
                <w:sz w:val="20"/>
                <w:szCs w:val="20"/>
                <w:color w:val="auto"/>
              </w:rPr>
            </w:pPr>
            <w:r>
              <w:rPr>
                <w:rFonts w:ascii="Arial" w:cs="Arial" w:eastAsia="Arial" w:hAnsi="Arial"/>
                <w:sz w:val="18"/>
                <w:szCs w:val="18"/>
                <w:color w:val="auto"/>
              </w:rPr>
              <w:t>338</w:t>
            </w:r>
          </w:p>
        </w:tc>
        <w:tc>
          <w:tcPr>
            <w:tcW w:w="120" w:type="dxa"/>
            <w:vAlign w:val="bottom"/>
          </w:tcPr>
          <w:p>
            <w:pPr>
              <w:spacing w:after="0"/>
              <w:rPr>
                <w:sz w:val="20"/>
                <w:szCs w:val="20"/>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rPr>
              <w:t>$</w:t>
            </w:r>
          </w:p>
        </w:tc>
        <w:tc>
          <w:tcPr>
            <w:tcW w:w="1820" w:type="dxa"/>
            <w:vAlign w:val="bottom"/>
          </w:tcPr>
          <w:p>
            <w:pPr>
              <w:jc w:val="right"/>
              <w:ind w:right="12"/>
              <w:spacing w:after="0"/>
              <w:rPr>
                <w:sz w:val="20"/>
                <w:szCs w:val="20"/>
                <w:color w:val="auto"/>
              </w:rPr>
            </w:pPr>
            <w:r>
              <w:rPr>
                <w:rFonts w:ascii="Arial" w:cs="Arial" w:eastAsia="Arial" w:hAnsi="Arial"/>
                <w:sz w:val="18"/>
                <w:szCs w:val="18"/>
                <w:color w:val="auto"/>
              </w:rPr>
              <w:t>385</w:t>
            </w:r>
          </w:p>
        </w:tc>
        <w:tc>
          <w:tcPr>
            <w:tcW w:w="0" w:type="dxa"/>
            <w:vAlign w:val="bottom"/>
          </w:tcPr>
          <w:p>
            <w:pPr>
              <w:spacing w:after="0"/>
              <w:rPr>
                <w:sz w:val="1"/>
                <w:szCs w:val="1"/>
                <w:color w:val="auto"/>
              </w:rPr>
            </w:pPr>
          </w:p>
        </w:tc>
      </w:tr>
      <w:tr>
        <w:trPr>
          <w:trHeight w:val="27"/>
        </w:trPr>
        <w:tc>
          <w:tcPr>
            <w:tcW w:w="4020" w:type="dxa"/>
            <w:vAlign w:val="bottom"/>
          </w:tcPr>
          <w:p>
            <w:pPr>
              <w:spacing w:after="0"/>
              <w:rPr>
                <w:sz w:val="2"/>
                <w:szCs w:val="2"/>
                <w:color w:val="auto"/>
              </w:rPr>
            </w:pPr>
          </w:p>
        </w:tc>
        <w:tc>
          <w:tcPr>
            <w:tcW w:w="29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2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Warranty accruals/additions</w:t>
            </w:r>
          </w:p>
        </w:tc>
        <w:tc>
          <w:tcPr>
            <w:tcW w:w="298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8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374</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8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433</w:t>
            </w:r>
          </w:p>
        </w:tc>
        <w:tc>
          <w:tcPr>
            <w:tcW w:w="0" w:type="dxa"/>
            <w:vAlign w:val="bottom"/>
          </w:tcPr>
          <w:p>
            <w:pPr>
              <w:spacing w:after="0"/>
              <w:rPr>
                <w:sz w:val="1"/>
                <w:szCs w:val="1"/>
                <w:color w:val="auto"/>
              </w:rPr>
            </w:pPr>
          </w:p>
        </w:tc>
      </w:tr>
      <w:tr>
        <w:trPr>
          <w:trHeight w:val="243"/>
        </w:trPr>
        <w:tc>
          <w:tcPr>
            <w:tcW w:w="4020" w:type="dxa"/>
            <w:vAlign w:val="bottom"/>
          </w:tcPr>
          <w:p>
            <w:pPr>
              <w:ind w:left="220"/>
              <w:spacing w:after="0"/>
              <w:rPr>
                <w:sz w:val="20"/>
                <w:szCs w:val="20"/>
                <w:color w:val="auto"/>
              </w:rPr>
            </w:pPr>
            <w:r>
              <w:rPr>
                <w:rFonts w:ascii="Arial" w:cs="Arial" w:eastAsia="Arial" w:hAnsi="Arial"/>
                <w:sz w:val="18"/>
                <w:szCs w:val="18"/>
                <w:color w:val="auto"/>
              </w:rPr>
              <w:t>Warranty usage</w:t>
            </w:r>
          </w:p>
        </w:tc>
        <w:tc>
          <w:tcPr>
            <w:tcW w:w="29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840" w:type="dxa"/>
            <w:vAlign w:val="bottom"/>
          </w:tcPr>
          <w:p>
            <w:pPr>
              <w:jc w:val="right"/>
              <w:spacing w:after="0"/>
              <w:rPr>
                <w:sz w:val="20"/>
                <w:szCs w:val="20"/>
                <w:color w:val="auto"/>
              </w:rPr>
            </w:pPr>
            <w:r>
              <w:rPr>
                <w:rFonts w:ascii="Arial" w:cs="Arial" w:eastAsia="Arial" w:hAnsi="Arial"/>
                <w:sz w:val="18"/>
                <w:szCs w:val="18"/>
                <w:color w:val="auto"/>
              </w:rPr>
              <w:t>(383)</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820" w:type="dxa"/>
            <w:vAlign w:val="bottom"/>
          </w:tcPr>
          <w:p>
            <w:pPr>
              <w:jc w:val="right"/>
              <w:spacing w:after="0"/>
              <w:rPr>
                <w:sz w:val="20"/>
                <w:szCs w:val="20"/>
                <w:color w:val="auto"/>
              </w:rPr>
            </w:pPr>
            <w:r>
              <w:rPr>
                <w:rFonts w:ascii="Arial" w:cs="Arial" w:eastAsia="Arial" w:hAnsi="Arial"/>
                <w:sz w:val="18"/>
                <w:szCs w:val="18"/>
                <w:color w:val="auto"/>
              </w:rPr>
              <w:t>(480)</w:t>
            </w:r>
          </w:p>
        </w:tc>
        <w:tc>
          <w:tcPr>
            <w:tcW w:w="0" w:type="dxa"/>
            <w:vAlign w:val="bottom"/>
          </w:tcPr>
          <w:p>
            <w:pPr>
              <w:spacing w:after="0"/>
              <w:rPr>
                <w:sz w:val="1"/>
                <w:szCs w:val="1"/>
                <w:color w:val="auto"/>
              </w:rPr>
            </w:pPr>
          </w:p>
        </w:tc>
      </w:tr>
      <w:tr>
        <w:trPr>
          <w:trHeight w:val="27"/>
        </w:trPr>
        <w:tc>
          <w:tcPr>
            <w:tcW w:w="4020" w:type="dxa"/>
            <w:vAlign w:val="bottom"/>
            <w:tcBorders>
              <w:bottom w:val="single" w:sz="8" w:color="CCEEFF"/>
            </w:tcBorders>
          </w:tcPr>
          <w:p>
            <w:pPr>
              <w:spacing w:after="0"/>
              <w:rPr>
                <w:sz w:val="2"/>
                <w:szCs w:val="2"/>
                <w:color w:val="auto"/>
              </w:rPr>
            </w:pPr>
          </w:p>
        </w:tc>
        <w:tc>
          <w:tcPr>
            <w:tcW w:w="29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020" w:type="dxa"/>
            <w:vAlign w:val="bottom"/>
            <w:shd w:val="clear" w:color="auto" w:fill="CCEEFF"/>
          </w:tcPr>
          <w:p>
            <w:pPr>
              <w:ind w:left="40"/>
              <w:spacing w:after="0"/>
              <w:rPr>
                <w:sz w:val="20"/>
                <w:szCs w:val="20"/>
                <w:color w:val="auto"/>
              </w:rPr>
            </w:pPr>
            <w:r>
              <w:rPr>
                <w:rFonts w:ascii="Arial" w:cs="Arial" w:eastAsia="Arial" w:hAnsi="Arial"/>
                <w:sz w:val="18"/>
                <w:szCs w:val="18"/>
                <w:color w:val="auto"/>
              </w:rPr>
              <w:t>Balance at end of period</w:t>
            </w:r>
          </w:p>
        </w:tc>
        <w:tc>
          <w:tcPr>
            <w:tcW w:w="33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84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329</w:t>
            </w:r>
          </w:p>
        </w:tc>
        <w:tc>
          <w:tcPr>
            <w:tcW w:w="120" w:type="dxa"/>
            <w:vAlign w:val="bottom"/>
            <w:shd w:val="clear" w:color="auto" w:fill="CCEEFF"/>
          </w:tcPr>
          <w:p>
            <w:pPr>
              <w:spacing w:after="0"/>
              <w:rPr>
                <w:sz w:val="22"/>
                <w:szCs w:val="22"/>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338</w:t>
            </w:r>
          </w:p>
        </w:tc>
        <w:tc>
          <w:tcPr>
            <w:tcW w:w="0" w:type="dxa"/>
            <w:vAlign w:val="bottom"/>
          </w:tcPr>
          <w:p>
            <w:pPr>
              <w:spacing w:after="0"/>
              <w:rPr>
                <w:sz w:val="1"/>
                <w:szCs w:val="1"/>
                <w:color w:val="auto"/>
              </w:rPr>
            </w:pPr>
          </w:p>
        </w:tc>
      </w:tr>
      <w:tr>
        <w:trPr>
          <w:trHeight w:val="20"/>
        </w:trPr>
        <w:tc>
          <w:tcPr>
            <w:tcW w:w="4020" w:type="dxa"/>
            <w:vAlign w:val="bottom"/>
            <w:tcBorders>
              <w:top w:val="single" w:sz="8" w:color="CCEEFF"/>
            </w:tcBorders>
          </w:tcPr>
          <w:p>
            <w:pPr>
              <w:spacing w:after="0" w:line="20" w:lineRule="exact"/>
              <w:rPr>
                <w:sz w:val="1"/>
                <w:szCs w:val="1"/>
                <w:color w:val="auto"/>
              </w:rPr>
            </w:pPr>
          </w:p>
        </w:tc>
        <w:tc>
          <w:tcPr>
            <w:tcW w:w="2980" w:type="dxa"/>
            <w:vAlign w:val="bottom"/>
            <w:tcBorders>
              <w:top w:val="single" w:sz="8" w:color="CCEEFF"/>
              <w:bottom w:val="single" w:sz="8" w:color="CCEEFF"/>
            </w:tcBorders>
            <w:vMerge w:val="restart"/>
          </w:tcPr>
          <w:p>
            <w:pPr>
              <w:jc w:val="right"/>
              <w:ind w:right="1150"/>
              <w:spacing w:after="0"/>
              <w:rPr>
                <w:sz w:val="20"/>
                <w:szCs w:val="20"/>
                <w:color w:val="auto"/>
              </w:rPr>
            </w:pPr>
            <w:r>
              <w:rPr>
                <w:rFonts w:ascii="Arial" w:cs="Arial" w:eastAsia="Arial" w:hAnsi="Arial"/>
                <w:sz w:val="18"/>
                <w:szCs w:val="18"/>
                <w:color w:val="auto"/>
              </w:rPr>
              <w:t>5</w:t>
            </w:r>
          </w:p>
        </w:tc>
        <w:tc>
          <w:tcPr>
            <w:tcW w:w="320" w:type="dxa"/>
            <w:vAlign w:val="bottom"/>
            <w:tcBorders>
              <w:top w:val="single" w:sz="8" w:color="auto"/>
              <w:bottom w:val="single" w:sz="8" w:color="auto"/>
            </w:tcBorders>
          </w:tcPr>
          <w:p>
            <w:pPr>
              <w:spacing w:after="0" w:line="20" w:lineRule="exact"/>
              <w:rPr>
                <w:sz w:val="1"/>
                <w:szCs w:val="1"/>
                <w:color w:val="auto"/>
              </w:rPr>
            </w:pPr>
          </w:p>
        </w:tc>
        <w:tc>
          <w:tcPr>
            <w:tcW w:w="18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8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62"/>
        </w:trPr>
        <w:tc>
          <w:tcPr>
            <w:tcW w:w="4020" w:type="dxa"/>
            <w:vAlign w:val="bottom"/>
          </w:tcPr>
          <w:p>
            <w:pPr>
              <w:spacing w:after="0"/>
              <w:rPr>
                <w:sz w:val="24"/>
                <w:szCs w:val="24"/>
                <w:color w:val="auto"/>
              </w:rPr>
            </w:pPr>
          </w:p>
        </w:tc>
        <w:tc>
          <w:tcPr>
            <w:tcW w:w="2980" w:type="dxa"/>
            <w:vAlign w:val="bottom"/>
            <w:vMerge w:val="continue"/>
          </w:tcPr>
          <w:p>
            <w:pPr>
              <w:spacing w:after="0"/>
              <w:rPr>
                <w:sz w:val="24"/>
                <w:szCs w:val="24"/>
                <w:color w:val="auto"/>
              </w:rPr>
            </w:pPr>
          </w:p>
        </w:tc>
        <w:tc>
          <w:tcPr>
            <w:tcW w:w="32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1" w:right="239" w:bottom="1440" w:gutter="0" w:footer="0" w:header="0"/>
        </w:sectPr>
      </w:pPr>
    </w:p>
    <w:bookmarkStart w:id="7" w:name="page8"/>
    <w:bookmarkEnd w:id="7"/>
    <w:p>
      <w:pPr>
        <w:jc w:val="center"/>
        <w:spacing w:after="0"/>
        <w:rPr>
          <w:sz w:val="20"/>
          <w:szCs w:val="20"/>
          <w:color w:val="auto"/>
        </w:rPr>
      </w:pPr>
      <w:r>
        <w:rPr>
          <w:rFonts w:ascii="Arial" w:cs="Arial" w:eastAsia="Arial" w:hAnsi="Arial"/>
          <w:sz w:val="18"/>
          <w:szCs w:val="18"/>
          <w:b w:val="1"/>
          <w:bCs w:val="1"/>
          <w:color w:val="auto"/>
        </w:rPr>
        <w:t>CLEARONE,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(Unaudited – Dollars in thousands)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xml:space="preserve">Earnings Per Share </w:t>
      </w:r>
      <w:r>
        <w:rPr>
          <w:rFonts w:ascii="Arial" w:cs="Arial" w:eastAsia="Arial" w:hAnsi="Arial"/>
          <w:sz w:val="18"/>
          <w:szCs w:val="18"/>
          <w:color w:val="auto"/>
        </w:rPr>
        <w:t>– The following table sets forth the computation of basic and diluted earnings per common share:</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6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180" w:type="dxa"/>
            <w:vAlign w:val="bottom"/>
            <w:gridSpan w:val="5"/>
          </w:tcPr>
          <w:p>
            <w:pPr>
              <w:ind w:left="160"/>
              <w:spacing w:after="0"/>
              <w:rPr>
                <w:sz w:val="20"/>
                <w:szCs w:val="20"/>
                <w:color w:val="auto"/>
              </w:rPr>
            </w:pPr>
            <w:r>
              <w:rPr>
                <w:rFonts w:ascii="Arial" w:cs="Arial" w:eastAsia="Arial" w:hAnsi="Arial"/>
                <w:sz w:val="16"/>
                <w:szCs w:val="16"/>
                <w:b w:val="1"/>
                <w:bCs w:val="1"/>
                <w:color w:val="auto"/>
              </w:rPr>
              <w:t>Three months ended September 30,</w:t>
            </w:r>
          </w:p>
        </w:tc>
        <w:tc>
          <w:tcPr>
            <w:tcW w:w="320" w:type="dxa"/>
            <w:vAlign w:val="bottom"/>
          </w:tcPr>
          <w:p>
            <w:pPr>
              <w:spacing w:after="0"/>
              <w:rPr>
                <w:sz w:val="18"/>
                <w:szCs w:val="18"/>
                <w:color w:val="auto"/>
              </w:rPr>
            </w:pPr>
          </w:p>
        </w:tc>
        <w:tc>
          <w:tcPr>
            <w:tcW w:w="3020" w:type="dxa"/>
            <w:vAlign w:val="bottom"/>
            <w:gridSpan w:val="4"/>
          </w:tcPr>
          <w:p>
            <w:pPr>
              <w:jc w:val="right"/>
              <w:ind w:right="391"/>
              <w:spacing w:after="0"/>
              <w:rPr>
                <w:sz w:val="20"/>
                <w:szCs w:val="20"/>
                <w:color w:val="auto"/>
              </w:rPr>
            </w:pPr>
            <w:r>
              <w:rPr>
                <w:rFonts w:ascii="Arial" w:cs="Arial" w:eastAsia="Arial" w:hAnsi="Arial"/>
                <w:sz w:val="16"/>
                <w:szCs w:val="16"/>
                <w:b w:val="1"/>
                <w:bCs w:val="1"/>
                <w:color w:val="auto"/>
                <w:w w:val="96"/>
              </w:rPr>
              <w:t>Nine months ended September 30,</w:t>
            </w:r>
          </w:p>
        </w:tc>
      </w:tr>
      <w:tr>
        <w:trPr>
          <w:trHeight w:val="33"/>
        </w:trPr>
        <w:tc>
          <w:tcPr>
            <w:tcW w:w="46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31"/>
        </w:trPr>
        <w:tc>
          <w:tcPr>
            <w:tcW w:w="46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300" w:type="dxa"/>
            <w:vAlign w:val="bottom"/>
          </w:tcPr>
          <w:p>
            <w:pPr>
              <w:jc w:val="right"/>
              <w:ind w:right="552"/>
              <w:spacing w:after="0"/>
              <w:rPr>
                <w:sz w:val="20"/>
                <w:szCs w:val="20"/>
                <w:color w:val="auto"/>
              </w:rPr>
            </w:pPr>
            <w:r>
              <w:rPr>
                <w:rFonts w:ascii="Arial" w:cs="Arial" w:eastAsia="Arial" w:hAnsi="Arial"/>
                <w:sz w:val="16"/>
                <w:szCs w:val="16"/>
                <w:b w:val="1"/>
                <w:bCs w:val="1"/>
                <w:color w:val="auto"/>
              </w:rPr>
              <w:t>2014</w:t>
            </w:r>
          </w:p>
        </w:tc>
        <w:tc>
          <w:tcPr>
            <w:tcW w:w="1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220" w:type="dxa"/>
            <w:vAlign w:val="bottom"/>
          </w:tcPr>
          <w:p>
            <w:pPr>
              <w:jc w:val="right"/>
              <w:ind w:right="571"/>
              <w:spacing w:after="0"/>
              <w:rPr>
                <w:sz w:val="20"/>
                <w:szCs w:val="20"/>
                <w:color w:val="auto"/>
              </w:rPr>
            </w:pPr>
            <w:r>
              <w:rPr>
                <w:rFonts w:ascii="Arial" w:cs="Arial" w:eastAsia="Arial" w:hAnsi="Arial"/>
                <w:sz w:val="16"/>
                <w:szCs w:val="16"/>
                <w:b w:val="1"/>
                <w:bCs w:val="1"/>
                <w:color w:val="auto"/>
              </w:rPr>
              <w:t>2013</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300" w:type="dxa"/>
            <w:vAlign w:val="bottom"/>
          </w:tcPr>
          <w:p>
            <w:pPr>
              <w:jc w:val="right"/>
              <w:ind w:right="572"/>
              <w:spacing w:after="0"/>
              <w:rPr>
                <w:sz w:val="20"/>
                <w:szCs w:val="20"/>
                <w:color w:val="auto"/>
              </w:rPr>
            </w:pPr>
            <w:r>
              <w:rPr>
                <w:rFonts w:ascii="Arial" w:cs="Arial" w:eastAsia="Arial" w:hAnsi="Arial"/>
                <w:sz w:val="16"/>
                <w:szCs w:val="16"/>
                <w:b w:val="1"/>
                <w:bCs w:val="1"/>
                <w:color w:val="auto"/>
              </w:rPr>
              <w:t>2014</w:t>
            </w: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220" w:type="dxa"/>
            <w:vAlign w:val="bottom"/>
          </w:tcPr>
          <w:p>
            <w:pPr>
              <w:jc w:val="right"/>
              <w:ind w:right="551"/>
              <w:spacing w:after="0"/>
              <w:rPr>
                <w:sz w:val="20"/>
                <w:szCs w:val="20"/>
                <w:color w:val="auto"/>
              </w:rPr>
            </w:pPr>
            <w:r>
              <w:rPr>
                <w:rFonts w:ascii="Arial" w:cs="Arial" w:eastAsia="Arial" w:hAnsi="Arial"/>
                <w:sz w:val="16"/>
                <w:szCs w:val="16"/>
                <w:b w:val="1"/>
                <w:bCs w:val="1"/>
                <w:color w:val="auto"/>
              </w:rPr>
              <w:t>2013</w:t>
            </w:r>
          </w:p>
        </w:tc>
      </w:tr>
      <w:tr>
        <w:trPr>
          <w:trHeight w:val="33"/>
        </w:trPr>
        <w:tc>
          <w:tcPr>
            <w:tcW w:w="46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44"/>
        </w:trPr>
        <w:tc>
          <w:tcPr>
            <w:tcW w:w="46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Numerator:</w:t>
            </w:r>
          </w:p>
        </w:tc>
        <w:tc>
          <w:tcPr>
            <w:tcW w:w="3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r>
      <w:tr>
        <w:trPr>
          <w:trHeight w:val="243"/>
        </w:trPr>
        <w:tc>
          <w:tcPr>
            <w:tcW w:w="4600" w:type="dxa"/>
            <w:vAlign w:val="bottom"/>
          </w:tcPr>
          <w:p>
            <w:pPr>
              <w:ind w:left="380"/>
              <w:spacing w:after="0"/>
              <w:rPr>
                <w:sz w:val="20"/>
                <w:szCs w:val="20"/>
                <w:color w:val="auto"/>
              </w:rPr>
            </w:pPr>
            <w:r>
              <w:rPr>
                <w:rFonts w:ascii="Arial" w:cs="Arial" w:eastAsia="Arial" w:hAnsi="Arial"/>
                <w:sz w:val="18"/>
                <w:szCs w:val="18"/>
                <w:color w:val="auto"/>
              </w:rPr>
              <w:t>Net income</w:t>
            </w:r>
          </w:p>
        </w:tc>
        <w:tc>
          <w:tcPr>
            <w:tcW w:w="30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1300" w:type="dxa"/>
            <w:vAlign w:val="bottom"/>
          </w:tcPr>
          <w:p>
            <w:pPr>
              <w:jc w:val="right"/>
              <w:ind w:right="12"/>
              <w:spacing w:after="0"/>
              <w:rPr>
                <w:sz w:val="20"/>
                <w:szCs w:val="20"/>
                <w:color w:val="auto"/>
              </w:rPr>
            </w:pPr>
            <w:r>
              <w:rPr>
                <w:rFonts w:ascii="Arial" w:cs="Arial" w:eastAsia="Arial" w:hAnsi="Arial"/>
                <w:sz w:val="18"/>
                <w:szCs w:val="18"/>
                <w:color w:val="auto"/>
              </w:rPr>
              <w:t>1,646</w:t>
            </w:r>
          </w:p>
        </w:tc>
        <w:tc>
          <w:tcPr>
            <w:tcW w:w="120" w:type="dxa"/>
            <w:vAlign w:val="bottom"/>
          </w:tcPr>
          <w:p>
            <w:pPr>
              <w:spacing w:after="0"/>
              <w:rPr>
                <w:sz w:val="21"/>
                <w:szCs w:val="21"/>
                <w:color w:val="auto"/>
              </w:rPr>
            </w:pPr>
          </w:p>
        </w:tc>
        <w:tc>
          <w:tcPr>
            <w:tcW w:w="420" w:type="dxa"/>
            <w:vAlign w:val="bottom"/>
          </w:tcPr>
          <w:p>
            <w:pPr>
              <w:jc w:val="right"/>
              <w:ind w:right="190"/>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1,663</w:t>
            </w:r>
          </w:p>
        </w:tc>
        <w:tc>
          <w:tcPr>
            <w:tcW w:w="12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ind w:right="32"/>
              <w:spacing w:after="0"/>
              <w:rPr>
                <w:sz w:val="20"/>
                <w:szCs w:val="20"/>
                <w:color w:val="auto"/>
              </w:rPr>
            </w:pPr>
            <w:r>
              <w:rPr>
                <w:rFonts w:ascii="Arial" w:cs="Arial" w:eastAsia="Arial" w:hAnsi="Arial"/>
                <w:sz w:val="18"/>
                <w:szCs w:val="18"/>
                <w:color w:val="auto"/>
              </w:rPr>
              <w:t>3,070</w:t>
            </w:r>
          </w:p>
        </w:tc>
        <w:tc>
          <w:tcPr>
            <w:tcW w:w="100" w:type="dxa"/>
            <w:vAlign w:val="bottom"/>
          </w:tcPr>
          <w:p>
            <w:pPr>
              <w:spacing w:after="0"/>
              <w:rPr>
                <w:sz w:val="21"/>
                <w:szCs w:val="21"/>
                <w:color w:val="auto"/>
              </w:rPr>
            </w:pPr>
          </w:p>
        </w:tc>
        <w:tc>
          <w:tcPr>
            <w:tcW w:w="400" w:type="dxa"/>
            <w:vAlign w:val="bottom"/>
          </w:tcPr>
          <w:p>
            <w:pPr>
              <w:jc w:val="right"/>
              <w:ind w:right="170"/>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3,438</w:t>
            </w:r>
          </w:p>
        </w:tc>
      </w:tr>
      <w:tr>
        <w:trPr>
          <w:trHeight w:val="27"/>
        </w:trPr>
        <w:tc>
          <w:tcPr>
            <w:tcW w:w="46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46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Denominator:</w:t>
            </w:r>
          </w:p>
        </w:tc>
        <w:tc>
          <w:tcPr>
            <w:tcW w:w="3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r>
      <w:tr>
        <w:trPr>
          <w:trHeight w:val="243"/>
        </w:trPr>
        <w:tc>
          <w:tcPr>
            <w:tcW w:w="4600" w:type="dxa"/>
            <w:vAlign w:val="bottom"/>
          </w:tcPr>
          <w:p>
            <w:pPr>
              <w:ind w:left="120"/>
              <w:spacing w:after="0"/>
              <w:rPr>
                <w:sz w:val="20"/>
                <w:szCs w:val="20"/>
                <w:color w:val="auto"/>
              </w:rPr>
            </w:pPr>
            <w:r>
              <w:rPr>
                <w:rFonts w:ascii="Arial" w:cs="Arial" w:eastAsia="Arial" w:hAnsi="Arial"/>
                <w:sz w:val="18"/>
                <w:szCs w:val="18"/>
                <w:color w:val="auto"/>
              </w:rPr>
              <w:t>Basic weighted average shares outstanding</w:t>
            </w:r>
          </w:p>
        </w:tc>
        <w:tc>
          <w:tcPr>
            <w:tcW w:w="300" w:type="dxa"/>
            <w:vAlign w:val="bottom"/>
          </w:tcPr>
          <w:p>
            <w:pPr>
              <w:spacing w:after="0"/>
              <w:rPr>
                <w:sz w:val="21"/>
                <w:szCs w:val="21"/>
                <w:color w:val="auto"/>
              </w:rPr>
            </w:pPr>
          </w:p>
        </w:tc>
        <w:tc>
          <w:tcPr>
            <w:tcW w:w="1300" w:type="dxa"/>
            <w:vAlign w:val="bottom"/>
          </w:tcPr>
          <w:p>
            <w:pPr>
              <w:jc w:val="right"/>
              <w:ind w:right="12"/>
              <w:spacing w:after="0"/>
              <w:rPr>
                <w:sz w:val="20"/>
                <w:szCs w:val="20"/>
                <w:color w:val="auto"/>
              </w:rPr>
            </w:pPr>
            <w:r>
              <w:rPr>
                <w:rFonts w:ascii="Arial" w:cs="Arial" w:eastAsia="Arial" w:hAnsi="Arial"/>
                <w:sz w:val="18"/>
                <w:szCs w:val="18"/>
                <w:color w:val="auto"/>
              </w:rPr>
              <w:t>9,198,730</w:t>
            </w: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9,027,764</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300" w:type="dxa"/>
            <w:vAlign w:val="bottom"/>
          </w:tcPr>
          <w:p>
            <w:pPr>
              <w:jc w:val="right"/>
              <w:ind w:right="32"/>
              <w:spacing w:after="0"/>
              <w:rPr>
                <w:sz w:val="20"/>
                <w:szCs w:val="20"/>
                <w:color w:val="auto"/>
              </w:rPr>
            </w:pPr>
            <w:r>
              <w:rPr>
                <w:rFonts w:ascii="Arial" w:cs="Arial" w:eastAsia="Arial" w:hAnsi="Arial"/>
                <w:sz w:val="18"/>
                <w:szCs w:val="18"/>
                <w:color w:val="auto"/>
              </w:rPr>
              <w:t>9,182,875</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9,090,903</w:t>
            </w:r>
          </w:p>
        </w:tc>
      </w:tr>
      <w:tr>
        <w:trPr>
          <w:trHeight w:val="27"/>
        </w:trPr>
        <w:tc>
          <w:tcPr>
            <w:tcW w:w="46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29"/>
        </w:trPr>
        <w:tc>
          <w:tcPr>
            <w:tcW w:w="4600" w:type="dxa"/>
            <w:vAlign w:val="bottom"/>
            <w:shd w:val="clear" w:color="auto" w:fill="CCEEFF"/>
          </w:tcPr>
          <w:p>
            <w:pPr>
              <w:ind w:left="180"/>
              <w:spacing w:after="0"/>
              <w:rPr>
                <w:sz w:val="20"/>
                <w:szCs w:val="20"/>
                <w:color w:val="auto"/>
              </w:rPr>
            </w:pPr>
            <w:r>
              <w:rPr>
                <w:rFonts w:ascii="Arial" w:cs="Arial" w:eastAsia="Arial" w:hAnsi="Arial"/>
                <w:sz w:val="18"/>
                <w:szCs w:val="18"/>
                <w:color w:val="auto"/>
                <w:w w:val="99"/>
              </w:rPr>
              <w:t>Dilutive common stock equivalents using treasury stock</w:t>
            </w:r>
          </w:p>
        </w:tc>
        <w:tc>
          <w:tcPr>
            <w:tcW w:w="30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r>
      <w:tr>
        <w:trPr>
          <w:trHeight w:val="257"/>
        </w:trPr>
        <w:tc>
          <w:tcPr>
            <w:tcW w:w="46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method</w:t>
            </w:r>
          </w:p>
        </w:tc>
        <w:tc>
          <w:tcPr>
            <w:tcW w:w="30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408,914</w:t>
            </w:r>
          </w:p>
        </w:tc>
        <w:tc>
          <w:tcPr>
            <w:tcW w:w="12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379,177</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433,003</w:t>
            </w: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394,905</w:t>
            </w:r>
          </w:p>
        </w:tc>
      </w:tr>
      <w:tr>
        <w:trPr>
          <w:trHeight w:val="297"/>
        </w:trPr>
        <w:tc>
          <w:tcPr>
            <w:tcW w:w="460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Diluted weighted average shares outstanding</w:t>
            </w:r>
          </w:p>
        </w:tc>
        <w:tc>
          <w:tcPr>
            <w:tcW w:w="300" w:type="dxa"/>
            <w:vAlign w:val="bottom"/>
            <w:tcBorders>
              <w:top w:val="single" w:sz="8" w:color="auto"/>
              <w:bottom w:val="single" w:sz="8" w:color="auto"/>
            </w:tcBorders>
          </w:tcPr>
          <w:p>
            <w:pPr>
              <w:spacing w:after="0"/>
              <w:rPr>
                <w:sz w:val="24"/>
                <w:szCs w:val="24"/>
                <w:color w:val="auto"/>
              </w:rPr>
            </w:pPr>
          </w:p>
        </w:tc>
        <w:tc>
          <w:tcPr>
            <w:tcW w:w="130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9,607,644</w:t>
            </w:r>
          </w:p>
        </w:tc>
        <w:tc>
          <w:tcPr>
            <w:tcW w:w="120" w:type="dxa"/>
            <w:vAlign w:val="bottom"/>
            <w:tcBorders>
              <w:bottom w:val="single" w:sz="8" w:color="CCEEFF"/>
            </w:tcBorders>
          </w:tcPr>
          <w:p>
            <w:pPr>
              <w:spacing w:after="0"/>
              <w:rPr>
                <w:sz w:val="24"/>
                <w:szCs w:val="24"/>
                <w:color w:val="auto"/>
              </w:rPr>
            </w:pPr>
          </w:p>
        </w:tc>
        <w:tc>
          <w:tcPr>
            <w:tcW w:w="420" w:type="dxa"/>
            <w:vAlign w:val="bottom"/>
            <w:tcBorders>
              <w:top w:val="single" w:sz="8" w:color="auto"/>
              <w:bottom w:val="single" w:sz="8" w:color="auto"/>
            </w:tcBorders>
          </w:tcPr>
          <w:p>
            <w:pPr>
              <w:spacing w:after="0"/>
              <w:rPr>
                <w:sz w:val="24"/>
                <w:szCs w:val="24"/>
                <w:color w:val="auto"/>
              </w:rPr>
            </w:pPr>
          </w:p>
        </w:tc>
        <w:tc>
          <w:tcPr>
            <w:tcW w:w="122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9,406,941</w:t>
            </w:r>
          </w:p>
        </w:tc>
        <w:tc>
          <w:tcPr>
            <w:tcW w:w="120" w:type="dxa"/>
            <w:vAlign w:val="bottom"/>
            <w:tcBorders>
              <w:bottom w:val="single" w:sz="8" w:color="CCEEFF"/>
            </w:tcBorders>
          </w:tcPr>
          <w:p>
            <w:pPr>
              <w:spacing w:after="0"/>
              <w:rPr>
                <w:sz w:val="24"/>
                <w:szCs w:val="24"/>
                <w:color w:val="auto"/>
              </w:rPr>
            </w:pPr>
          </w:p>
        </w:tc>
        <w:tc>
          <w:tcPr>
            <w:tcW w:w="320" w:type="dxa"/>
            <w:vAlign w:val="bottom"/>
            <w:tcBorders>
              <w:top w:val="single" w:sz="8" w:color="auto"/>
              <w:bottom w:val="single" w:sz="8" w:color="auto"/>
            </w:tcBorders>
          </w:tcPr>
          <w:p>
            <w:pPr>
              <w:spacing w:after="0"/>
              <w:rPr>
                <w:sz w:val="24"/>
                <w:szCs w:val="24"/>
                <w:color w:val="auto"/>
              </w:rPr>
            </w:pPr>
          </w:p>
        </w:tc>
        <w:tc>
          <w:tcPr>
            <w:tcW w:w="130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8"/>
                <w:szCs w:val="18"/>
                <w:color w:val="auto"/>
              </w:rPr>
              <w:t>9,615,878</w:t>
            </w:r>
          </w:p>
        </w:tc>
        <w:tc>
          <w:tcPr>
            <w:tcW w:w="100" w:type="dxa"/>
            <w:vAlign w:val="bottom"/>
            <w:tcBorders>
              <w:bottom w:val="single" w:sz="8" w:color="CCEEFF"/>
            </w:tcBorders>
          </w:tcPr>
          <w:p>
            <w:pPr>
              <w:spacing w:after="0"/>
              <w:rPr>
                <w:sz w:val="24"/>
                <w:szCs w:val="24"/>
                <w:color w:val="auto"/>
              </w:rPr>
            </w:pPr>
          </w:p>
        </w:tc>
        <w:tc>
          <w:tcPr>
            <w:tcW w:w="400" w:type="dxa"/>
            <w:vAlign w:val="bottom"/>
            <w:tcBorders>
              <w:top w:val="single" w:sz="8" w:color="auto"/>
              <w:bottom w:val="single" w:sz="8" w:color="auto"/>
            </w:tcBorders>
          </w:tcPr>
          <w:p>
            <w:pPr>
              <w:spacing w:after="0"/>
              <w:rPr>
                <w:sz w:val="24"/>
                <w:szCs w:val="24"/>
                <w:color w:val="auto"/>
              </w:rPr>
            </w:pPr>
          </w:p>
        </w:tc>
        <w:tc>
          <w:tcPr>
            <w:tcW w:w="122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9,485,808</w:t>
            </w:r>
          </w:p>
        </w:tc>
      </w:tr>
      <w:tr>
        <w:trPr>
          <w:trHeight w:val="311"/>
        </w:trPr>
        <w:tc>
          <w:tcPr>
            <w:tcW w:w="460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3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12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3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1220" w:type="dxa"/>
            <w:vAlign w:val="bottom"/>
            <w:shd w:val="clear" w:color="auto" w:fill="CCEEFF"/>
          </w:tcPr>
          <w:p>
            <w:pPr>
              <w:spacing w:after="0"/>
              <w:rPr>
                <w:sz w:val="24"/>
                <w:szCs w:val="24"/>
                <w:color w:val="auto"/>
              </w:rPr>
            </w:pPr>
          </w:p>
        </w:tc>
      </w:tr>
      <w:tr>
        <w:trPr>
          <w:trHeight w:val="243"/>
        </w:trPr>
        <w:tc>
          <w:tcPr>
            <w:tcW w:w="4600" w:type="dxa"/>
            <w:vAlign w:val="bottom"/>
          </w:tcPr>
          <w:p>
            <w:pPr>
              <w:ind w:left="40"/>
              <w:spacing w:after="0"/>
              <w:rPr>
                <w:sz w:val="20"/>
                <w:szCs w:val="20"/>
                <w:color w:val="auto"/>
              </w:rPr>
            </w:pPr>
            <w:r>
              <w:rPr>
                <w:rFonts w:ascii="Arial" w:cs="Arial" w:eastAsia="Arial" w:hAnsi="Arial"/>
                <w:sz w:val="18"/>
                <w:szCs w:val="18"/>
                <w:color w:val="auto"/>
              </w:rPr>
              <w:t>Basic earnings per common share</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ind w:right="12"/>
              <w:spacing w:after="0"/>
              <w:rPr>
                <w:sz w:val="20"/>
                <w:szCs w:val="20"/>
                <w:color w:val="auto"/>
              </w:rPr>
            </w:pPr>
            <w:r>
              <w:rPr>
                <w:rFonts w:ascii="Arial" w:cs="Arial" w:eastAsia="Arial" w:hAnsi="Arial"/>
                <w:sz w:val="18"/>
                <w:szCs w:val="18"/>
                <w:color w:val="auto"/>
              </w:rPr>
              <w:t>0.18</w:t>
            </w:r>
          </w:p>
        </w:tc>
        <w:tc>
          <w:tcPr>
            <w:tcW w:w="120" w:type="dxa"/>
            <w:vAlign w:val="bottom"/>
          </w:tcPr>
          <w:p>
            <w:pPr>
              <w:spacing w:after="0"/>
              <w:rPr>
                <w:sz w:val="21"/>
                <w:szCs w:val="21"/>
                <w:color w:val="auto"/>
              </w:rPr>
            </w:pPr>
          </w:p>
        </w:tc>
        <w:tc>
          <w:tcPr>
            <w:tcW w:w="42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0.18</w:t>
            </w:r>
          </w:p>
        </w:tc>
        <w:tc>
          <w:tcPr>
            <w:tcW w:w="120" w:type="dxa"/>
            <w:vAlign w:val="bottom"/>
          </w:tcPr>
          <w:p>
            <w:pPr>
              <w:spacing w:after="0"/>
              <w:rPr>
                <w:sz w:val="21"/>
                <w:szCs w:val="21"/>
                <w:color w:val="auto"/>
              </w:rPr>
            </w:pPr>
          </w:p>
        </w:tc>
        <w:tc>
          <w:tcPr>
            <w:tcW w:w="32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1300" w:type="dxa"/>
            <w:vAlign w:val="bottom"/>
          </w:tcPr>
          <w:p>
            <w:pPr>
              <w:jc w:val="right"/>
              <w:ind w:right="32"/>
              <w:spacing w:after="0"/>
              <w:rPr>
                <w:sz w:val="20"/>
                <w:szCs w:val="20"/>
                <w:color w:val="auto"/>
              </w:rPr>
            </w:pPr>
            <w:r>
              <w:rPr>
                <w:rFonts w:ascii="Arial" w:cs="Arial" w:eastAsia="Arial" w:hAnsi="Arial"/>
                <w:sz w:val="18"/>
                <w:szCs w:val="18"/>
                <w:color w:val="auto"/>
              </w:rPr>
              <w:t>0.33</w:t>
            </w:r>
          </w:p>
        </w:tc>
        <w:tc>
          <w:tcPr>
            <w:tcW w:w="100" w:type="dxa"/>
            <w:vAlign w:val="bottom"/>
          </w:tcPr>
          <w:p>
            <w:pPr>
              <w:spacing w:after="0"/>
              <w:rPr>
                <w:sz w:val="21"/>
                <w:szCs w:val="21"/>
                <w:color w:val="auto"/>
              </w:rPr>
            </w:pP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0.38</w:t>
            </w:r>
          </w:p>
        </w:tc>
      </w:tr>
      <w:tr>
        <w:trPr>
          <w:trHeight w:val="27"/>
        </w:trPr>
        <w:tc>
          <w:tcPr>
            <w:tcW w:w="46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46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Diluted earnings per common share</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0.17</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0.18</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3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0.32</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0.36</w:t>
            </w:r>
          </w:p>
        </w:tc>
      </w:tr>
      <w:tr>
        <w:trPr>
          <w:trHeight w:val="324"/>
        </w:trPr>
        <w:tc>
          <w:tcPr>
            <w:tcW w:w="46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250"/>
        </w:trPr>
        <w:tc>
          <w:tcPr>
            <w:tcW w:w="46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Weighted average options outstanding</w:t>
            </w:r>
          </w:p>
        </w:tc>
        <w:tc>
          <w:tcPr>
            <w:tcW w:w="3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923,424</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1,143,283</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955,606</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1,131,403</w:t>
            </w:r>
          </w:p>
        </w:tc>
      </w:tr>
      <w:tr>
        <w:trPr>
          <w:trHeight w:val="243"/>
        </w:trPr>
        <w:tc>
          <w:tcPr>
            <w:tcW w:w="4600" w:type="dxa"/>
            <w:vAlign w:val="bottom"/>
          </w:tcPr>
          <w:p>
            <w:pPr>
              <w:ind w:left="40"/>
              <w:spacing w:after="0"/>
              <w:rPr>
                <w:sz w:val="20"/>
                <w:szCs w:val="20"/>
                <w:color w:val="auto"/>
              </w:rPr>
            </w:pPr>
            <w:r>
              <w:rPr>
                <w:rFonts w:ascii="Arial" w:cs="Arial" w:eastAsia="Arial" w:hAnsi="Arial"/>
                <w:sz w:val="18"/>
                <w:szCs w:val="18"/>
                <w:color w:val="auto"/>
              </w:rPr>
              <w:t>Anti-dilutive options not included in the computations</w:t>
            </w:r>
          </w:p>
        </w:tc>
        <w:tc>
          <w:tcPr>
            <w:tcW w:w="300" w:type="dxa"/>
            <w:vAlign w:val="bottom"/>
          </w:tcPr>
          <w:p>
            <w:pPr>
              <w:spacing w:after="0"/>
              <w:rPr>
                <w:sz w:val="21"/>
                <w:szCs w:val="21"/>
                <w:color w:val="auto"/>
              </w:rPr>
            </w:pPr>
          </w:p>
        </w:tc>
        <w:tc>
          <w:tcPr>
            <w:tcW w:w="1300" w:type="dxa"/>
            <w:vAlign w:val="bottom"/>
          </w:tcPr>
          <w:p>
            <w:pPr>
              <w:jc w:val="right"/>
              <w:ind w:right="12"/>
              <w:spacing w:after="0"/>
              <w:rPr>
                <w:sz w:val="20"/>
                <w:szCs w:val="20"/>
                <w:color w:val="auto"/>
              </w:rPr>
            </w:pPr>
            <w:r>
              <w:rPr>
                <w:rFonts w:ascii="Arial" w:cs="Arial" w:eastAsia="Arial" w:hAnsi="Arial"/>
                <w:sz w:val="18"/>
                <w:szCs w:val="18"/>
                <w:color w:val="auto"/>
              </w:rPr>
              <w:t>276,459</w:t>
            </w: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167,845</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300" w:type="dxa"/>
            <w:vAlign w:val="bottom"/>
          </w:tcPr>
          <w:p>
            <w:pPr>
              <w:jc w:val="right"/>
              <w:ind w:right="32"/>
              <w:spacing w:after="0"/>
              <w:rPr>
                <w:sz w:val="20"/>
                <w:szCs w:val="20"/>
                <w:color w:val="auto"/>
              </w:rPr>
            </w:pPr>
            <w:r>
              <w:rPr>
                <w:rFonts w:ascii="Arial" w:cs="Arial" w:eastAsia="Arial" w:hAnsi="Arial"/>
                <w:sz w:val="18"/>
                <w:szCs w:val="18"/>
                <w:color w:val="auto"/>
              </w:rPr>
              <w:t>169,306</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157,197</w:t>
            </w:r>
          </w:p>
        </w:tc>
      </w:tr>
    </w:tbl>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Business Combinations</w:t>
      </w:r>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Sabine</w:t>
      </w:r>
    </w:p>
    <w:p>
      <w:pPr>
        <w:spacing w:after="0" w:line="90" w:lineRule="exact"/>
        <w:rPr>
          <w:sz w:val="20"/>
          <w:szCs w:val="20"/>
          <w:color w:val="auto"/>
        </w:rPr>
      </w:pPr>
    </w:p>
    <w:p>
      <w:pPr>
        <w:ind w:right="340"/>
        <w:spacing w:after="0" w:line="259" w:lineRule="auto"/>
        <w:rPr>
          <w:sz w:val="20"/>
          <w:szCs w:val="20"/>
          <w:color w:val="auto"/>
        </w:rPr>
      </w:pPr>
      <w:r>
        <w:rPr>
          <w:rFonts w:ascii="Arial" w:cs="Arial" w:eastAsia="Arial" w:hAnsi="Arial"/>
          <w:sz w:val="18"/>
          <w:szCs w:val="18"/>
          <w:color w:val="auto"/>
        </w:rPr>
        <w:t>On March 7, 2014, the Company completed the acquisition of Sabine, Inc. ("Sabine") through a stock purchase agreement ("SPA"). Sabine manufactures, designs and sells Sacom professional wireless microphone systems for live and installed audio. It also makes FBX Feedback Exterminator for reliable automatic feedback control. With the addition of Sabine, ClearOne will have reliable and exclusive access to the wireless microphones that are a critical component of ClearOne’s complete microphone portfolio.</w:t>
      </w:r>
    </w:p>
    <w:p>
      <w:pPr>
        <w:spacing w:after="0" w:line="187" w:lineRule="exact"/>
        <w:rPr>
          <w:sz w:val="20"/>
          <w:szCs w:val="20"/>
          <w:color w:val="auto"/>
        </w:rPr>
      </w:pPr>
    </w:p>
    <w:p>
      <w:pPr>
        <w:ind w:right="60"/>
        <w:spacing w:after="0" w:line="279" w:lineRule="auto"/>
        <w:rPr>
          <w:sz w:val="20"/>
          <w:szCs w:val="20"/>
          <w:color w:val="auto"/>
        </w:rPr>
      </w:pPr>
      <w:r>
        <w:rPr>
          <w:rFonts w:ascii="Arial" w:cs="Arial" w:eastAsia="Arial" w:hAnsi="Arial"/>
          <w:sz w:val="17"/>
          <w:szCs w:val="17"/>
          <w:color w:val="auto"/>
        </w:rPr>
        <w:t>Pursuant to the SPA, the Company (i) paid initial consideration of $8,141 in cash, which is subject to a final working capital adjustment, (ii) accrued for possible additional earn-out payments over the next three years, estimated to be $667, and (iii) issued 150,000 shares of restricted common stock of the Company, valued at $1,679 (determined on the basis of the closing market price of the Company's stock on the acquisition date). The purchase price was paid out of cash on hand. The SPA contains representations, warranties and indemnifications customary for a transaction of this type.</w:t>
      </w:r>
    </w:p>
    <w:p>
      <w:pPr>
        <w:spacing w:after="0" w:line="171" w:lineRule="exact"/>
        <w:rPr>
          <w:sz w:val="20"/>
          <w:szCs w:val="20"/>
          <w:color w:val="auto"/>
        </w:rPr>
      </w:pPr>
    </w:p>
    <w:p>
      <w:pPr>
        <w:ind w:right="180"/>
        <w:spacing w:after="0" w:line="272" w:lineRule="auto"/>
        <w:rPr>
          <w:sz w:val="20"/>
          <w:szCs w:val="20"/>
          <w:color w:val="auto"/>
        </w:rPr>
      </w:pPr>
      <w:r>
        <w:rPr>
          <w:rFonts w:ascii="Arial" w:cs="Arial" w:eastAsia="Arial" w:hAnsi="Arial"/>
          <w:sz w:val="17"/>
          <w:szCs w:val="17"/>
          <w:color w:val="auto"/>
        </w:rPr>
        <w:t>The estimated fair values of assets acquired and liabilities assumed are provisional and are based on the information that was available as of the acquisition date to estimate the fair value of assets acquired and liabilities assumed. The Company believes that such information provides a reasonable basis for estimating the fair values of assets acquired and liabilities assumed, but the Company is waiting for additional information necessary to finalize those fair values. The measurement period for purchase price allocation ends as soon as information on the facts and circumstances becomes available, but will not exceed twelve months from the date of acquisition. Adjustments in the purchase price allocation may require a recasting of the amounts allocated to intangible assets and possible allocation to goodwill, retroactive to the period in which the acquisition occurred. Therefore, the provisional measurements of fair value reflected are subject to change and such changes could be significant.</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9360" w:type="dxa"/>
            <w:vAlign w:val="bottom"/>
          </w:tcPr>
          <w:p>
            <w:pPr>
              <w:spacing w:after="0"/>
              <w:rPr>
                <w:sz w:val="20"/>
                <w:szCs w:val="20"/>
                <w:color w:val="auto"/>
              </w:rPr>
            </w:pPr>
            <w:r>
              <w:rPr>
                <w:rFonts w:ascii="Arial" w:cs="Arial" w:eastAsia="Arial" w:hAnsi="Arial"/>
                <w:sz w:val="18"/>
                <w:szCs w:val="18"/>
                <w:color w:val="auto"/>
              </w:rPr>
              <w:t>The following table summarizes the consideration paid for the acquisition:</w:t>
            </w:r>
          </w:p>
        </w:tc>
        <w:tc>
          <w:tcPr>
            <w:tcW w:w="300" w:type="dxa"/>
            <w:vAlign w:val="bottom"/>
          </w:tcPr>
          <w:p>
            <w:pPr>
              <w:spacing w:after="0"/>
              <w:rPr>
                <w:sz w:val="20"/>
                <w:szCs w:val="20"/>
                <w:color w:val="auto"/>
              </w:rPr>
            </w:pPr>
          </w:p>
        </w:tc>
        <w:tc>
          <w:tcPr>
            <w:tcW w:w="1760" w:type="dxa"/>
            <w:vAlign w:val="bottom"/>
          </w:tcPr>
          <w:p>
            <w:pPr>
              <w:spacing w:after="0"/>
              <w:rPr>
                <w:sz w:val="20"/>
                <w:szCs w:val="20"/>
                <w:color w:val="auto"/>
              </w:rPr>
            </w:pPr>
          </w:p>
        </w:tc>
      </w:tr>
      <w:tr>
        <w:trPr>
          <w:trHeight w:val="378"/>
        </w:trPr>
        <w:tc>
          <w:tcPr>
            <w:tcW w:w="93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760" w:type="dxa"/>
            <w:vAlign w:val="bottom"/>
          </w:tcPr>
          <w:p>
            <w:pPr>
              <w:jc w:val="right"/>
              <w:ind w:right="390"/>
              <w:spacing w:after="0"/>
              <w:rPr>
                <w:sz w:val="20"/>
                <w:szCs w:val="20"/>
                <w:color w:val="auto"/>
              </w:rPr>
            </w:pPr>
            <w:r>
              <w:rPr>
                <w:rFonts w:ascii="Arial" w:cs="Arial" w:eastAsia="Arial" w:hAnsi="Arial"/>
                <w:sz w:val="18"/>
                <w:szCs w:val="18"/>
                <w:b w:val="1"/>
                <w:bCs w:val="1"/>
                <w:color w:val="auto"/>
              </w:rPr>
              <w:t>Consideration</w:t>
            </w:r>
          </w:p>
        </w:tc>
      </w:tr>
      <w:tr>
        <w:trPr>
          <w:trHeight w:val="27"/>
        </w:trPr>
        <w:tc>
          <w:tcPr>
            <w:tcW w:w="936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r>
      <w:tr>
        <w:trPr>
          <w:trHeight w:val="244"/>
        </w:trPr>
        <w:tc>
          <w:tcPr>
            <w:tcW w:w="9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20"/>
                <w:szCs w:val="20"/>
                <w:color w:val="auto"/>
              </w:rPr>
              <w:t>Cash</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7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8,141</w:t>
            </w:r>
          </w:p>
        </w:tc>
      </w:tr>
      <w:tr>
        <w:trPr>
          <w:trHeight w:val="261"/>
        </w:trPr>
        <w:tc>
          <w:tcPr>
            <w:tcW w:w="9360" w:type="dxa"/>
            <w:vAlign w:val="bottom"/>
          </w:tcPr>
          <w:p>
            <w:pPr>
              <w:ind w:left="40"/>
              <w:spacing w:after="0"/>
              <w:rPr>
                <w:sz w:val="20"/>
                <w:szCs w:val="20"/>
                <w:color w:val="auto"/>
              </w:rPr>
            </w:pPr>
            <w:r>
              <w:rPr>
                <w:rFonts w:ascii="Arial" w:cs="Arial" w:eastAsia="Arial" w:hAnsi="Arial"/>
                <w:sz w:val="20"/>
                <w:szCs w:val="20"/>
                <w:color w:val="auto"/>
              </w:rPr>
              <w:t>Common stock</w:t>
            </w:r>
          </w:p>
        </w:tc>
        <w:tc>
          <w:tcPr>
            <w:tcW w:w="300" w:type="dxa"/>
            <w:vAlign w:val="bottom"/>
          </w:tcPr>
          <w:p>
            <w:pPr>
              <w:spacing w:after="0"/>
              <w:rPr>
                <w:sz w:val="22"/>
                <w:szCs w:val="22"/>
                <w:color w:val="auto"/>
              </w:rPr>
            </w:pPr>
          </w:p>
        </w:tc>
        <w:tc>
          <w:tcPr>
            <w:tcW w:w="1760" w:type="dxa"/>
            <w:vAlign w:val="bottom"/>
          </w:tcPr>
          <w:p>
            <w:pPr>
              <w:jc w:val="right"/>
              <w:ind w:right="10"/>
              <w:spacing w:after="0"/>
              <w:rPr>
                <w:sz w:val="20"/>
                <w:szCs w:val="20"/>
                <w:color w:val="auto"/>
              </w:rPr>
            </w:pPr>
            <w:r>
              <w:rPr>
                <w:rFonts w:ascii="Arial" w:cs="Arial" w:eastAsia="Arial" w:hAnsi="Arial"/>
                <w:sz w:val="18"/>
                <w:szCs w:val="18"/>
                <w:color w:val="auto"/>
              </w:rPr>
              <w:t>1,679</w:t>
            </w:r>
          </w:p>
        </w:tc>
      </w:tr>
      <w:tr>
        <w:trPr>
          <w:trHeight w:val="23"/>
        </w:trPr>
        <w:tc>
          <w:tcPr>
            <w:tcW w:w="93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760" w:type="dxa"/>
            <w:vAlign w:val="bottom"/>
          </w:tcPr>
          <w:p>
            <w:pPr>
              <w:spacing w:after="0"/>
              <w:rPr>
                <w:sz w:val="2"/>
                <w:szCs w:val="2"/>
                <w:color w:val="auto"/>
              </w:rPr>
            </w:pPr>
          </w:p>
        </w:tc>
      </w:tr>
      <w:tr>
        <w:trPr>
          <w:trHeight w:val="284"/>
        </w:trPr>
        <w:tc>
          <w:tcPr>
            <w:tcW w:w="9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20"/>
                <w:szCs w:val="20"/>
                <w:color w:val="auto"/>
              </w:rPr>
              <w:t>Contingent consideration</w:t>
            </w:r>
          </w:p>
        </w:tc>
        <w:tc>
          <w:tcPr>
            <w:tcW w:w="300" w:type="dxa"/>
            <w:vAlign w:val="bottom"/>
            <w:tcBorders>
              <w:bottom w:val="single" w:sz="8" w:color="CCEEFF"/>
            </w:tcBorders>
            <w:shd w:val="clear" w:color="auto" w:fill="CCEEFF"/>
          </w:tcPr>
          <w:p>
            <w:pPr>
              <w:spacing w:after="0"/>
              <w:rPr>
                <w:sz w:val="24"/>
                <w:szCs w:val="24"/>
                <w:color w:val="auto"/>
              </w:rPr>
            </w:pPr>
          </w:p>
        </w:tc>
        <w:tc>
          <w:tcPr>
            <w:tcW w:w="17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667</w:t>
            </w:r>
          </w:p>
        </w:tc>
      </w:tr>
      <w:tr>
        <w:trPr>
          <w:trHeight w:val="259"/>
        </w:trPr>
        <w:tc>
          <w:tcPr>
            <w:tcW w:w="9360" w:type="dxa"/>
            <w:vAlign w:val="bottom"/>
          </w:tcPr>
          <w:p>
            <w:pPr>
              <w:ind w:left="40"/>
              <w:spacing w:after="0"/>
              <w:rPr>
                <w:sz w:val="20"/>
                <w:szCs w:val="20"/>
                <w:color w:val="auto"/>
              </w:rPr>
            </w:pPr>
            <w:r>
              <w:rPr>
                <w:rFonts w:ascii="Arial" w:cs="Arial" w:eastAsia="Arial" w:hAnsi="Arial"/>
                <w:sz w:val="20"/>
                <w:szCs w:val="20"/>
                <w:color w:val="auto"/>
              </w:rPr>
              <w:t>Total</w:t>
            </w: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76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10,487</w:t>
            </w:r>
          </w:p>
        </w:tc>
      </w:tr>
      <w:tr>
        <w:trPr>
          <w:trHeight w:val="20"/>
        </w:trPr>
        <w:tc>
          <w:tcPr>
            <w:tcW w:w="93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color w:val="auto"/>
        </w:rPr>
        <w:t>The fair value of identified assets and liabilities acquired was as follows:</w:t>
      </w:r>
    </w:p>
    <w:p>
      <w:pPr>
        <w:sectPr>
          <w:pgSz w:w="11900" w:h="16838" w:orient="portrait"/>
          <w:cols w:equalWidth="0" w:num="1">
            <w:col w:w="11420"/>
          </w:cols>
          <w:pgMar w:left="240" w:top="121" w:right="239" w:bottom="1440" w:gutter="0" w:footer="0" w:header="0"/>
        </w:sect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w:t>
      </w:r>
    </w:p>
    <w:p>
      <w:pPr>
        <w:sectPr>
          <w:pgSz w:w="11900" w:h="16838" w:orient="portrait"/>
          <w:cols w:equalWidth="0" w:num="1">
            <w:col w:w="11420"/>
          </w:cols>
          <w:pgMar w:left="240" w:top="121" w:right="239" w:bottom="1440" w:gutter="0" w:footer="0" w:header="0"/>
          <w:type w:val="continuous"/>
        </w:sectPr>
      </w:pPr>
    </w:p>
    <w:bookmarkStart w:id="8" w:name="page9"/>
    <w:bookmarkEnd w:id="8"/>
    <w:p>
      <w:pPr>
        <w:jc w:val="center"/>
        <w:spacing w:after="0"/>
        <w:rPr>
          <w:sz w:val="20"/>
          <w:szCs w:val="20"/>
          <w:color w:val="auto"/>
        </w:rPr>
      </w:pPr>
      <w:r>
        <w:rPr>
          <w:rFonts w:ascii="Arial" w:cs="Arial" w:eastAsia="Arial" w:hAnsi="Arial"/>
          <w:sz w:val="18"/>
          <w:szCs w:val="18"/>
          <w:b w:val="1"/>
          <w:bCs w:val="1"/>
          <w:color w:val="auto"/>
        </w:rPr>
        <w:t>CLEARONE,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(Unaudited – Dollars in thousands)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93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680" w:type="dxa"/>
            <w:vAlign w:val="bottom"/>
          </w:tcPr>
          <w:p>
            <w:pPr>
              <w:jc w:val="right"/>
              <w:ind w:right="550"/>
              <w:spacing w:after="0"/>
              <w:rPr>
                <w:sz w:val="20"/>
                <w:szCs w:val="20"/>
                <w:color w:val="auto"/>
              </w:rPr>
            </w:pPr>
            <w:r>
              <w:rPr>
                <w:rFonts w:ascii="Arial" w:cs="Arial" w:eastAsia="Arial" w:hAnsi="Arial"/>
                <w:sz w:val="18"/>
                <w:szCs w:val="18"/>
                <w:b w:val="1"/>
                <w:bCs w:val="1"/>
                <w:color w:val="auto"/>
              </w:rPr>
              <w:t>Fair value</w:t>
            </w:r>
          </w:p>
        </w:tc>
      </w:tr>
      <w:tr>
        <w:trPr>
          <w:trHeight w:val="27"/>
        </w:trPr>
        <w:tc>
          <w:tcPr>
            <w:tcW w:w="936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r>
      <w:tr>
        <w:trPr>
          <w:trHeight w:val="244"/>
        </w:trPr>
        <w:tc>
          <w:tcPr>
            <w:tcW w:w="9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w:t>
            </w: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6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125</w:t>
            </w:r>
          </w:p>
        </w:tc>
      </w:tr>
      <w:tr>
        <w:trPr>
          <w:trHeight w:val="243"/>
        </w:trPr>
        <w:tc>
          <w:tcPr>
            <w:tcW w:w="9360" w:type="dxa"/>
            <w:vAlign w:val="bottom"/>
          </w:tcPr>
          <w:p>
            <w:pPr>
              <w:ind w:left="40"/>
              <w:spacing w:after="0"/>
              <w:rPr>
                <w:sz w:val="20"/>
                <w:szCs w:val="20"/>
                <w:color w:val="auto"/>
              </w:rPr>
            </w:pPr>
            <w:r>
              <w:rPr>
                <w:rFonts w:ascii="Arial" w:cs="Arial" w:eastAsia="Arial" w:hAnsi="Arial"/>
                <w:sz w:val="18"/>
                <w:szCs w:val="18"/>
                <w:color w:val="auto"/>
              </w:rPr>
              <w:t>Accounts receivable</w:t>
            </w:r>
          </w:p>
        </w:tc>
        <w:tc>
          <w:tcPr>
            <w:tcW w:w="380" w:type="dxa"/>
            <w:vAlign w:val="bottom"/>
          </w:tcPr>
          <w:p>
            <w:pPr>
              <w:spacing w:after="0"/>
              <w:rPr>
                <w:sz w:val="21"/>
                <w:szCs w:val="21"/>
                <w:color w:val="auto"/>
              </w:rPr>
            </w:pPr>
          </w:p>
        </w:tc>
        <w:tc>
          <w:tcPr>
            <w:tcW w:w="1680" w:type="dxa"/>
            <w:vAlign w:val="bottom"/>
          </w:tcPr>
          <w:p>
            <w:pPr>
              <w:jc w:val="right"/>
              <w:ind w:right="10"/>
              <w:spacing w:after="0"/>
              <w:rPr>
                <w:sz w:val="20"/>
                <w:szCs w:val="20"/>
                <w:color w:val="auto"/>
              </w:rPr>
            </w:pPr>
            <w:r>
              <w:rPr>
                <w:rFonts w:ascii="Arial" w:cs="Arial" w:eastAsia="Arial" w:hAnsi="Arial"/>
                <w:sz w:val="18"/>
                <w:szCs w:val="18"/>
                <w:color w:val="auto"/>
              </w:rPr>
              <w:t>255</w:t>
            </w:r>
          </w:p>
        </w:tc>
      </w:tr>
      <w:tr>
        <w:trPr>
          <w:trHeight w:val="27"/>
        </w:trPr>
        <w:tc>
          <w:tcPr>
            <w:tcW w:w="93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680" w:type="dxa"/>
            <w:vAlign w:val="bottom"/>
          </w:tcPr>
          <w:p>
            <w:pPr>
              <w:spacing w:after="0"/>
              <w:rPr>
                <w:sz w:val="2"/>
                <w:szCs w:val="2"/>
                <w:color w:val="auto"/>
              </w:rPr>
            </w:pPr>
          </w:p>
        </w:tc>
      </w:tr>
      <w:tr>
        <w:trPr>
          <w:trHeight w:val="250"/>
        </w:trPr>
        <w:tc>
          <w:tcPr>
            <w:tcW w:w="9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Inventories</w:t>
            </w:r>
          </w:p>
        </w:tc>
        <w:tc>
          <w:tcPr>
            <w:tcW w:w="38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844</w:t>
            </w:r>
          </w:p>
        </w:tc>
      </w:tr>
      <w:tr>
        <w:trPr>
          <w:trHeight w:val="243"/>
        </w:trPr>
        <w:tc>
          <w:tcPr>
            <w:tcW w:w="9360" w:type="dxa"/>
            <w:vAlign w:val="bottom"/>
          </w:tcPr>
          <w:p>
            <w:pPr>
              <w:ind w:left="40"/>
              <w:spacing w:after="0"/>
              <w:rPr>
                <w:sz w:val="20"/>
                <w:szCs w:val="20"/>
                <w:color w:val="auto"/>
              </w:rPr>
            </w:pPr>
            <w:r>
              <w:rPr>
                <w:rFonts w:ascii="Arial" w:cs="Arial" w:eastAsia="Arial" w:hAnsi="Arial"/>
                <w:sz w:val="18"/>
                <w:szCs w:val="18"/>
                <w:color w:val="auto"/>
              </w:rPr>
              <w:t>Prepaid and other</w:t>
            </w:r>
          </w:p>
        </w:tc>
        <w:tc>
          <w:tcPr>
            <w:tcW w:w="380" w:type="dxa"/>
            <w:vAlign w:val="bottom"/>
          </w:tcPr>
          <w:p>
            <w:pPr>
              <w:spacing w:after="0"/>
              <w:rPr>
                <w:sz w:val="21"/>
                <w:szCs w:val="21"/>
                <w:color w:val="auto"/>
              </w:rPr>
            </w:pPr>
          </w:p>
        </w:tc>
        <w:tc>
          <w:tcPr>
            <w:tcW w:w="1680" w:type="dxa"/>
            <w:vAlign w:val="bottom"/>
          </w:tcPr>
          <w:p>
            <w:pPr>
              <w:jc w:val="right"/>
              <w:ind w:right="10"/>
              <w:spacing w:after="0"/>
              <w:rPr>
                <w:sz w:val="20"/>
                <w:szCs w:val="20"/>
                <w:color w:val="auto"/>
              </w:rPr>
            </w:pPr>
            <w:r>
              <w:rPr>
                <w:rFonts w:ascii="Arial" w:cs="Arial" w:eastAsia="Arial" w:hAnsi="Arial"/>
                <w:sz w:val="18"/>
                <w:szCs w:val="18"/>
                <w:color w:val="auto"/>
              </w:rPr>
              <w:t>116</w:t>
            </w:r>
          </w:p>
        </w:tc>
      </w:tr>
      <w:tr>
        <w:trPr>
          <w:trHeight w:val="27"/>
        </w:trPr>
        <w:tc>
          <w:tcPr>
            <w:tcW w:w="93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680" w:type="dxa"/>
            <w:vAlign w:val="bottom"/>
          </w:tcPr>
          <w:p>
            <w:pPr>
              <w:spacing w:after="0"/>
              <w:rPr>
                <w:sz w:val="2"/>
                <w:szCs w:val="2"/>
                <w:color w:val="auto"/>
              </w:rPr>
            </w:pPr>
          </w:p>
        </w:tc>
      </w:tr>
      <w:tr>
        <w:trPr>
          <w:trHeight w:val="250"/>
        </w:trPr>
        <w:tc>
          <w:tcPr>
            <w:tcW w:w="9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Intangibles</w:t>
            </w:r>
          </w:p>
        </w:tc>
        <w:tc>
          <w:tcPr>
            <w:tcW w:w="38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3,180</w:t>
            </w:r>
          </w:p>
        </w:tc>
      </w:tr>
      <w:tr>
        <w:trPr>
          <w:trHeight w:val="243"/>
        </w:trPr>
        <w:tc>
          <w:tcPr>
            <w:tcW w:w="9360" w:type="dxa"/>
            <w:vAlign w:val="bottom"/>
          </w:tcPr>
          <w:p>
            <w:pPr>
              <w:ind w:left="40"/>
              <w:spacing w:after="0"/>
              <w:rPr>
                <w:sz w:val="20"/>
                <w:szCs w:val="20"/>
                <w:color w:val="auto"/>
              </w:rPr>
            </w:pPr>
            <w:r>
              <w:rPr>
                <w:rFonts w:ascii="Arial" w:cs="Arial" w:eastAsia="Arial" w:hAnsi="Arial"/>
                <w:sz w:val="18"/>
                <w:szCs w:val="18"/>
                <w:color w:val="auto"/>
              </w:rPr>
              <w:t>Property and equipment</w:t>
            </w:r>
          </w:p>
        </w:tc>
        <w:tc>
          <w:tcPr>
            <w:tcW w:w="380" w:type="dxa"/>
            <w:vAlign w:val="bottom"/>
          </w:tcPr>
          <w:p>
            <w:pPr>
              <w:spacing w:after="0"/>
              <w:rPr>
                <w:sz w:val="21"/>
                <w:szCs w:val="21"/>
                <w:color w:val="auto"/>
              </w:rPr>
            </w:pPr>
          </w:p>
        </w:tc>
        <w:tc>
          <w:tcPr>
            <w:tcW w:w="1680" w:type="dxa"/>
            <w:vAlign w:val="bottom"/>
          </w:tcPr>
          <w:p>
            <w:pPr>
              <w:jc w:val="right"/>
              <w:ind w:right="10"/>
              <w:spacing w:after="0"/>
              <w:rPr>
                <w:sz w:val="20"/>
                <w:szCs w:val="20"/>
                <w:color w:val="auto"/>
              </w:rPr>
            </w:pPr>
            <w:r>
              <w:rPr>
                <w:rFonts w:ascii="Arial" w:cs="Arial" w:eastAsia="Arial" w:hAnsi="Arial"/>
                <w:sz w:val="18"/>
                <w:szCs w:val="18"/>
                <w:color w:val="auto"/>
              </w:rPr>
              <w:t>292</w:t>
            </w:r>
          </w:p>
        </w:tc>
      </w:tr>
      <w:tr>
        <w:trPr>
          <w:trHeight w:val="27"/>
        </w:trPr>
        <w:tc>
          <w:tcPr>
            <w:tcW w:w="93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680" w:type="dxa"/>
            <w:vAlign w:val="bottom"/>
          </w:tcPr>
          <w:p>
            <w:pPr>
              <w:spacing w:after="0"/>
              <w:rPr>
                <w:sz w:val="2"/>
                <w:szCs w:val="2"/>
                <w:color w:val="auto"/>
              </w:rPr>
            </w:pPr>
          </w:p>
        </w:tc>
      </w:tr>
      <w:tr>
        <w:trPr>
          <w:trHeight w:val="250"/>
        </w:trPr>
        <w:tc>
          <w:tcPr>
            <w:tcW w:w="9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Goodwill</w:t>
            </w:r>
          </w:p>
        </w:tc>
        <w:tc>
          <w:tcPr>
            <w:tcW w:w="38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6,555</w:t>
            </w:r>
          </w:p>
        </w:tc>
      </w:tr>
      <w:tr>
        <w:trPr>
          <w:trHeight w:val="243"/>
        </w:trPr>
        <w:tc>
          <w:tcPr>
            <w:tcW w:w="9360" w:type="dxa"/>
            <w:vAlign w:val="bottom"/>
          </w:tcPr>
          <w:p>
            <w:pPr>
              <w:ind w:left="40"/>
              <w:spacing w:after="0"/>
              <w:rPr>
                <w:sz w:val="20"/>
                <w:szCs w:val="20"/>
                <w:color w:val="auto"/>
              </w:rPr>
            </w:pPr>
            <w:r>
              <w:rPr>
                <w:rFonts w:ascii="Arial" w:cs="Arial" w:eastAsia="Arial" w:hAnsi="Arial"/>
                <w:sz w:val="18"/>
                <w:szCs w:val="18"/>
                <w:color w:val="auto"/>
              </w:rPr>
              <w:t>Trade accounts payable</w:t>
            </w:r>
          </w:p>
        </w:tc>
        <w:tc>
          <w:tcPr>
            <w:tcW w:w="380" w:type="dxa"/>
            <w:vAlign w:val="bottom"/>
          </w:tcPr>
          <w:p>
            <w:pPr>
              <w:spacing w:after="0"/>
              <w:rPr>
                <w:sz w:val="21"/>
                <w:szCs w:val="21"/>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(420)</w:t>
            </w:r>
          </w:p>
        </w:tc>
      </w:tr>
      <w:tr>
        <w:trPr>
          <w:trHeight w:val="27"/>
        </w:trPr>
        <w:tc>
          <w:tcPr>
            <w:tcW w:w="93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680" w:type="dxa"/>
            <w:vAlign w:val="bottom"/>
          </w:tcPr>
          <w:p>
            <w:pPr>
              <w:spacing w:after="0"/>
              <w:rPr>
                <w:sz w:val="2"/>
                <w:szCs w:val="2"/>
                <w:color w:val="auto"/>
              </w:rPr>
            </w:pPr>
          </w:p>
        </w:tc>
      </w:tr>
      <w:tr>
        <w:trPr>
          <w:trHeight w:val="250"/>
        </w:trPr>
        <w:tc>
          <w:tcPr>
            <w:tcW w:w="9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Accrued liabilities</w:t>
            </w:r>
          </w:p>
        </w:tc>
        <w:tc>
          <w:tcPr>
            <w:tcW w:w="38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(405)</w:t>
            </w:r>
          </w:p>
        </w:tc>
      </w:tr>
      <w:tr>
        <w:trPr>
          <w:trHeight w:val="243"/>
        </w:trPr>
        <w:tc>
          <w:tcPr>
            <w:tcW w:w="9360" w:type="dxa"/>
            <w:vAlign w:val="bottom"/>
          </w:tcPr>
          <w:p>
            <w:pPr>
              <w:ind w:left="40"/>
              <w:spacing w:after="0"/>
              <w:rPr>
                <w:sz w:val="20"/>
                <w:szCs w:val="20"/>
                <w:color w:val="auto"/>
              </w:rPr>
            </w:pPr>
            <w:r>
              <w:rPr>
                <w:rFonts w:ascii="Arial" w:cs="Arial" w:eastAsia="Arial" w:hAnsi="Arial"/>
                <w:sz w:val="18"/>
                <w:szCs w:val="18"/>
                <w:color w:val="auto"/>
              </w:rPr>
              <w:t>Stock registration costs</w:t>
            </w:r>
          </w:p>
        </w:tc>
        <w:tc>
          <w:tcPr>
            <w:tcW w:w="380" w:type="dxa"/>
            <w:vAlign w:val="bottom"/>
          </w:tcPr>
          <w:p>
            <w:pPr>
              <w:spacing w:after="0"/>
              <w:rPr>
                <w:sz w:val="21"/>
                <w:szCs w:val="21"/>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(55)</w:t>
            </w:r>
          </w:p>
        </w:tc>
      </w:tr>
      <w:tr>
        <w:trPr>
          <w:trHeight w:val="27"/>
        </w:trPr>
        <w:tc>
          <w:tcPr>
            <w:tcW w:w="936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r>
      <w:tr>
        <w:trPr>
          <w:trHeight w:val="257"/>
        </w:trPr>
        <w:tc>
          <w:tcPr>
            <w:tcW w:w="9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6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10,487</w:t>
            </w:r>
          </w:p>
        </w:tc>
      </w:tr>
      <w:tr>
        <w:trPr>
          <w:trHeight w:val="20"/>
        </w:trPr>
        <w:tc>
          <w:tcPr>
            <w:tcW w:w="936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The fair value of accounts receivable acquired is $255 which is net of an allowance for doubtful accounts of $2.</w:t>
      </w:r>
    </w:p>
    <w:p>
      <w:pPr>
        <w:spacing w:after="0" w:line="225" w:lineRule="exact"/>
        <w:rPr>
          <w:sz w:val="20"/>
          <w:szCs w:val="20"/>
          <w:color w:val="auto"/>
        </w:rPr>
      </w:pPr>
    </w:p>
    <w:p>
      <w:pPr>
        <w:ind w:right="580"/>
        <w:spacing w:after="0" w:line="286" w:lineRule="auto"/>
        <w:rPr>
          <w:sz w:val="20"/>
          <w:szCs w:val="20"/>
          <w:color w:val="auto"/>
        </w:rPr>
      </w:pPr>
      <w:r>
        <w:rPr>
          <w:rFonts w:ascii="Arial" w:cs="Arial" w:eastAsia="Arial" w:hAnsi="Arial"/>
          <w:sz w:val="17"/>
          <w:szCs w:val="17"/>
          <w:color w:val="auto"/>
        </w:rPr>
        <w:t>The goodwill of $6,555 related to the acquisition of of Sabine is composed of expected synergies in utilizing Sabine technology in ClearOne product offerings, reduction in future combined research and development expenses, and intangible assets including acquired workforce that do not qualify for separate recognition. The goodwill balance of $6,555 related to the acquisition of Sabine is deductible for tax purposes.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Supplemental Pro Forma Information:</w:t>
      </w:r>
    </w:p>
    <w:p>
      <w:pPr>
        <w:spacing w:after="0" w:line="225" w:lineRule="exact"/>
        <w:rPr>
          <w:sz w:val="20"/>
          <w:szCs w:val="20"/>
          <w:color w:val="auto"/>
        </w:rPr>
      </w:pPr>
    </w:p>
    <w:p>
      <w:pPr>
        <w:ind w:left="860" w:hanging="204"/>
        <w:spacing w:after="0"/>
        <w:tabs>
          <w:tab w:leader="none" w:pos="860" w:val="left"/>
        </w:tabs>
        <w:numPr>
          <w:ilvl w:val="0"/>
          <w:numId w:val="4"/>
        </w:numPr>
        <w:rPr>
          <w:rFonts w:ascii="Arial" w:cs="Arial" w:eastAsia="Arial" w:hAnsi="Arial"/>
          <w:sz w:val="18"/>
          <w:szCs w:val="18"/>
          <w:color w:val="auto"/>
        </w:rPr>
      </w:pPr>
      <w:r>
        <w:rPr>
          <w:rFonts w:ascii="Arial" w:cs="Arial" w:eastAsia="Arial" w:hAnsi="Arial"/>
          <w:sz w:val="18"/>
          <w:szCs w:val="18"/>
          <w:color w:val="auto"/>
        </w:rPr>
        <w:t>Revenue and net income from the Sabine business from March 8, 2014 to September 30, 2014 was $2,887 and $374 respectively.</w:t>
      </w:r>
    </w:p>
    <w:p>
      <w:pPr>
        <w:spacing w:after="0" w:line="23" w:lineRule="exact"/>
        <w:rPr>
          <w:rFonts w:ascii="Arial" w:cs="Arial" w:eastAsia="Arial" w:hAnsi="Arial"/>
          <w:sz w:val="18"/>
          <w:szCs w:val="18"/>
          <w:color w:val="auto"/>
        </w:rPr>
      </w:pPr>
    </w:p>
    <w:p>
      <w:pPr>
        <w:ind w:left="860" w:hanging="204"/>
        <w:spacing w:after="0"/>
        <w:tabs>
          <w:tab w:leader="none" w:pos="860" w:val="left"/>
        </w:tabs>
        <w:numPr>
          <w:ilvl w:val="0"/>
          <w:numId w:val="4"/>
        </w:numPr>
        <w:rPr>
          <w:rFonts w:ascii="Arial" w:cs="Arial" w:eastAsia="Arial" w:hAnsi="Arial"/>
          <w:sz w:val="18"/>
          <w:szCs w:val="18"/>
          <w:color w:val="auto"/>
        </w:rPr>
      </w:pPr>
      <w:r>
        <w:rPr>
          <w:rFonts w:ascii="Arial" w:cs="Arial" w:eastAsia="Arial" w:hAnsi="Arial"/>
          <w:sz w:val="18"/>
          <w:szCs w:val="18"/>
          <w:color w:val="auto"/>
        </w:rPr>
        <w:t>Revenue and earnings of the combined entity as though the business combination occurred as of January 1, 2013 were as follows:</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700" w:type="dxa"/>
            <w:vAlign w:val="bottom"/>
          </w:tcPr>
          <w:p>
            <w:pPr>
              <w:spacing w:after="0"/>
              <w:rPr>
                <w:sz w:val="18"/>
                <w:szCs w:val="18"/>
                <w:color w:val="auto"/>
              </w:rPr>
            </w:pPr>
          </w:p>
        </w:tc>
        <w:tc>
          <w:tcPr>
            <w:tcW w:w="3420" w:type="dxa"/>
            <w:vAlign w:val="bottom"/>
            <w:gridSpan w:val="6"/>
          </w:tcPr>
          <w:p>
            <w:pPr>
              <w:ind w:left="440"/>
              <w:spacing w:after="0"/>
              <w:rPr>
                <w:sz w:val="20"/>
                <w:szCs w:val="20"/>
                <w:color w:val="auto"/>
              </w:rPr>
            </w:pPr>
            <w:r>
              <w:rPr>
                <w:rFonts w:ascii="Arial" w:cs="Arial" w:eastAsia="Arial" w:hAnsi="Arial"/>
                <w:sz w:val="16"/>
                <w:szCs w:val="16"/>
                <w:b w:val="1"/>
                <w:bCs w:val="1"/>
                <w:color w:val="auto"/>
              </w:rPr>
              <w:t>Three months ended September 30,</w:t>
            </w:r>
          </w:p>
        </w:tc>
        <w:tc>
          <w:tcPr>
            <w:tcW w:w="300" w:type="dxa"/>
            <w:vAlign w:val="bottom"/>
          </w:tcPr>
          <w:p>
            <w:pPr>
              <w:spacing w:after="0"/>
              <w:rPr>
                <w:sz w:val="18"/>
                <w:szCs w:val="18"/>
                <w:color w:val="auto"/>
              </w:rPr>
            </w:pPr>
          </w:p>
        </w:tc>
        <w:tc>
          <w:tcPr>
            <w:tcW w:w="3000" w:type="dxa"/>
            <w:vAlign w:val="bottom"/>
            <w:gridSpan w:val="4"/>
          </w:tcPr>
          <w:p>
            <w:pPr>
              <w:jc w:val="right"/>
              <w:ind w:right="372"/>
              <w:spacing w:after="0"/>
              <w:rPr>
                <w:sz w:val="20"/>
                <w:szCs w:val="20"/>
                <w:color w:val="auto"/>
              </w:rPr>
            </w:pPr>
            <w:r>
              <w:rPr>
                <w:rFonts w:ascii="Arial" w:cs="Arial" w:eastAsia="Arial" w:hAnsi="Arial"/>
                <w:sz w:val="16"/>
                <w:szCs w:val="16"/>
                <w:b w:val="1"/>
                <w:bCs w:val="1"/>
                <w:color w:val="auto"/>
                <w:w w:val="96"/>
              </w:rPr>
              <w:t>Nine months ended September 30,</w:t>
            </w:r>
          </w:p>
        </w:tc>
      </w:tr>
      <w:tr>
        <w:trPr>
          <w:trHeight w:val="33"/>
        </w:trPr>
        <w:tc>
          <w:tcPr>
            <w:tcW w:w="4700" w:type="dxa"/>
            <w:vAlign w:val="bottom"/>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31"/>
        </w:trPr>
        <w:tc>
          <w:tcPr>
            <w:tcW w:w="470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6"/>
                <w:szCs w:val="16"/>
                <w:b w:val="1"/>
                <w:bCs w:val="1"/>
                <w:color w:val="auto"/>
              </w:rPr>
              <w:t>2014</w:t>
            </w:r>
          </w:p>
        </w:tc>
        <w:tc>
          <w:tcPr>
            <w:tcW w:w="6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20" w:type="dxa"/>
            <w:vAlign w:val="bottom"/>
          </w:tcPr>
          <w:p>
            <w:pPr>
              <w:jc w:val="right"/>
              <w:ind w:right="552"/>
              <w:spacing w:after="0"/>
              <w:rPr>
                <w:sz w:val="20"/>
                <w:szCs w:val="20"/>
                <w:color w:val="auto"/>
              </w:rPr>
            </w:pPr>
            <w:r>
              <w:rPr>
                <w:rFonts w:ascii="Arial" w:cs="Arial" w:eastAsia="Arial" w:hAnsi="Arial"/>
                <w:sz w:val="16"/>
                <w:szCs w:val="16"/>
                <w:b w:val="1"/>
                <w:bCs w:val="1"/>
                <w:color w:val="auto"/>
              </w:rPr>
              <w:t>2013</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300" w:type="dxa"/>
            <w:vAlign w:val="bottom"/>
          </w:tcPr>
          <w:p>
            <w:pPr>
              <w:jc w:val="right"/>
              <w:ind w:right="553"/>
              <w:spacing w:after="0"/>
              <w:rPr>
                <w:sz w:val="20"/>
                <w:szCs w:val="20"/>
                <w:color w:val="auto"/>
              </w:rPr>
            </w:pPr>
            <w:r>
              <w:rPr>
                <w:rFonts w:ascii="Arial" w:cs="Arial" w:eastAsia="Arial" w:hAnsi="Arial"/>
                <w:sz w:val="16"/>
                <w:szCs w:val="16"/>
                <w:b w:val="1"/>
                <w:bCs w:val="1"/>
                <w:color w:val="auto"/>
              </w:rPr>
              <w:t>2014</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20" w:type="dxa"/>
            <w:vAlign w:val="bottom"/>
          </w:tcPr>
          <w:p>
            <w:pPr>
              <w:jc w:val="right"/>
              <w:ind w:right="552"/>
              <w:spacing w:after="0"/>
              <w:rPr>
                <w:sz w:val="20"/>
                <w:szCs w:val="20"/>
                <w:color w:val="auto"/>
              </w:rPr>
            </w:pPr>
            <w:r>
              <w:rPr>
                <w:rFonts w:ascii="Arial" w:cs="Arial" w:eastAsia="Arial" w:hAnsi="Arial"/>
                <w:sz w:val="16"/>
                <w:szCs w:val="16"/>
                <w:b w:val="1"/>
                <w:bCs w:val="1"/>
                <w:color w:val="auto"/>
              </w:rPr>
              <w:t>2013</w:t>
            </w:r>
          </w:p>
        </w:tc>
      </w:tr>
      <w:tr>
        <w:trPr>
          <w:trHeight w:val="33"/>
        </w:trPr>
        <w:tc>
          <w:tcPr>
            <w:tcW w:w="4700" w:type="dxa"/>
            <w:vAlign w:val="bottom"/>
            <w:tcBorders>
              <w:bottom w:val="single" w:sz="8" w:color="CCEEFF"/>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44"/>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Revenue</w:t>
            </w:r>
          </w:p>
        </w:tc>
        <w:tc>
          <w:tcPr>
            <w:tcW w:w="980" w:type="dxa"/>
            <w:vAlign w:val="bottom"/>
            <w:tcBorders>
              <w:bottom w:val="single" w:sz="8" w:color="CCEEFF"/>
            </w:tcBorders>
            <w:shd w:val="clear" w:color="auto" w:fill="CCEEFF"/>
          </w:tcPr>
          <w:p>
            <w:pPr>
              <w:jc w:val="right"/>
              <w:ind w:right="774"/>
              <w:spacing w:after="0"/>
              <w:rPr>
                <w:sz w:val="20"/>
                <w:szCs w:val="20"/>
                <w:color w:val="auto"/>
              </w:rPr>
            </w:pPr>
            <w:r>
              <w:rPr>
                <w:rFonts w:ascii="Arial" w:cs="Arial" w:eastAsia="Arial" w:hAnsi="Arial"/>
                <w:sz w:val="18"/>
                <w:szCs w:val="18"/>
                <w:color w:val="auto"/>
                <w:w w:val="99"/>
              </w:rPr>
              <w:t>$</w:t>
            </w:r>
          </w:p>
        </w:tc>
        <w:tc>
          <w:tcPr>
            <w:tcW w:w="6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0"/>
              </w:rPr>
              <w:t>15,739</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13,252</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42,827</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37,947</w:t>
            </w: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Earnings</w:t>
            </w:r>
          </w:p>
        </w:tc>
        <w:tc>
          <w:tcPr>
            <w:tcW w:w="980" w:type="dxa"/>
            <w:vAlign w:val="bottom"/>
          </w:tcPr>
          <w:p>
            <w:pPr>
              <w:spacing w:after="0"/>
              <w:rPr>
                <w:sz w:val="21"/>
                <w:szCs w:val="21"/>
                <w:color w:val="auto"/>
              </w:rPr>
            </w:pPr>
          </w:p>
        </w:tc>
        <w:tc>
          <w:tcPr>
            <w:tcW w:w="640" w:type="dxa"/>
            <w:vAlign w:val="bottom"/>
          </w:tcPr>
          <w:p>
            <w:pPr>
              <w:jc w:val="right"/>
              <w:ind w:right="30"/>
              <w:spacing w:after="0"/>
              <w:rPr>
                <w:sz w:val="20"/>
                <w:szCs w:val="20"/>
                <w:color w:val="auto"/>
              </w:rPr>
            </w:pPr>
            <w:r>
              <w:rPr>
                <w:rFonts w:ascii="Arial" w:cs="Arial" w:eastAsia="Arial" w:hAnsi="Arial"/>
                <w:sz w:val="18"/>
                <w:szCs w:val="18"/>
                <w:color w:val="auto"/>
              </w:rPr>
              <w:t>1,646</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ind w:right="32"/>
              <w:spacing w:after="0"/>
              <w:rPr>
                <w:sz w:val="20"/>
                <w:szCs w:val="20"/>
                <w:color w:val="auto"/>
              </w:rPr>
            </w:pPr>
            <w:r>
              <w:rPr>
                <w:rFonts w:ascii="Arial" w:cs="Arial" w:eastAsia="Arial" w:hAnsi="Arial"/>
                <w:sz w:val="18"/>
                <w:szCs w:val="18"/>
                <w:color w:val="auto"/>
              </w:rPr>
              <w:t>1,702</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300" w:type="dxa"/>
            <w:vAlign w:val="bottom"/>
          </w:tcPr>
          <w:p>
            <w:pPr>
              <w:jc w:val="right"/>
              <w:ind w:right="13"/>
              <w:spacing w:after="0"/>
              <w:rPr>
                <w:sz w:val="20"/>
                <w:szCs w:val="20"/>
                <w:color w:val="auto"/>
              </w:rPr>
            </w:pPr>
            <w:r>
              <w:rPr>
                <w:rFonts w:ascii="Arial" w:cs="Arial" w:eastAsia="Arial" w:hAnsi="Arial"/>
                <w:sz w:val="18"/>
                <w:szCs w:val="18"/>
                <w:color w:val="auto"/>
              </w:rPr>
              <w:t>2,830</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ind w:right="12"/>
              <w:spacing w:after="0"/>
              <w:rPr>
                <w:sz w:val="20"/>
                <w:szCs w:val="20"/>
                <w:color w:val="auto"/>
              </w:rPr>
            </w:pPr>
            <w:r>
              <w:rPr>
                <w:rFonts w:ascii="Arial" w:cs="Arial" w:eastAsia="Arial" w:hAnsi="Arial"/>
                <w:sz w:val="18"/>
                <w:szCs w:val="18"/>
                <w:color w:val="auto"/>
              </w:rPr>
              <w:t>3,490</w:t>
            </w:r>
          </w:p>
        </w:tc>
      </w:tr>
      <w:tr>
        <w:trPr>
          <w:trHeight w:val="27"/>
        </w:trPr>
        <w:tc>
          <w:tcPr>
            <w:tcW w:w="4700" w:type="dxa"/>
            <w:vAlign w:val="bottom"/>
          </w:tcPr>
          <w:p>
            <w:pPr>
              <w:spacing w:after="0"/>
              <w:rPr>
                <w:sz w:val="2"/>
                <w:szCs w:val="2"/>
                <w:color w:val="auto"/>
              </w:rPr>
            </w:pPr>
          </w:p>
        </w:tc>
        <w:tc>
          <w:tcPr>
            <w:tcW w:w="98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Basic earnings per common share</w:t>
            </w:r>
          </w:p>
        </w:tc>
        <w:tc>
          <w:tcPr>
            <w:tcW w:w="980" w:type="dxa"/>
            <w:vAlign w:val="bottom"/>
            <w:tcBorders>
              <w:bottom w:val="single" w:sz="8" w:color="CCEEFF"/>
            </w:tcBorders>
            <w:shd w:val="clear" w:color="auto" w:fill="CCEEFF"/>
          </w:tcPr>
          <w:p>
            <w:pPr>
              <w:jc w:val="right"/>
              <w:ind w:right="774"/>
              <w:spacing w:after="0"/>
              <w:rPr>
                <w:sz w:val="20"/>
                <w:szCs w:val="20"/>
                <w:color w:val="auto"/>
              </w:rPr>
            </w:pPr>
            <w:r>
              <w:rPr>
                <w:rFonts w:ascii="Arial" w:cs="Arial" w:eastAsia="Arial" w:hAnsi="Arial"/>
                <w:sz w:val="18"/>
                <w:szCs w:val="18"/>
                <w:color w:val="auto"/>
                <w:w w:val="99"/>
              </w:rPr>
              <w:t>$</w:t>
            </w:r>
          </w:p>
        </w:tc>
        <w:tc>
          <w:tcPr>
            <w:tcW w:w="6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0.18</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0.19</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0.31</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0.38</w:t>
            </w: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Diluted earnings per common share</w:t>
            </w:r>
          </w:p>
        </w:tc>
        <w:tc>
          <w:tcPr>
            <w:tcW w:w="980" w:type="dxa"/>
            <w:vAlign w:val="bottom"/>
          </w:tcPr>
          <w:p>
            <w:pPr>
              <w:jc w:val="right"/>
              <w:ind w:right="774"/>
              <w:spacing w:after="0"/>
              <w:rPr>
                <w:sz w:val="20"/>
                <w:szCs w:val="20"/>
                <w:color w:val="auto"/>
              </w:rPr>
            </w:pPr>
            <w:r>
              <w:rPr>
                <w:rFonts w:ascii="Arial" w:cs="Arial" w:eastAsia="Arial" w:hAnsi="Arial"/>
                <w:sz w:val="18"/>
                <w:szCs w:val="18"/>
                <w:color w:val="auto"/>
                <w:w w:val="99"/>
              </w:rPr>
              <w:t>$</w:t>
            </w:r>
          </w:p>
        </w:tc>
        <w:tc>
          <w:tcPr>
            <w:tcW w:w="640" w:type="dxa"/>
            <w:vAlign w:val="bottom"/>
          </w:tcPr>
          <w:p>
            <w:pPr>
              <w:jc w:val="right"/>
              <w:ind w:right="30"/>
              <w:spacing w:after="0"/>
              <w:rPr>
                <w:sz w:val="20"/>
                <w:szCs w:val="20"/>
                <w:color w:val="auto"/>
              </w:rPr>
            </w:pPr>
            <w:r>
              <w:rPr>
                <w:rFonts w:ascii="Arial" w:cs="Arial" w:eastAsia="Arial" w:hAnsi="Arial"/>
                <w:sz w:val="18"/>
                <w:szCs w:val="18"/>
                <w:color w:val="auto"/>
              </w:rPr>
              <w:t>0.17</w:t>
            </w:r>
          </w:p>
        </w:tc>
        <w:tc>
          <w:tcPr>
            <w:tcW w:w="100" w:type="dxa"/>
            <w:vAlign w:val="bottom"/>
          </w:tcPr>
          <w:p>
            <w:pPr>
              <w:spacing w:after="0"/>
              <w:rPr>
                <w:sz w:val="21"/>
                <w:szCs w:val="21"/>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32"/>
              <w:spacing w:after="0"/>
              <w:rPr>
                <w:sz w:val="20"/>
                <w:szCs w:val="20"/>
                <w:color w:val="auto"/>
              </w:rPr>
            </w:pPr>
            <w:r>
              <w:rPr>
                <w:rFonts w:ascii="Arial" w:cs="Arial" w:eastAsia="Arial" w:hAnsi="Arial"/>
                <w:sz w:val="18"/>
                <w:szCs w:val="18"/>
                <w:color w:val="auto"/>
              </w:rPr>
              <w:t>0.18</w:t>
            </w:r>
          </w:p>
        </w:tc>
        <w:tc>
          <w:tcPr>
            <w:tcW w:w="1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ind w:right="13"/>
              <w:spacing w:after="0"/>
              <w:rPr>
                <w:sz w:val="20"/>
                <w:szCs w:val="20"/>
                <w:color w:val="auto"/>
              </w:rPr>
            </w:pPr>
            <w:r>
              <w:rPr>
                <w:rFonts w:ascii="Arial" w:cs="Arial" w:eastAsia="Arial" w:hAnsi="Arial"/>
                <w:sz w:val="18"/>
                <w:szCs w:val="18"/>
                <w:color w:val="auto"/>
              </w:rPr>
              <w:t>0.29</w:t>
            </w:r>
          </w:p>
        </w:tc>
        <w:tc>
          <w:tcPr>
            <w:tcW w:w="100" w:type="dxa"/>
            <w:vAlign w:val="bottom"/>
          </w:tcPr>
          <w:p>
            <w:pPr>
              <w:spacing w:after="0"/>
              <w:rPr>
                <w:sz w:val="21"/>
                <w:szCs w:val="21"/>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12"/>
              <w:spacing w:after="0"/>
              <w:rPr>
                <w:sz w:val="20"/>
                <w:szCs w:val="20"/>
                <w:color w:val="auto"/>
              </w:rPr>
            </w:pPr>
            <w:r>
              <w:rPr>
                <w:rFonts w:ascii="Arial" w:cs="Arial" w:eastAsia="Arial" w:hAnsi="Arial"/>
                <w:sz w:val="18"/>
                <w:szCs w:val="18"/>
                <w:color w:val="auto"/>
              </w:rPr>
              <w:t>0.37</w:t>
            </w:r>
          </w:p>
        </w:tc>
      </w:tr>
    </w:tbl>
    <w:p>
      <w:pPr>
        <w:spacing w:after="0" w:line="229" w:lineRule="exact"/>
        <w:rPr>
          <w:sz w:val="20"/>
          <w:szCs w:val="20"/>
          <w:color w:val="auto"/>
        </w:rPr>
      </w:pPr>
    </w:p>
    <w:p>
      <w:pPr>
        <w:ind w:right="460" w:firstLine="656"/>
        <w:spacing w:after="0" w:line="277" w:lineRule="auto"/>
        <w:tabs>
          <w:tab w:leader="none" w:pos="843"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There were no material, nonrecurring pro forma adjustments directly attributable to the acquisition included in this Supplemental Pro Forma Information.</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Spontania business of Spain-based Dialcom Networks, S.L.</w:t>
      </w:r>
    </w:p>
    <w:p>
      <w:pPr>
        <w:spacing w:after="0" w:line="225" w:lineRule="exact"/>
        <w:rPr>
          <w:sz w:val="20"/>
          <w:szCs w:val="20"/>
          <w:color w:val="auto"/>
        </w:rPr>
      </w:pPr>
    </w:p>
    <w:p>
      <w:pPr>
        <w:ind w:right="40"/>
        <w:spacing w:after="0" w:line="302" w:lineRule="auto"/>
        <w:rPr>
          <w:sz w:val="20"/>
          <w:szCs w:val="20"/>
          <w:color w:val="auto"/>
        </w:rPr>
      </w:pPr>
      <w:r>
        <w:rPr>
          <w:rFonts w:ascii="Arial" w:cs="Arial" w:eastAsia="Arial" w:hAnsi="Arial"/>
          <w:sz w:val="16"/>
          <w:szCs w:val="16"/>
          <w:color w:val="auto"/>
        </w:rPr>
        <w:t>December 20, 2013 ClearOne, Inc. entered into an agreement to acquire the Spontania business of Spain-based Dialcom Networks, S.L. The Spontania cloud-based service empowers customers to deploy HD video conferencing, web collaboration, and more with equipment most businesses have and use every day - video-conferencing endpoints, desktops, laptops, web browsers, tablets, and smartphones. With Spontania there is no hardware investment and the service operates off of a reservation-less model, enabling on-demand video communications from virtually anywhere, anytime, with anyone on any device.</w:t>
      </w:r>
    </w:p>
    <w:p>
      <w:pPr>
        <w:spacing w:after="0" w:line="154" w:lineRule="exact"/>
        <w:rPr>
          <w:sz w:val="20"/>
          <w:szCs w:val="20"/>
          <w:color w:val="auto"/>
        </w:rPr>
      </w:pPr>
    </w:p>
    <w:p>
      <w:pPr>
        <w:ind w:right="220"/>
        <w:spacing w:after="0" w:line="286" w:lineRule="auto"/>
        <w:rPr>
          <w:sz w:val="20"/>
          <w:szCs w:val="20"/>
          <w:color w:val="auto"/>
        </w:rPr>
      </w:pPr>
      <w:r>
        <w:rPr>
          <w:rFonts w:ascii="Arial" w:cs="Arial" w:eastAsia="Arial" w:hAnsi="Arial"/>
          <w:sz w:val="17"/>
          <w:szCs w:val="17"/>
          <w:color w:val="auto"/>
        </w:rPr>
        <w:t>The Spontania purchase closed on April 1, 2014. The aggregate purchase price under the terms of the transaction was approximately €3.66 million in cash (approximately US$5.1 million), after certain closing adjustments. ClearOne did not assume any debt or cash. The cash purchase price was paid out of cash on hand. The addition of this technology completes the company’s strategy to build an all-inclusive video collaboration portfolio.</w:t>
      </w:r>
    </w:p>
    <w:p>
      <w:pPr>
        <w:spacing w:after="0" w:line="166"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The estimated fair values of assets acquired and liabilities assumed are provisional and are based on the information that was available as of the acquisition date to estimate the fair value of assets acquired and liabilities assumed. The Company believes</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121" w:right="239" w:bottom="1440" w:gutter="0" w:footer="0" w:header="0"/>
        </w:sectPr>
      </w:pPr>
    </w:p>
    <w:bookmarkStart w:id="9" w:name="page10"/>
    <w:bookmarkEnd w:id="9"/>
    <w:p>
      <w:pPr>
        <w:jc w:val="center"/>
        <w:spacing w:after="0"/>
        <w:rPr>
          <w:sz w:val="20"/>
          <w:szCs w:val="20"/>
          <w:color w:val="auto"/>
        </w:rPr>
      </w:pPr>
      <w:r>
        <w:rPr>
          <w:rFonts w:ascii="Arial" w:cs="Arial" w:eastAsia="Arial" w:hAnsi="Arial"/>
          <w:sz w:val="18"/>
          <w:szCs w:val="18"/>
          <w:b w:val="1"/>
          <w:bCs w:val="1"/>
          <w:color w:val="auto"/>
        </w:rPr>
        <w:t>CLEARONE,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(Unaudited – Dollars in thousands)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ind w:right="160"/>
        <w:spacing w:after="0" w:line="276" w:lineRule="auto"/>
        <w:rPr>
          <w:sz w:val="20"/>
          <w:szCs w:val="20"/>
          <w:color w:val="auto"/>
        </w:rPr>
      </w:pPr>
      <w:r>
        <w:rPr>
          <w:rFonts w:ascii="Arial" w:cs="Arial" w:eastAsia="Arial" w:hAnsi="Arial"/>
          <w:sz w:val="17"/>
          <w:szCs w:val="17"/>
          <w:color w:val="auto"/>
        </w:rPr>
        <w:t>that such information provides a reasonable basis for estimating the fair values of assets acquired and liabilities assumed, but the Company is waiting for additional information necessary to finalize those fair values. The measurement period for purchase price allocation ends as soon as information on the facts and circumstances becomes available, but will not exceed twelve months from the date of acquisition. Adjustments in the purchase price allocation may require a recasting of the amounts allocated to intangible assets and possible allocation to goodwill, retroactive to the period in which the acquisition occurred. Therefore, the provisional measurements of fair value reflected are subject to change and such changes could be significant.</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9360" w:type="dxa"/>
            <w:vAlign w:val="bottom"/>
            <w:gridSpan w:val="2"/>
          </w:tcPr>
          <w:p>
            <w:pPr>
              <w:spacing w:after="0"/>
              <w:rPr>
                <w:sz w:val="20"/>
                <w:szCs w:val="20"/>
                <w:color w:val="auto"/>
              </w:rPr>
            </w:pPr>
            <w:r>
              <w:rPr>
                <w:rFonts w:ascii="Arial" w:cs="Arial" w:eastAsia="Arial" w:hAnsi="Arial"/>
                <w:sz w:val="18"/>
                <w:szCs w:val="18"/>
                <w:color w:val="auto"/>
              </w:rPr>
              <w:t>The fair value of identified assets and liabilities acquired was as follows:</w:t>
            </w:r>
          </w:p>
        </w:tc>
        <w:tc>
          <w:tcPr>
            <w:tcW w:w="360" w:type="dxa"/>
            <w:vAlign w:val="bottom"/>
          </w:tcPr>
          <w:p>
            <w:pPr>
              <w:spacing w:after="0"/>
              <w:rPr>
                <w:sz w:val="20"/>
                <w:szCs w:val="20"/>
                <w:color w:val="auto"/>
              </w:rPr>
            </w:pPr>
          </w:p>
        </w:tc>
        <w:tc>
          <w:tcPr>
            <w:tcW w:w="1680" w:type="dxa"/>
            <w:vAlign w:val="bottom"/>
          </w:tcPr>
          <w:p>
            <w:pPr>
              <w:spacing w:after="0"/>
              <w:rPr>
                <w:sz w:val="20"/>
                <w:szCs w:val="20"/>
                <w:color w:val="auto"/>
              </w:rPr>
            </w:pPr>
          </w:p>
        </w:tc>
      </w:tr>
      <w:tr>
        <w:trPr>
          <w:trHeight w:val="378"/>
        </w:trPr>
        <w:tc>
          <w:tcPr>
            <w:tcW w:w="40" w:type="dxa"/>
            <w:vAlign w:val="bottom"/>
          </w:tcPr>
          <w:p>
            <w:pPr>
              <w:spacing w:after="0"/>
              <w:rPr>
                <w:sz w:val="24"/>
                <w:szCs w:val="24"/>
                <w:color w:val="auto"/>
              </w:rPr>
            </w:pPr>
          </w:p>
        </w:tc>
        <w:tc>
          <w:tcPr>
            <w:tcW w:w="93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680" w:type="dxa"/>
            <w:vAlign w:val="bottom"/>
          </w:tcPr>
          <w:p>
            <w:pPr>
              <w:jc w:val="right"/>
              <w:ind w:right="550"/>
              <w:spacing w:after="0"/>
              <w:rPr>
                <w:sz w:val="20"/>
                <w:szCs w:val="20"/>
                <w:color w:val="auto"/>
              </w:rPr>
            </w:pPr>
            <w:r>
              <w:rPr>
                <w:rFonts w:ascii="Arial" w:cs="Arial" w:eastAsia="Arial" w:hAnsi="Arial"/>
                <w:sz w:val="18"/>
                <w:szCs w:val="18"/>
                <w:b w:val="1"/>
                <w:bCs w:val="1"/>
                <w:color w:val="auto"/>
              </w:rPr>
              <w:t>Fair value</w:t>
            </w:r>
          </w:p>
        </w:tc>
      </w:tr>
      <w:tr>
        <w:trPr>
          <w:trHeight w:val="27"/>
        </w:trPr>
        <w:tc>
          <w:tcPr>
            <w:tcW w:w="40" w:type="dxa"/>
            <w:vAlign w:val="bottom"/>
          </w:tcPr>
          <w:p>
            <w:pPr>
              <w:spacing w:after="0"/>
              <w:rPr>
                <w:sz w:val="2"/>
                <w:szCs w:val="2"/>
                <w:color w:val="auto"/>
              </w:rPr>
            </w:pPr>
          </w:p>
        </w:tc>
        <w:tc>
          <w:tcPr>
            <w:tcW w:w="93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r>
      <w:tr>
        <w:trPr>
          <w:trHeight w:val="244"/>
        </w:trPr>
        <w:tc>
          <w:tcPr>
            <w:tcW w:w="40" w:type="dxa"/>
            <w:vAlign w:val="bottom"/>
          </w:tcPr>
          <w:p>
            <w:pPr>
              <w:spacing w:after="0"/>
              <w:rPr>
                <w:sz w:val="21"/>
                <w:szCs w:val="21"/>
                <w:color w:val="auto"/>
              </w:rPr>
            </w:pPr>
          </w:p>
        </w:tc>
        <w:tc>
          <w:tcPr>
            <w:tcW w:w="9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Property and equipment</w:t>
            </w:r>
          </w:p>
        </w:tc>
        <w:tc>
          <w:tcPr>
            <w:tcW w:w="36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6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47</w:t>
            </w:r>
          </w:p>
        </w:tc>
      </w:tr>
      <w:tr>
        <w:trPr>
          <w:trHeight w:val="243"/>
        </w:trPr>
        <w:tc>
          <w:tcPr>
            <w:tcW w:w="40" w:type="dxa"/>
            <w:vAlign w:val="bottom"/>
          </w:tcPr>
          <w:p>
            <w:pPr>
              <w:spacing w:after="0"/>
              <w:rPr>
                <w:sz w:val="21"/>
                <w:szCs w:val="21"/>
                <w:color w:val="auto"/>
              </w:rPr>
            </w:pPr>
          </w:p>
        </w:tc>
        <w:tc>
          <w:tcPr>
            <w:tcW w:w="9320" w:type="dxa"/>
            <w:vAlign w:val="bottom"/>
          </w:tcPr>
          <w:p>
            <w:pPr>
              <w:ind w:left="20"/>
              <w:spacing w:after="0"/>
              <w:rPr>
                <w:sz w:val="20"/>
                <w:szCs w:val="20"/>
                <w:color w:val="auto"/>
              </w:rPr>
            </w:pPr>
            <w:r>
              <w:rPr>
                <w:rFonts w:ascii="Arial" w:cs="Arial" w:eastAsia="Arial" w:hAnsi="Arial"/>
                <w:sz w:val="18"/>
                <w:szCs w:val="18"/>
                <w:color w:val="auto"/>
              </w:rPr>
              <w:t>Intangibles</w:t>
            </w:r>
          </w:p>
        </w:tc>
        <w:tc>
          <w:tcPr>
            <w:tcW w:w="360" w:type="dxa"/>
            <w:vAlign w:val="bottom"/>
          </w:tcPr>
          <w:p>
            <w:pPr>
              <w:spacing w:after="0"/>
              <w:rPr>
                <w:sz w:val="21"/>
                <w:szCs w:val="21"/>
                <w:color w:val="auto"/>
              </w:rPr>
            </w:pPr>
          </w:p>
        </w:tc>
        <w:tc>
          <w:tcPr>
            <w:tcW w:w="1680" w:type="dxa"/>
            <w:vAlign w:val="bottom"/>
          </w:tcPr>
          <w:p>
            <w:pPr>
              <w:jc w:val="right"/>
              <w:ind w:right="30"/>
              <w:spacing w:after="0"/>
              <w:rPr>
                <w:sz w:val="20"/>
                <w:szCs w:val="20"/>
                <w:color w:val="auto"/>
              </w:rPr>
            </w:pPr>
            <w:r>
              <w:rPr>
                <w:rFonts w:ascii="Arial" w:cs="Arial" w:eastAsia="Arial" w:hAnsi="Arial"/>
                <w:sz w:val="18"/>
                <w:szCs w:val="18"/>
                <w:color w:val="auto"/>
              </w:rPr>
              <w:t>2,488</w:t>
            </w:r>
          </w:p>
        </w:tc>
      </w:tr>
      <w:tr>
        <w:trPr>
          <w:trHeight w:val="27"/>
        </w:trPr>
        <w:tc>
          <w:tcPr>
            <w:tcW w:w="40" w:type="dxa"/>
            <w:vAlign w:val="bottom"/>
          </w:tcPr>
          <w:p>
            <w:pPr>
              <w:spacing w:after="0"/>
              <w:rPr>
                <w:sz w:val="2"/>
                <w:szCs w:val="2"/>
                <w:color w:val="auto"/>
              </w:rPr>
            </w:pPr>
          </w:p>
        </w:tc>
        <w:tc>
          <w:tcPr>
            <w:tcW w:w="93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680" w:type="dxa"/>
            <w:vAlign w:val="bottom"/>
          </w:tcPr>
          <w:p>
            <w:pPr>
              <w:spacing w:after="0"/>
              <w:rPr>
                <w:sz w:val="2"/>
                <w:szCs w:val="2"/>
                <w:color w:val="auto"/>
              </w:rPr>
            </w:pPr>
          </w:p>
        </w:tc>
      </w:tr>
      <w:tr>
        <w:trPr>
          <w:trHeight w:val="250"/>
        </w:trPr>
        <w:tc>
          <w:tcPr>
            <w:tcW w:w="40" w:type="dxa"/>
            <w:vAlign w:val="bottom"/>
          </w:tcPr>
          <w:p>
            <w:pPr>
              <w:spacing w:after="0"/>
              <w:rPr>
                <w:sz w:val="21"/>
                <w:szCs w:val="21"/>
                <w:color w:val="auto"/>
              </w:rPr>
            </w:pPr>
          </w:p>
        </w:tc>
        <w:tc>
          <w:tcPr>
            <w:tcW w:w="9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Goodwill</w:t>
            </w:r>
          </w:p>
        </w:tc>
        <w:tc>
          <w:tcPr>
            <w:tcW w:w="36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2,569</w:t>
            </w:r>
          </w:p>
        </w:tc>
      </w:tr>
      <w:tr>
        <w:trPr>
          <w:trHeight w:val="243"/>
        </w:trPr>
        <w:tc>
          <w:tcPr>
            <w:tcW w:w="40" w:type="dxa"/>
            <w:vAlign w:val="bottom"/>
          </w:tcPr>
          <w:p>
            <w:pPr>
              <w:spacing w:after="0"/>
              <w:rPr>
                <w:sz w:val="21"/>
                <w:szCs w:val="21"/>
                <w:color w:val="auto"/>
              </w:rPr>
            </w:pPr>
          </w:p>
        </w:tc>
        <w:tc>
          <w:tcPr>
            <w:tcW w:w="9320" w:type="dxa"/>
            <w:vAlign w:val="bottom"/>
          </w:tcPr>
          <w:p>
            <w:pPr>
              <w:ind w:left="20"/>
              <w:spacing w:after="0"/>
              <w:rPr>
                <w:sz w:val="20"/>
                <w:szCs w:val="20"/>
                <w:color w:val="auto"/>
              </w:rPr>
            </w:pPr>
            <w:r>
              <w:rPr>
                <w:rFonts w:ascii="Arial" w:cs="Arial" w:eastAsia="Arial" w:hAnsi="Arial"/>
                <w:sz w:val="18"/>
                <w:szCs w:val="18"/>
                <w:color w:val="auto"/>
              </w:rPr>
              <w:t>Accrued liabilities</w:t>
            </w:r>
          </w:p>
        </w:tc>
        <w:tc>
          <w:tcPr>
            <w:tcW w:w="360" w:type="dxa"/>
            <w:vAlign w:val="bottom"/>
          </w:tcPr>
          <w:p>
            <w:pPr>
              <w:spacing w:after="0"/>
              <w:rPr>
                <w:sz w:val="21"/>
                <w:szCs w:val="21"/>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(52)</w:t>
            </w:r>
          </w:p>
        </w:tc>
      </w:tr>
      <w:tr>
        <w:trPr>
          <w:trHeight w:val="27"/>
        </w:trPr>
        <w:tc>
          <w:tcPr>
            <w:tcW w:w="40" w:type="dxa"/>
            <w:vAlign w:val="bottom"/>
          </w:tcPr>
          <w:p>
            <w:pPr>
              <w:spacing w:after="0"/>
              <w:rPr>
                <w:sz w:val="2"/>
                <w:szCs w:val="2"/>
                <w:color w:val="auto"/>
              </w:rPr>
            </w:pPr>
          </w:p>
        </w:tc>
        <w:tc>
          <w:tcPr>
            <w:tcW w:w="93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r>
      <w:tr>
        <w:trPr>
          <w:trHeight w:val="257"/>
        </w:trPr>
        <w:tc>
          <w:tcPr>
            <w:tcW w:w="40" w:type="dxa"/>
            <w:vAlign w:val="bottom"/>
          </w:tcPr>
          <w:p>
            <w:pPr>
              <w:spacing w:after="0"/>
              <w:rPr>
                <w:sz w:val="22"/>
                <w:szCs w:val="22"/>
                <w:color w:val="auto"/>
              </w:rPr>
            </w:pPr>
          </w:p>
        </w:tc>
        <w:tc>
          <w:tcPr>
            <w:tcW w:w="9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6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5,052</w:t>
            </w:r>
          </w:p>
        </w:tc>
      </w:tr>
      <w:tr>
        <w:trPr>
          <w:trHeight w:val="20"/>
        </w:trPr>
        <w:tc>
          <w:tcPr>
            <w:tcW w:w="40" w:type="dxa"/>
            <w:vAlign w:val="bottom"/>
          </w:tcPr>
          <w:p>
            <w:pPr>
              <w:spacing w:after="0" w:line="20" w:lineRule="exact"/>
              <w:rPr>
                <w:sz w:val="1"/>
                <w:szCs w:val="1"/>
                <w:color w:val="auto"/>
              </w:rPr>
            </w:pPr>
          </w:p>
        </w:tc>
        <w:tc>
          <w:tcPr>
            <w:tcW w:w="93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520"/>
        <w:spacing w:after="0" w:line="277" w:lineRule="auto"/>
        <w:rPr>
          <w:sz w:val="20"/>
          <w:szCs w:val="20"/>
          <w:color w:val="auto"/>
        </w:rPr>
      </w:pPr>
      <w:r>
        <w:rPr>
          <w:rFonts w:ascii="Arial" w:cs="Arial" w:eastAsia="Arial" w:hAnsi="Arial"/>
          <w:sz w:val="18"/>
          <w:szCs w:val="18"/>
          <w:color w:val="auto"/>
        </w:rPr>
        <w:t>The goodwill of $2,569 relates to the acquisition of Spontania cloud-based technology and intangible assets including acquired workforce that does not qualify for separate recognition.</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Supplemental Pro Forma Information:</w:t>
      </w:r>
    </w:p>
    <w:p>
      <w:pPr>
        <w:spacing w:after="0" w:line="225" w:lineRule="exact"/>
        <w:rPr>
          <w:sz w:val="20"/>
          <w:szCs w:val="20"/>
          <w:color w:val="auto"/>
        </w:rPr>
      </w:pPr>
    </w:p>
    <w:p>
      <w:pPr>
        <w:ind w:left="860" w:hanging="204"/>
        <w:spacing w:after="0"/>
        <w:tabs>
          <w:tab w:leader="none" w:pos="860" w:val="left"/>
        </w:tabs>
        <w:numPr>
          <w:ilvl w:val="0"/>
          <w:numId w:val="6"/>
        </w:numPr>
        <w:rPr>
          <w:rFonts w:ascii="Arial" w:cs="Arial" w:eastAsia="Arial" w:hAnsi="Arial"/>
          <w:sz w:val="18"/>
          <w:szCs w:val="18"/>
          <w:color w:val="auto"/>
        </w:rPr>
      </w:pPr>
      <w:r>
        <w:rPr>
          <w:rFonts w:ascii="Arial" w:cs="Arial" w:eastAsia="Arial" w:hAnsi="Arial"/>
          <w:sz w:val="18"/>
          <w:szCs w:val="18"/>
          <w:color w:val="auto"/>
        </w:rPr>
        <w:t>Revenue and net loss from the Spontania business from April 1, 2014 to September 30, 2014 was $335 and $472 respectively.</w:t>
      </w:r>
    </w:p>
    <w:p>
      <w:pPr>
        <w:spacing w:after="0" w:line="23" w:lineRule="exact"/>
        <w:rPr>
          <w:rFonts w:ascii="Arial" w:cs="Arial" w:eastAsia="Arial" w:hAnsi="Arial"/>
          <w:sz w:val="18"/>
          <w:szCs w:val="18"/>
          <w:color w:val="auto"/>
        </w:rPr>
      </w:pPr>
    </w:p>
    <w:p>
      <w:pPr>
        <w:ind w:right="180" w:firstLine="656"/>
        <w:spacing w:after="0" w:line="323" w:lineRule="auto"/>
        <w:tabs>
          <w:tab w:leader="none" w:pos="843" w:val="left"/>
        </w:tabs>
        <w:numPr>
          <w:ilvl w:val="0"/>
          <w:numId w:val="6"/>
        </w:numPr>
        <w:rPr>
          <w:rFonts w:ascii="Arial" w:cs="Arial" w:eastAsia="Arial" w:hAnsi="Arial"/>
          <w:sz w:val="16"/>
          <w:szCs w:val="16"/>
          <w:color w:val="auto"/>
        </w:rPr>
      </w:pPr>
      <w:r>
        <w:rPr>
          <w:rFonts w:ascii="Arial" w:cs="Arial" w:eastAsia="Arial" w:hAnsi="Arial"/>
          <w:sz w:val="16"/>
          <w:szCs w:val="16"/>
          <w:color w:val="auto"/>
        </w:rPr>
        <w:t>Revenue and earnings of the combined entity as though the business combination occurred as of January 1, 2013 is not available. The Spontania business was part of a business unit of Dialcom Networks, S.L., and thus separate stand-alone financial information for Spontania is not available.</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Acquisitions Expenses</w:t>
      </w:r>
    </w:p>
    <w:p>
      <w:pPr>
        <w:spacing w:after="0" w:line="225"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color w:val="auto"/>
        </w:rPr>
        <w:t>The Company incurred $16 and $459 in total acquisition related expenses, all of which are categorized under General and administrative expenses in the Consolidated Statement of Operations for the three and nine months ended September 30, 2014.</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Marketable Securities</w:t>
      </w:r>
    </w:p>
    <w:p>
      <w:pPr>
        <w:spacing w:after="0" w:line="310" w:lineRule="exact"/>
        <w:rPr>
          <w:sz w:val="20"/>
          <w:szCs w:val="20"/>
          <w:color w:val="auto"/>
        </w:rPr>
      </w:pPr>
    </w:p>
    <w:p>
      <w:pPr>
        <w:ind w:right="380"/>
        <w:spacing w:after="0" w:line="312" w:lineRule="auto"/>
        <w:rPr>
          <w:sz w:val="20"/>
          <w:szCs w:val="20"/>
          <w:color w:val="auto"/>
        </w:rPr>
      </w:pPr>
      <w:r>
        <w:rPr>
          <w:rFonts w:ascii="Arial" w:cs="Arial" w:eastAsia="Arial" w:hAnsi="Arial"/>
          <w:sz w:val="16"/>
          <w:szCs w:val="16"/>
          <w:color w:val="auto"/>
        </w:rPr>
        <w:t>The Company has classified its marketable securities as available-for-sale securities. These securities are carried at estimated fair value with unrealized holding gains and losses included in accumulated other comprehensive income/loss in stockholders' equity until realized. Gains and losses on marketable security transactions are reported on the specific-identification method. Dividend and interest income are recognized when earned.</w:t>
      </w:r>
    </w:p>
    <w:p>
      <w:pPr>
        <w:spacing w:after="0" w:line="93"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The amortized cost, gross unrealized holding gains, gross unrealized holding losses, and fair value for available-for-sale securities by major security type and class of security at September 30, 2014 and December 31, 2013 were as follows:</w:t>
      </w:r>
    </w:p>
    <w:p>
      <w:pPr>
        <w:spacing w:after="0" w:line="306"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46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440" w:type="dxa"/>
            <w:vAlign w:val="bottom"/>
            <w:gridSpan w:val="2"/>
          </w:tcPr>
          <w:p>
            <w:pPr>
              <w:jc w:val="center"/>
              <w:ind w:right="400"/>
              <w:spacing w:after="0"/>
              <w:rPr>
                <w:sz w:val="20"/>
                <w:szCs w:val="20"/>
                <w:color w:val="auto"/>
              </w:rPr>
            </w:pPr>
            <w:r>
              <w:rPr>
                <w:rFonts w:ascii="Arial" w:cs="Arial" w:eastAsia="Arial" w:hAnsi="Arial"/>
                <w:sz w:val="16"/>
                <w:szCs w:val="16"/>
                <w:b w:val="1"/>
                <w:bCs w:val="1"/>
                <w:color w:val="auto"/>
                <w:w w:val="86"/>
              </w:rPr>
              <w:t>Gross</w:t>
            </w:r>
          </w:p>
        </w:tc>
        <w:tc>
          <w:tcPr>
            <w:tcW w:w="280" w:type="dxa"/>
            <w:vAlign w:val="bottom"/>
          </w:tcPr>
          <w:p>
            <w:pPr>
              <w:spacing w:after="0"/>
              <w:rPr>
                <w:sz w:val="17"/>
                <w:szCs w:val="17"/>
                <w:color w:val="auto"/>
              </w:rPr>
            </w:pPr>
          </w:p>
        </w:tc>
        <w:tc>
          <w:tcPr>
            <w:tcW w:w="1420" w:type="dxa"/>
            <w:vAlign w:val="bottom"/>
            <w:gridSpan w:val="2"/>
          </w:tcPr>
          <w:p>
            <w:pPr>
              <w:jc w:val="center"/>
              <w:ind w:right="380"/>
              <w:spacing w:after="0"/>
              <w:rPr>
                <w:sz w:val="20"/>
                <w:szCs w:val="20"/>
                <w:color w:val="auto"/>
              </w:rPr>
            </w:pPr>
            <w:r>
              <w:rPr>
                <w:rFonts w:ascii="Arial" w:cs="Arial" w:eastAsia="Arial" w:hAnsi="Arial"/>
                <w:sz w:val="16"/>
                <w:szCs w:val="16"/>
                <w:b w:val="1"/>
                <w:bCs w:val="1"/>
                <w:color w:val="auto"/>
                <w:w w:val="86"/>
              </w:rPr>
              <w:t>Gross</w:t>
            </w:r>
          </w:p>
        </w:tc>
        <w:tc>
          <w:tcPr>
            <w:tcW w:w="280" w:type="dxa"/>
            <w:vAlign w:val="bottom"/>
          </w:tcPr>
          <w:p>
            <w:pPr>
              <w:spacing w:after="0"/>
              <w:rPr>
                <w:sz w:val="17"/>
                <w:szCs w:val="17"/>
                <w:color w:val="auto"/>
              </w:rPr>
            </w:pPr>
          </w:p>
        </w:tc>
        <w:tc>
          <w:tcPr>
            <w:tcW w:w="1320" w:type="dxa"/>
            <w:vAlign w:val="bottom"/>
          </w:tcPr>
          <w:p>
            <w:pPr>
              <w:spacing w:after="0"/>
              <w:rPr>
                <w:sz w:val="17"/>
                <w:szCs w:val="17"/>
                <w:color w:val="auto"/>
              </w:rPr>
            </w:pPr>
          </w:p>
        </w:tc>
      </w:tr>
      <w:tr>
        <w:trPr>
          <w:trHeight w:val="203"/>
        </w:trPr>
        <w:tc>
          <w:tcPr>
            <w:tcW w:w="46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440" w:type="dxa"/>
            <w:vAlign w:val="bottom"/>
            <w:gridSpan w:val="2"/>
          </w:tcPr>
          <w:p>
            <w:pPr>
              <w:jc w:val="center"/>
              <w:ind w:right="420"/>
              <w:spacing w:after="0"/>
              <w:rPr>
                <w:sz w:val="20"/>
                <w:szCs w:val="20"/>
                <w:color w:val="auto"/>
              </w:rPr>
            </w:pPr>
            <w:r>
              <w:rPr>
                <w:rFonts w:ascii="Arial" w:cs="Arial" w:eastAsia="Arial" w:hAnsi="Arial"/>
                <w:sz w:val="16"/>
                <w:szCs w:val="16"/>
                <w:b w:val="1"/>
                <w:bCs w:val="1"/>
                <w:color w:val="auto"/>
                <w:w w:val="93"/>
              </w:rPr>
              <w:t>unrealized</w:t>
            </w:r>
          </w:p>
        </w:tc>
        <w:tc>
          <w:tcPr>
            <w:tcW w:w="280" w:type="dxa"/>
            <w:vAlign w:val="bottom"/>
          </w:tcPr>
          <w:p>
            <w:pPr>
              <w:spacing w:after="0"/>
              <w:rPr>
                <w:sz w:val="17"/>
                <w:szCs w:val="17"/>
                <w:color w:val="auto"/>
              </w:rPr>
            </w:pPr>
          </w:p>
        </w:tc>
        <w:tc>
          <w:tcPr>
            <w:tcW w:w="1420" w:type="dxa"/>
            <w:vAlign w:val="bottom"/>
            <w:gridSpan w:val="2"/>
          </w:tcPr>
          <w:p>
            <w:pPr>
              <w:jc w:val="center"/>
              <w:ind w:right="380"/>
              <w:spacing w:after="0"/>
              <w:rPr>
                <w:sz w:val="20"/>
                <w:szCs w:val="20"/>
                <w:color w:val="auto"/>
              </w:rPr>
            </w:pPr>
            <w:r>
              <w:rPr>
                <w:rFonts w:ascii="Arial" w:cs="Arial" w:eastAsia="Arial" w:hAnsi="Arial"/>
                <w:sz w:val="16"/>
                <w:szCs w:val="16"/>
                <w:b w:val="1"/>
                <w:bCs w:val="1"/>
                <w:color w:val="auto"/>
                <w:w w:val="90"/>
              </w:rPr>
              <w:t>unrealized</w:t>
            </w:r>
          </w:p>
        </w:tc>
        <w:tc>
          <w:tcPr>
            <w:tcW w:w="280" w:type="dxa"/>
            <w:vAlign w:val="bottom"/>
          </w:tcPr>
          <w:p>
            <w:pPr>
              <w:spacing w:after="0"/>
              <w:rPr>
                <w:sz w:val="17"/>
                <w:szCs w:val="17"/>
                <w:color w:val="auto"/>
              </w:rPr>
            </w:pPr>
          </w:p>
        </w:tc>
        <w:tc>
          <w:tcPr>
            <w:tcW w:w="1320" w:type="dxa"/>
            <w:vAlign w:val="bottom"/>
          </w:tcPr>
          <w:p>
            <w:pPr>
              <w:spacing w:after="0"/>
              <w:rPr>
                <w:sz w:val="17"/>
                <w:szCs w:val="17"/>
                <w:color w:val="auto"/>
              </w:rPr>
            </w:pPr>
          </w:p>
        </w:tc>
      </w:tr>
      <w:tr>
        <w:trPr>
          <w:trHeight w:val="203"/>
        </w:trPr>
        <w:tc>
          <w:tcPr>
            <w:tcW w:w="46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80" w:type="dxa"/>
            <w:vAlign w:val="bottom"/>
            <w:gridSpan w:val="2"/>
          </w:tcPr>
          <w:p>
            <w:pPr>
              <w:jc w:val="center"/>
              <w:ind w:right="420"/>
              <w:spacing w:after="0"/>
              <w:rPr>
                <w:sz w:val="20"/>
                <w:szCs w:val="20"/>
                <w:color w:val="auto"/>
              </w:rPr>
            </w:pPr>
            <w:r>
              <w:rPr>
                <w:rFonts w:ascii="Arial" w:cs="Arial" w:eastAsia="Arial" w:hAnsi="Arial"/>
                <w:sz w:val="16"/>
                <w:szCs w:val="16"/>
                <w:b w:val="1"/>
                <w:bCs w:val="1"/>
                <w:color w:val="auto"/>
                <w:w w:val="94"/>
              </w:rPr>
              <w:t>Amortized</w:t>
            </w:r>
          </w:p>
        </w:tc>
        <w:tc>
          <w:tcPr>
            <w:tcW w:w="280" w:type="dxa"/>
            <w:vAlign w:val="bottom"/>
          </w:tcPr>
          <w:p>
            <w:pPr>
              <w:spacing w:after="0"/>
              <w:rPr>
                <w:sz w:val="17"/>
                <w:szCs w:val="17"/>
                <w:color w:val="auto"/>
              </w:rPr>
            </w:pPr>
          </w:p>
        </w:tc>
        <w:tc>
          <w:tcPr>
            <w:tcW w:w="1440" w:type="dxa"/>
            <w:vAlign w:val="bottom"/>
            <w:gridSpan w:val="2"/>
          </w:tcPr>
          <w:p>
            <w:pPr>
              <w:jc w:val="center"/>
              <w:ind w:right="400"/>
              <w:spacing w:after="0"/>
              <w:rPr>
                <w:sz w:val="20"/>
                <w:szCs w:val="20"/>
                <w:color w:val="auto"/>
              </w:rPr>
            </w:pPr>
            <w:r>
              <w:rPr>
                <w:rFonts w:ascii="Arial" w:cs="Arial" w:eastAsia="Arial" w:hAnsi="Arial"/>
                <w:sz w:val="16"/>
                <w:szCs w:val="16"/>
                <w:b w:val="1"/>
                <w:bCs w:val="1"/>
                <w:color w:val="auto"/>
                <w:w w:val="89"/>
              </w:rPr>
              <w:t>holding</w:t>
            </w:r>
          </w:p>
        </w:tc>
        <w:tc>
          <w:tcPr>
            <w:tcW w:w="280" w:type="dxa"/>
            <w:vAlign w:val="bottom"/>
          </w:tcPr>
          <w:p>
            <w:pPr>
              <w:spacing w:after="0"/>
              <w:rPr>
                <w:sz w:val="17"/>
                <w:szCs w:val="17"/>
                <w:color w:val="auto"/>
              </w:rPr>
            </w:pPr>
          </w:p>
        </w:tc>
        <w:tc>
          <w:tcPr>
            <w:tcW w:w="1420" w:type="dxa"/>
            <w:vAlign w:val="bottom"/>
            <w:gridSpan w:val="2"/>
          </w:tcPr>
          <w:p>
            <w:pPr>
              <w:jc w:val="center"/>
              <w:ind w:right="380"/>
              <w:spacing w:after="0"/>
              <w:rPr>
                <w:sz w:val="20"/>
                <w:szCs w:val="20"/>
                <w:color w:val="auto"/>
              </w:rPr>
            </w:pPr>
            <w:r>
              <w:rPr>
                <w:rFonts w:ascii="Arial" w:cs="Arial" w:eastAsia="Arial" w:hAnsi="Arial"/>
                <w:sz w:val="16"/>
                <w:szCs w:val="16"/>
                <w:b w:val="1"/>
                <w:bCs w:val="1"/>
                <w:color w:val="auto"/>
                <w:w w:val="89"/>
              </w:rPr>
              <w:t>holding</w:t>
            </w:r>
          </w:p>
        </w:tc>
        <w:tc>
          <w:tcPr>
            <w:tcW w:w="280" w:type="dxa"/>
            <w:vAlign w:val="bottom"/>
          </w:tcPr>
          <w:p>
            <w:pPr>
              <w:spacing w:after="0"/>
              <w:rPr>
                <w:sz w:val="17"/>
                <w:szCs w:val="17"/>
                <w:color w:val="auto"/>
              </w:rPr>
            </w:pPr>
          </w:p>
        </w:tc>
        <w:tc>
          <w:tcPr>
            <w:tcW w:w="1320" w:type="dxa"/>
            <w:vAlign w:val="bottom"/>
          </w:tcPr>
          <w:p>
            <w:pPr>
              <w:jc w:val="right"/>
              <w:ind w:right="354"/>
              <w:spacing w:after="0"/>
              <w:rPr>
                <w:sz w:val="20"/>
                <w:szCs w:val="20"/>
                <w:color w:val="auto"/>
              </w:rPr>
            </w:pPr>
            <w:r>
              <w:rPr>
                <w:rFonts w:ascii="Arial" w:cs="Arial" w:eastAsia="Arial" w:hAnsi="Arial"/>
                <w:sz w:val="16"/>
                <w:szCs w:val="16"/>
                <w:b w:val="1"/>
                <w:bCs w:val="1"/>
                <w:color w:val="auto"/>
              </w:rPr>
              <w:t>Estimated</w:t>
            </w:r>
          </w:p>
        </w:tc>
      </w:tr>
      <w:tr>
        <w:trPr>
          <w:trHeight w:val="210"/>
        </w:trPr>
        <w:tc>
          <w:tcPr>
            <w:tcW w:w="46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80" w:type="dxa"/>
            <w:vAlign w:val="bottom"/>
            <w:gridSpan w:val="2"/>
          </w:tcPr>
          <w:p>
            <w:pPr>
              <w:jc w:val="center"/>
              <w:ind w:right="420"/>
              <w:spacing w:after="0"/>
              <w:rPr>
                <w:sz w:val="20"/>
                <w:szCs w:val="20"/>
                <w:color w:val="auto"/>
              </w:rPr>
            </w:pPr>
            <w:r>
              <w:rPr>
                <w:rFonts w:ascii="Arial" w:cs="Arial" w:eastAsia="Arial" w:hAnsi="Arial"/>
                <w:sz w:val="16"/>
                <w:szCs w:val="16"/>
                <w:b w:val="1"/>
                <w:bCs w:val="1"/>
                <w:color w:val="auto"/>
                <w:w w:val="78"/>
              </w:rPr>
              <w:t>cost</w:t>
            </w:r>
          </w:p>
        </w:tc>
        <w:tc>
          <w:tcPr>
            <w:tcW w:w="280" w:type="dxa"/>
            <w:vAlign w:val="bottom"/>
          </w:tcPr>
          <w:p>
            <w:pPr>
              <w:spacing w:after="0"/>
              <w:rPr>
                <w:sz w:val="18"/>
                <w:szCs w:val="18"/>
                <w:color w:val="auto"/>
              </w:rPr>
            </w:pPr>
          </w:p>
        </w:tc>
        <w:tc>
          <w:tcPr>
            <w:tcW w:w="1440" w:type="dxa"/>
            <w:vAlign w:val="bottom"/>
            <w:gridSpan w:val="2"/>
          </w:tcPr>
          <w:p>
            <w:pPr>
              <w:jc w:val="center"/>
              <w:ind w:right="400"/>
              <w:spacing w:after="0"/>
              <w:rPr>
                <w:sz w:val="20"/>
                <w:szCs w:val="20"/>
                <w:color w:val="auto"/>
              </w:rPr>
            </w:pPr>
            <w:r>
              <w:rPr>
                <w:rFonts w:ascii="Arial" w:cs="Arial" w:eastAsia="Arial" w:hAnsi="Arial"/>
                <w:sz w:val="16"/>
                <w:szCs w:val="16"/>
                <w:b w:val="1"/>
                <w:bCs w:val="1"/>
                <w:color w:val="auto"/>
                <w:w w:val="86"/>
              </w:rPr>
              <w:t>gains</w:t>
            </w:r>
          </w:p>
        </w:tc>
        <w:tc>
          <w:tcPr>
            <w:tcW w:w="280" w:type="dxa"/>
            <w:vAlign w:val="bottom"/>
          </w:tcPr>
          <w:p>
            <w:pPr>
              <w:spacing w:after="0"/>
              <w:rPr>
                <w:sz w:val="18"/>
                <w:szCs w:val="18"/>
                <w:color w:val="auto"/>
              </w:rPr>
            </w:pPr>
          </w:p>
        </w:tc>
        <w:tc>
          <w:tcPr>
            <w:tcW w:w="1420" w:type="dxa"/>
            <w:vAlign w:val="bottom"/>
            <w:gridSpan w:val="2"/>
          </w:tcPr>
          <w:p>
            <w:pPr>
              <w:jc w:val="center"/>
              <w:ind w:right="380"/>
              <w:spacing w:after="0"/>
              <w:rPr>
                <w:sz w:val="20"/>
                <w:szCs w:val="20"/>
                <w:color w:val="auto"/>
              </w:rPr>
            </w:pPr>
            <w:r>
              <w:rPr>
                <w:rFonts w:ascii="Arial" w:cs="Arial" w:eastAsia="Arial" w:hAnsi="Arial"/>
                <w:sz w:val="16"/>
                <w:szCs w:val="16"/>
                <w:b w:val="1"/>
                <w:bCs w:val="1"/>
                <w:color w:val="auto"/>
                <w:w w:val="80"/>
              </w:rPr>
              <w:t>losses</w:t>
            </w:r>
          </w:p>
        </w:tc>
        <w:tc>
          <w:tcPr>
            <w:tcW w:w="280" w:type="dxa"/>
            <w:vAlign w:val="bottom"/>
          </w:tcPr>
          <w:p>
            <w:pPr>
              <w:spacing w:after="0"/>
              <w:rPr>
                <w:sz w:val="18"/>
                <w:szCs w:val="18"/>
                <w:color w:val="auto"/>
              </w:rPr>
            </w:pPr>
          </w:p>
        </w:tc>
        <w:tc>
          <w:tcPr>
            <w:tcW w:w="1320" w:type="dxa"/>
            <w:vAlign w:val="bottom"/>
          </w:tcPr>
          <w:p>
            <w:pPr>
              <w:jc w:val="right"/>
              <w:ind w:right="374"/>
              <w:spacing w:after="0"/>
              <w:rPr>
                <w:sz w:val="20"/>
                <w:szCs w:val="20"/>
                <w:color w:val="auto"/>
              </w:rPr>
            </w:pPr>
            <w:r>
              <w:rPr>
                <w:rFonts w:ascii="Arial" w:cs="Arial" w:eastAsia="Arial" w:hAnsi="Arial"/>
                <w:sz w:val="16"/>
                <w:szCs w:val="16"/>
                <w:b w:val="1"/>
                <w:bCs w:val="1"/>
                <w:color w:val="auto"/>
              </w:rPr>
              <w:t>fair value</w:t>
            </w:r>
          </w:p>
        </w:tc>
      </w:tr>
      <w:tr>
        <w:trPr>
          <w:trHeight w:val="33"/>
        </w:trPr>
        <w:tc>
          <w:tcPr>
            <w:tcW w:w="466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44"/>
        </w:trPr>
        <w:tc>
          <w:tcPr>
            <w:tcW w:w="4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September 30, 2014</w:t>
            </w:r>
          </w:p>
        </w:tc>
        <w:tc>
          <w:tcPr>
            <w:tcW w:w="2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r>
      <w:tr>
        <w:trPr>
          <w:trHeight w:val="243"/>
        </w:trPr>
        <w:tc>
          <w:tcPr>
            <w:tcW w:w="4660" w:type="dxa"/>
            <w:vAlign w:val="bottom"/>
          </w:tcPr>
          <w:p>
            <w:pPr>
              <w:ind w:left="360"/>
              <w:spacing w:after="0"/>
              <w:rPr>
                <w:sz w:val="20"/>
                <w:szCs w:val="20"/>
                <w:color w:val="auto"/>
              </w:rPr>
            </w:pPr>
            <w:r>
              <w:rPr>
                <w:rFonts w:ascii="Arial" w:cs="Arial" w:eastAsia="Arial" w:hAnsi="Arial"/>
                <w:sz w:val="18"/>
                <w:szCs w:val="18"/>
                <w:color w:val="auto"/>
              </w:rPr>
              <w:t>Available-for-sale securities:</w:t>
            </w:r>
          </w:p>
        </w:tc>
        <w:tc>
          <w:tcPr>
            <w:tcW w:w="26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320" w:type="dxa"/>
            <w:vAlign w:val="bottom"/>
          </w:tcPr>
          <w:p>
            <w:pPr>
              <w:spacing w:after="0"/>
              <w:rPr>
                <w:sz w:val="21"/>
                <w:szCs w:val="21"/>
                <w:color w:val="auto"/>
              </w:rPr>
            </w:pPr>
          </w:p>
        </w:tc>
      </w:tr>
      <w:tr>
        <w:trPr>
          <w:trHeight w:val="27"/>
        </w:trPr>
        <w:tc>
          <w:tcPr>
            <w:tcW w:w="46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50"/>
        </w:trPr>
        <w:tc>
          <w:tcPr>
            <w:tcW w:w="4660" w:type="dxa"/>
            <w:vAlign w:val="bottom"/>
            <w:tcBorders>
              <w:bottom w:val="single" w:sz="8" w:color="CCEEFF"/>
            </w:tcBorders>
            <w:shd w:val="clear" w:color="auto" w:fill="CCEEFF"/>
          </w:tcPr>
          <w:p>
            <w:pPr>
              <w:ind w:left="920"/>
              <w:spacing w:after="0"/>
              <w:rPr>
                <w:sz w:val="20"/>
                <w:szCs w:val="20"/>
                <w:color w:val="auto"/>
              </w:rPr>
            </w:pPr>
            <w:r>
              <w:rPr>
                <w:rFonts w:ascii="Arial" w:cs="Arial" w:eastAsia="Arial" w:hAnsi="Arial"/>
                <w:sz w:val="18"/>
                <w:szCs w:val="18"/>
                <w:color w:val="auto"/>
              </w:rPr>
              <w:t>Corporate bonds and notes</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19,242</w:t>
            </w:r>
          </w:p>
        </w:tc>
        <w:tc>
          <w:tcPr>
            <w:tcW w:w="16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126</w:t>
            </w:r>
          </w:p>
        </w:tc>
        <w:tc>
          <w:tcPr>
            <w:tcW w:w="14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19,329</w:t>
            </w:r>
          </w:p>
        </w:tc>
      </w:tr>
      <w:tr>
        <w:trPr>
          <w:trHeight w:val="243"/>
        </w:trPr>
        <w:tc>
          <w:tcPr>
            <w:tcW w:w="4660" w:type="dxa"/>
            <w:vAlign w:val="bottom"/>
          </w:tcPr>
          <w:p>
            <w:pPr>
              <w:ind w:left="920"/>
              <w:spacing w:after="0"/>
              <w:rPr>
                <w:sz w:val="20"/>
                <w:szCs w:val="20"/>
                <w:color w:val="auto"/>
              </w:rPr>
            </w:pPr>
            <w:r>
              <w:rPr>
                <w:rFonts w:ascii="Arial" w:cs="Arial" w:eastAsia="Arial" w:hAnsi="Arial"/>
                <w:sz w:val="18"/>
                <w:szCs w:val="18"/>
                <w:color w:val="auto"/>
              </w:rPr>
              <w:t>Municipal bonds</w:t>
            </w:r>
          </w:p>
        </w:tc>
        <w:tc>
          <w:tcPr>
            <w:tcW w:w="260" w:type="dxa"/>
            <w:vAlign w:val="bottom"/>
          </w:tcPr>
          <w:p>
            <w:pPr>
              <w:spacing w:after="0"/>
              <w:rPr>
                <w:sz w:val="21"/>
                <w:szCs w:val="21"/>
                <w:color w:val="auto"/>
              </w:rPr>
            </w:pPr>
          </w:p>
        </w:tc>
        <w:tc>
          <w:tcPr>
            <w:tcW w:w="1320" w:type="dxa"/>
            <w:vAlign w:val="bottom"/>
          </w:tcPr>
          <w:p>
            <w:pPr>
              <w:jc w:val="right"/>
              <w:ind w:right="13"/>
              <w:spacing w:after="0"/>
              <w:rPr>
                <w:sz w:val="20"/>
                <w:szCs w:val="20"/>
                <w:color w:val="auto"/>
              </w:rPr>
            </w:pPr>
            <w:r>
              <w:rPr>
                <w:rFonts w:ascii="Arial" w:cs="Arial" w:eastAsia="Arial" w:hAnsi="Arial"/>
                <w:sz w:val="18"/>
                <w:szCs w:val="18"/>
                <w:color w:val="auto"/>
              </w:rPr>
              <w:t>6,078</w:t>
            </w:r>
          </w:p>
        </w:tc>
        <w:tc>
          <w:tcPr>
            <w:tcW w:w="1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300" w:type="dxa"/>
            <w:vAlign w:val="bottom"/>
          </w:tcPr>
          <w:p>
            <w:pPr>
              <w:jc w:val="right"/>
              <w:ind w:right="15"/>
              <w:spacing w:after="0"/>
              <w:rPr>
                <w:sz w:val="20"/>
                <w:szCs w:val="20"/>
                <w:color w:val="auto"/>
              </w:rPr>
            </w:pPr>
            <w:r>
              <w:rPr>
                <w:rFonts w:ascii="Arial" w:cs="Arial" w:eastAsia="Arial" w:hAnsi="Arial"/>
                <w:sz w:val="18"/>
                <w:szCs w:val="18"/>
                <w:color w:val="auto"/>
              </w:rPr>
              <w:t>44</w:t>
            </w:r>
          </w:p>
        </w:tc>
        <w:tc>
          <w:tcPr>
            <w:tcW w:w="1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4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1320" w:type="dxa"/>
            <w:vAlign w:val="bottom"/>
          </w:tcPr>
          <w:p>
            <w:pPr>
              <w:jc w:val="right"/>
              <w:ind w:right="14"/>
              <w:spacing w:after="0"/>
              <w:rPr>
                <w:sz w:val="20"/>
                <w:szCs w:val="20"/>
                <w:color w:val="auto"/>
              </w:rPr>
            </w:pPr>
            <w:r>
              <w:rPr>
                <w:rFonts w:ascii="Arial" w:cs="Arial" w:eastAsia="Arial" w:hAnsi="Arial"/>
                <w:sz w:val="18"/>
                <w:szCs w:val="18"/>
                <w:color w:val="auto"/>
              </w:rPr>
              <w:t>6,122</w:t>
            </w:r>
          </w:p>
        </w:tc>
      </w:tr>
      <w:tr>
        <w:trPr>
          <w:trHeight w:val="27"/>
        </w:trPr>
        <w:tc>
          <w:tcPr>
            <w:tcW w:w="466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57"/>
        </w:trPr>
        <w:tc>
          <w:tcPr>
            <w:tcW w:w="466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Total available-for-sale securities</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25,320</w:t>
            </w:r>
          </w:p>
        </w:tc>
        <w:tc>
          <w:tcPr>
            <w:tcW w:w="16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8"/>
                <w:szCs w:val="18"/>
                <w:color w:val="auto"/>
              </w:rPr>
              <w:t>170</w:t>
            </w:r>
          </w:p>
        </w:tc>
        <w:tc>
          <w:tcPr>
            <w:tcW w:w="14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25,451</w:t>
            </w:r>
          </w:p>
        </w:tc>
      </w:tr>
      <w:tr>
        <w:trPr>
          <w:trHeight w:val="20"/>
        </w:trPr>
        <w:tc>
          <w:tcPr>
            <w:tcW w:w="46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r>
        <w:trPr>
          <w:trHeight w:val="662"/>
        </w:trPr>
        <w:tc>
          <w:tcPr>
            <w:tcW w:w="46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20" w:type="dxa"/>
            <w:vAlign w:val="bottom"/>
          </w:tcPr>
          <w:p>
            <w:pPr>
              <w:jc w:val="right"/>
              <w:ind w:right="393"/>
              <w:spacing w:after="0"/>
              <w:rPr>
                <w:sz w:val="20"/>
                <w:szCs w:val="20"/>
                <w:color w:val="auto"/>
              </w:rPr>
            </w:pPr>
            <w:r>
              <w:rPr>
                <w:rFonts w:ascii="Arial" w:cs="Arial" w:eastAsia="Arial" w:hAnsi="Arial"/>
                <w:sz w:val="18"/>
                <w:szCs w:val="18"/>
                <w:color w:val="auto"/>
              </w:rPr>
              <w:t>8</w:t>
            </w:r>
          </w:p>
        </w:tc>
        <w:tc>
          <w:tcPr>
            <w:tcW w:w="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320" w:type="dxa"/>
            <w:vAlign w:val="bottom"/>
          </w:tcPr>
          <w:p>
            <w:pPr>
              <w:spacing w:after="0"/>
              <w:rPr>
                <w:sz w:val="24"/>
                <w:szCs w:val="24"/>
                <w:color w:val="auto"/>
              </w:rPr>
            </w:pPr>
          </w:p>
        </w:tc>
      </w:tr>
    </w:tbl>
    <w:p>
      <w:pPr>
        <w:sectPr>
          <w:pgSz w:w="11900" w:h="16838" w:orient="portrait"/>
          <w:cols w:equalWidth="0" w:num="1">
            <w:col w:w="11420"/>
          </w:cols>
          <w:pgMar w:left="240" w:top="121" w:right="239" w:bottom="1440" w:gutter="0" w:footer="0" w:header="0"/>
        </w:sectPr>
      </w:pPr>
    </w:p>
    <w:bookmarkStart w:id="10" w:name="page11"/>
    <w:bookmarkEnd w:id="10"/>
    <w:p>
      <w:pPr>
        <w:jc w:val="center"/>
        <w:spacing w:after="0"/>
        <w:rPr>
          <w:sz w:val="20"/>
          <w:szCs w:val="20"/>
          <w:color w:val="auto"/>
        </w:rPr>
      </w:pPr>
      <w:r>
        <w:rPr>
          <w:rFonts w:ascii="Arial" w:cs="Arial" w:eastAsia="Arial" w:hAnsi="Arial"/>
          <w:sz w:val="18"/>
          <w:szCs w:val="18"/>
          <w:b w:val="1"/>
          <w:bCs w:val="1"/>
          <w:color w:val="auto"/>
        </w:rPr>
        <w:t>CLEARONE,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(Unaudited – Dollars in thousands)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46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460" w:type="dxa"/>
            <w:vAlign w:val="bottom"/>
            <w:gridSpan w:val="2"/>
          </w:tcPr>
          <w:p>
            <w:pPr>
              <w:jc w:val="center"/>
              <w:ind w:right="420"/>
              <w:spacing w:after="0"/>
              <w:rPr>
                <w:sz w:val="20"/>
                <w:szCs w:val="20"/>
                <w:color w:val="auto"/>
              </w:rPr>
            </w:pPr>
            <w:r>
              <w:rPr>
                <w:rFonts w:ascii="Arial" w:cs="Arial" w:eastAsia="Arial" w:hAnsi="Arial"/>
                <w:sz w:val="16"/>
                <w:szCs w:val="16"/>
                <w:b w:val="1"/>
                <w:bCs w:val="1"/>
                <w:color w:val="auto"/>
                <w:w w:val="86"/>
              </w:rPr>
              <w:t>Gross</w:t>
            </w:r>
          </w:p>
        </w:tc>
        <w:tc>
          <w:tcPr>
            <w:tcW w:w="280" w:type="dxa"/>
            <w:vAlign w:val="bottom"/>
          </w:tcPr>
          <w:p>
            <w:pPr>
              <w:spacing w:after="0"/>
              <w:rPr>
                <w:sz w:val="17"/>
                <w:szCs w:val="17"/>
                <w:color w:val="auto"/>
              </w:rPr>
            </w:pPr>
          </w:p>
        </w:tc>
        <w:tc>
          <w:tcPr>
            <w:tcW w:w="1420" w:type="dxa"/>
            <w:vAlign w:val="bottom"/>
            <w:gridSpan w:val="2"/>
          </w:tcPr>
          <w:p>
            <w:pPr>
              <w:jc w:val="center"/>
              <w:ind w:right="380"/>
              <w:spacing w:after="0"/>
              <w:rPr>
                <w:sz w:val="20"/>
                <w:szCs w:val="20"/>
                <w:color w:val="auto"/>
              </w:rPr>
            </w:pPr>
            <w:r>
              <w:rPr>
                <w:rFonts w:ascii="Arial" w:cs="Arial" w:eastAsia="Arial" w:hAnsi="Arial"/>
                <w:sz w:val="16"/>
                <w:szCs w:val="16"/>
                <w:b w:val="1"/>
                <w:bCs w:val="1"/>
                <w:color w:val="auto"/>
                <w:w w:val="86"/>
              </w:rPr>
              <w:t>Gross</w:t>
            </w:r>
          </w:p>
        </w:tc>
        <w:tc>
          <w:tcPr>
            <w:tcW w:w="280" w:type="dxa"/>
            <w:vAlign w:val="bottom"/>
          </w:tcPr>
          <w:p>
            <w:pPr>
              <w:spacing w:after="0"/>
              <w:rPr>
                <w:sz w:val="17"/>
                <w:szCs w:val="17"/>
                <w:color w:val="auto"/>
              </w:rPr>
            </w:pPr>
          </w:p>
        </w:tc>
        <w:tc>
          <w:tcPr>
            <w:tcW w:w="1320" w:type="dxa"/>
            <w:vAlign w:val="bottom"/>
          </w:tcPr>
          <w:p>
            <w:pPr>
              <w:spacing w:after="0"/>
              <w:rPr>
                <w:sz w:val="17"/>
                <w:szCs w:val="17"/>
                <w:color w:val="auto"/>
              </w:rPr>
            </w:pPr>
          </w:p>
        </w:tc>
      </w:tr>
      <w:tr>
        <w:trPr>
          <w:trHeight w:val="203"/>
        </w:trPr>
        <w:tc>
          <w:tcPr>
            <w:tcW w:w="46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460" w:type="dxa"/>
            <w:vAlign w:val="bottom"/>
            <w:gridSpan w:val="2"/>
          </w:tcPr>
          <w:p>
            <w:pPr>
              <w:jc w:val="center"/>
              <w:ind w:right="420"/>
              <w:spacing w:after="0"/>
              <w:rPr>
                <w:sz w:val="20"/>
                <w:szCs w:val="20"/>
                <w:color w:val="auto"/>
              </w:rPr>
            </w:pPr>
            <w:r>
              <w:rPr>
                <w:rFonts w:ascii="Arial" w:cs="Arial" w:eastAsia="Arial" w:hAnsi="Arial"/>
                <w:sz w:val="16"/>
                <w:szCs w:val="16"/>
                <w:b w:val="1"/>
                <w:bCs w:val="1"/>
                <w:color w:val="auto"/>
                <w:w w:val="90"/>
              </w:rPr>
              <w:t>unrealized</w:t>
            </w:r>
          </w:p>
        </w:tc>
        <w:tc>
          <w:tcPr>
            <w:tcW w:w="280" w:type="dxa"/>
            <w:vAlign w:val="bottom"/>
          </w:tcPr>
          <w:p>
            <w:pPr>
              <w:spacing w:after="0"/>
              <w:rPr>
                <w:sz w:val="17"/>
                <w:szCs w:val="17"/>
                <w:color w:val="auto"/>
              </w:rPr>
            </w:pPr>
          </w:p>
        </w:tc>
        <w:tc>
          <w:tcPr>
            <w:tcW w:w="1420" w:type="dxa"/>
            <w:vAlign w:val="bottom"/>
            <w:gridSpan w:val="2"/>
          </w:tcPr>
          <w:p>
            <w:pPr>
              <w:jc w:val="center"/>
              <w:ind w:right="380"/>
              <w:spacing w:after="0"/>
              <w:rPr>
                <w:sz w:val="20"/>
                <w:szCs w:val="20"/>
                <w:color w:val="auto"/>
              </w:rPr>
            </w:pPr>
            <w:r>
              <w:rPr>
                <w:rFonts w:ascii="Arial" w:cs="Arial" w:eastAsia="Arial" w:hAnsi="Arial"/>
                <w:sz w:val="16"/>
                <w:szCs w:val="16"/>
                <w:b w:val="1"/>
                <w:bCs w:val="1"/>
                <w:color w:val="auto"/>
                <w:w w:val="90"/>
              </w:rPr>
              <w:t>unrealized</w:t>
            </w:r>
          </w:p>
        </w:tc>
        <w:tc>
          <w:tcPr>
            <w:tcW w:w="280" w:type="dxa"/>
            <w:vAlign w:val="bottom"/>
          </w:tcPr>
          <w:p>
            <w:pPr>
              <w:spacing w:after="0"/>
              <w:rPr>
                <w:sz w:val="17"/>
                <w:szCs w:val="17"/>
                <w:color w:val="auto"/>
              </w:rPr>
            </w:pPr>
          </w:p>
        </w:tc>
        <w:tc>
          <w:tcPr>
            <w:tcW w:w="1320" w:type="dxa"/>
            <w:vAlign w:val="bottom"/>
          </w:tcPr>
          <w:p>
            <w:pPr>
              <w:spacing w:after="0"/>
              <w:rPr>
                <w:sz w:val="17"/>
                <w:szCs w:val="17"/>
                <w:color w:val="auto"/>
              </w:rPr>
            </w:pPr>
          </w:p>
        </w:tc>
      </w:tr>
      <w:tr>
        <w:trPr>
          <w:trHeight w:val="203"/>
        </w:trPr>
        <w:tc>
          <w:tcPr>
            <w:tcW w:w="46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460" w:type="dxa"/>
            <w:vAlign w:val="bottom"/>
            <w:gridSpan w:val="2"/>
          </w:tcPr>
          <w:p>
            <w:pPr>
              <w:jc w:val="center"/>
              <w:ind w:right="440"/>
              <w:spacing w:after="0"/>
              <w:rPr>
                <w:sz w:val="20"/>
                <w:szCs w:val="20"/>
                <w:color w:val="auto"/>
              </w:rPr>
            </w:pPr>
            <w:r>
              <w:rPr>
                <w:rFonts w:ascii="Arial" w:cs="Arial" w:eastAsia="Arial" w:hAnsi="Arial"/>
                <w:sz w:val="16"/>
                <w:szCs w:val="16"/>
                <w:b w:val="1"/>
                <w:bCs w:val="1"/>
                <w:color w:val="auto"/>
                <w:w w:val="94"/>
              </w:rPr>
              <w:t>Amortized</w:t>
            </w:r>
          </w:p>
        </w:tc>
        <w:tc>
          <w:tcPr>
            <w:tcW w:w="280" w:type="dxa"/>
            <w:vAlign w:val="bottom"/>
          </w:tcPr>
          <w:p>
            <w:pPr>
              <w:spacing w:after="0"/>
              <w:rPr>
                <w:sz w:val="17"/>
                <w:szCs w:val="17"/>
                <w:color w:val="auto"/>
              </w:rPr>
            </w:pPr>
          </w:p>
        </w:tc>
        <w:tc>
          <w:tcPr>
            <w:tcW w:w="1460" w:type="dxa"/>
            <w:vAlign w:val="bottom"/>
            <w:gridSpan w:val="2"/>
          </w:tcPr>
          <w:p>
            <w:pPr>
              <w:jc w:val="center"/>
              <w:ind w:right="420"/>
              <w:spacing w:after="0"/>
              <w:rPr>
                <w:sz w:val="20"/>
                <w:szCs w:val="20"/>
                <w:color w:val="auto"/>
              </w:rPr>
            </w:pPr>
            <w:r>
              <w:rPr>
                <w:rFonts w:ascii="Arial" w:cs="Arial" w:eastAsia="Arial" w:hAnsi="Arial"/>
                <w:sz w:val="16"/>
                <w:szCs w:val="16"/>
                <w:b w:val="1"/>
                <w:bCs w:val="1"/>
                <w:color w:val="auto"/>
                <w:w w:val="89"/>
              </w:rPr>
              <w:t>holding</w:t>
            </w:r>
          </w:p>
        </w:tc>
        <w:tc>
          <w:tcPr>
            <w:tcW w:w="280" w:type="dxa"/>
            <w:vAlign w:val="bottom"/>
          </w:tcPr>
          <w:p>
            <w:pPr>
              <w:spacing w:after="0"/>
              <w:rPr>
                <w:sz w:val="17"/>
                <w:szCs w:val="17"/>
                <w:color w:val="auto"/>
              </w:rPr>
            </w:pPr>
          </w:p>
        </w:tc>
        <w:tc>
          <w:tcPr>
            <w:tcW w:w="1420" w:type="dxa"/>
            <w:vAlign w:val="bottom"/>
            <w:gridSpan w:val="2"/>
          </w:tcPr>
          <w:p>
            <w:pPr>
              <w:jc w:val="center"/>
              <w:ind w:right="380"/>
              <w:spacing w:after="0"/>
              <w:rPr>
                <w:sz w:val="20"/>
                <w:szCs w:val="20"/>
                <w:color w:val="auto"/>
              </w:rPr>
            </w:pPr>
            <w:r>
              <w:rPr>
                <w:rFonts w:ascii="Arial" w:cs="Arial" w:eastAsia="Arial" w:hAnsi="Arial"/>
                <w:sz w:val="16"/>
                <w:szCs w:val="16"/>
                <w:b w:val="1"/>
                <w:bCs w:val="1"/>
                <w:color w:val="auto"/>
                <w:w w:val="89"/>
              </w:rPr>
              <w:t>holding</w:t>
            </w:r>
          </w:p>
        </w:tc>
        <w:tc>
          <w:tcPr>
            <w:tcW w:w="280" w:type="dxa"/>
            <w:vAlign w:val="bottom"/>
          </w:tcPr>
          <w:p>
            <w:pPr>
              <w:spacing w:after="0"/>
              <w:rPr>
                <w:sz w:val="17"/>
                <w:szCs w:val="17"/>
                <w:color w:val="auto"/>
              </w:rPr>
            </w:pPr>
          </w:p>
        </w:tc>
        <w:tc>
          <w:tcPr>
            <w:tcW w:w="1320" w:type="dxa"/>
            <w:vAlign w:val="bottom"/>
          </w:tcPr>
          <w:p>
            <w:pPr>
              <w:jc w:val="right"/>
              <w:ind w:right="354"/>
              <w:spacing w:after="0"/>
              <w:rPr>
                <w:sz w:val="20"/>
                <w:szCs w:val="20"/>
                <w:color w:val="auto"/>
              </w:rPr>
            </w:pPr>
            <w:r>
              <w:rPr>
                <w:rFonts w:ascii="Arial" w:cs="Arial" w:eastAsia="Arial" w:hAnsi="Arial"/>
                <w:sz w:val="16"/>
                <w:szCs w:val="16"/>
                <w:b w:val="1"/>
                <w:bCs w:val="1"/>
                <w:color w:val="auto"/>
              </w:rPr>
              <w:t>Estimated</w:t>
            </w:r>
          </w:p>
        </w:tc>
      </w:tr>
      <w:tr>
        <w:trPr>
          <w:trHeight w:val="210"/>
        </w:trPr>
        <w:tc>
          <w:tcPr>
            <w:tcW w:w="46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60" w:type="dxa"/>
            <w:vAlign w:val="bottom"/>
            <w:gridSpan w:val="2"/>
          </w:tcPr>
          <w:p>
            <w:pPr>
              <w:jc w:val="center"/>
              <w:ind w:right="420"/>
              <w:spacing w:after="0"/>
              <w:rPr>
                <w:sz w:val="20"/>
                <w:szCs w:val="20"/>
                <w:color w:val="auto"/>
              </w:rPr>
            </w:pPr>
            <w:r>
              <w:rPr>
                <w:rFonts w:ascii="Arial" w:cs="Arial" w:eastAsia="Arial" w:hAnsi="Arial"/>
                <w:sz w:val="16"/>
                <w:szCs w:val="16"/>
                <w:b w:val="1"/>
                <w:bCs w:val="1"/>
                <w:color w:val="auto"/>
                <w:w w:val="84"/>
              </w:rPr>
              <w:t>cost</w:t>
            </w:r>
          </w:p>
        </w:tc>
        <w:tc>
          <w:tcPr>
            <w:tcW w:w="280" w:type="dxa"/>
            <w:vAlign w:val="bottom"/>
          </w:tcPr>
          <w:p>
            <w:pPr>
              <w:spacing w:after="0"/>
              <w:rPr>
                <w:sz w:val="18"/>
                <w:szCs w:val="18"/>
                <w:color w:val="auto"/>
              </w:rPr>
            </w:pPr>
          </w:p>
        </w:tc>
        <w:tc>
          <w:tcPr>
            <w:tcW w:w="1460" w:type="dxa"/>
            <w:vAlign w:val="bottom"/>
            <w:gridSpan w:val="2"/>
          </w:tcPr>
          <w:p>
            <w:pPr>
              <w:jc w:val="center"/>
              <w:ind w:right="420"/>
              <w:spacing w:after="0"/>
              <w:rPr>
                <w:sz w:val="20"/>
                <w:szCs w:val="20"/>
                <w:color w:val="auto"/>
              </w:rPr>
            </w:pPr>
            <w:r>
              <w:rPr>
                <w:rFonts w:ascii="Arial" w:cs="Arial" w:eastAsia="Arial" w:hAnsi="Arial"/>
                <w:sz w:val="16"/>
                <w:szCs w:val="16"/>
                <w:b w:val="1"/>
                <w:bCs w:val="1"/>
                <w:color w:val="auto"/>
                <w:w w:val="86"/>
              </w:rPr>
              <w:t>gains</w:t>
            </w:r>
          </w:p>
        </w:tc>
        <w:tc>
          <w:tcPr>
            <w:tcW w:w="280" w:type="dxa"/>
            <w:vAlign w:val="bottom"/>
          </w:tcPr>
          <w:p>
            <w:pPr>
              <w:spacing w:after="0"/>
              <w:rPr>
                <w:sz w:val="18"/>
                <w:szCs w:val="18"/>
                <w:color w:val="auto"/>
              </w:rPr>
            </w:pPr>
          </w:p>
        </w:tc>
        <w:tc>
          <w:tcPr>
            <w:tcW w:w="1420" w:type="dxa"/>
            <w:vAlign w:val="bottom"/>
            <w:gridSpan w:val="2"/>
          </w:tcPr>
          <w:p>
            <w:pPr>
              <w:jc w:val="center"/>
              <w:ind w:right="380"/>
              <w:spacing w:after="0"/>
              <w:rPr>
                <w:sz w:val="20"/>
                <w:szCs w:val="20"/>
                <w:color w:val="auto"/>
              </w:rPr>
            </w:pPr>
            <w:r>
              <w:rPr>
                <w:rFonts w:ascii="Arial" w:cs="Arial" w:eastAsia="Arial" w:hAnsi="Arial"/>
                <w:sz w:val="16"/>
                <w:szCs w:val="16"/>
                <w:b w:val="1"/>
                <w:bCs w:val="1"/>
                <w:color w:val="auto"/>
                <w:w w:val="80"/>
              </w:rPr>
              <w:t>losses</w:t>
            </w:r>
          </w:p>
        </w:tc>
        <w:tc>
          <w:tcPr>
            <w:tcW w:w="280" w:type="dxa"/>
            <w:vAlign w:val="bottom"/>
          </w:tcPr>
          <w:p>
            <w:pPr>
              <w:spacing w:after="0"/>
              <w:rPr>
                <w:sz w:val="18"/>
                <w:szCs w:val="18"/>
                <w:color w:val="auto"/>
              </w:rPr>
            </w:pPr>
          </w:p>
        </w:tc>
        <w:tc>
          <w:tcPr>
            <w:tcW w:w="1320" w:type="dxa"/>
            <w:vAlign w:val="bottom"/>
          </w:tcPr>
          <w:p>
            <w:pPr>
              <w:jc w:val="right"/>
              <w:ind w:right="374"/>
              <w:spacing w:after="0"/>
              <w:rPr>
                <w:sz w:val="20"/>
                <w:szCs w:val="20"/>
                <w:color w:val="auto"/>
              </w:rPr>
            </w:pPr>
            <w:r>
              <w:rPr>
                <w:rFonts w:ascii="Arial" w:cs="Arial" w:eastAsia="Arial" w:hAnsi="Arial"/>
                <w:sz w:val="16"/>
                <w:szCs w:val="16"/>
                <w:b w:val="1"/>
                <w:bCs w:val="1"/>
                <w:color w:val="auto"/>
              </w:rPr>
              <w:t>fair value</w:t>
            </w:r>
          </w:p>
        </w:tc>
      </w:tr>
      <w:tr>
        <w:trPr>
          <w:trHeight w:val="33"/>
        </w:trPr>
        <w:tc>
          <w:tcPr>
            <w:tcW w:w="46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44"/>
        </w:trPr>
        <w:tc>
          <w:tcPr>
            <w:tcW w:w="4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December 31, 2013</w:t>
            </w:r>
          </w:p>
        </w:tc>
        <w:tc>
          <w:tcPr>
            <w:tcW w:w="2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r>
      <w:tr>
        <w:trPr>
          <w:trHeight w:val="243"/>
        </w:trPr>
        <w:tc>
          <w:tcPr>
            <w:tcW w:w="4640" w:type="dxa"/>
            <w:vAlign w:val="bottom"/>
          </w:tcPr>
          <w:p>
            <w:pPr>
              <w:ind w:left="360"/>
              <w:spacing w:after="0"/>
              <w:rPr>
                <w:sz w:val="20"/>
                <w:szCs w:val="20"/>
                <w:color w:val="auto"/>
              </w:rPr>
            </w:pPr>
            <w:r>
              <w:rPr>
                <w:rFonts w:ascii="Arial" w:cs="Arial" w:eastAsia="Arial" w:hAnsi="Arial"/>
                <w:sz w:val="18"/>
                <w:szCs w:val="18"/>
                <w:color w:val="auto"/>
              </w:rPr>
              <w:t>Available-for-sale securities:</w:t>
            </w:r>
          </w:p>
        </w:tc>
        <w:tc>
          <w:tcPr>
            <w:tcW w:w="28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320" w:type="dxa"/>
            <w:vAlign w:val="bottom"/>
          </w:tcPr>
          <w:p>
            <w:pPr>
              <w:spacing w:after="0"/>
              <w:rPr>
                <w:sz w:val="21"/>
                <w:szCs w:val="21"/>
                <w:color w:val="auto"/>
              </w:rPr>
            </w:pPr>
          </w:p>
        </w:tc>
      </w:tr>
      <w:tr>
        <w:trPr>
          <w:trHeight w:val="27"/>
        </w:trPr>
        <w:tc>
          <w:tcPr>
            <w:tcW w:w="46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50"/>
        </w:trPr>
        <w:tc>
          <w:tcPr>
            <w:tcW w:w="4640" w:type="dxa"/>
            <w:vAlign w:val="bottom"/>
            <w:tcBorders>
              <w:bottom w:val="single" w:sz="8" w:color="CCEEFF"/>
            </w:tcBorders>
            <w:shd w:val="clear" w:color="auto" w:fill="CCEEFF"/>
          </w:tcPr>
          <w:p>
            <w:pPr>
              <w:ind w:left="920"/>
              <w:spacing w:after="0"/>
              <w:rPr>
                <w:sz w:val="20"/>
                <w:szCs w:val="20"/>
                <w:color w:val="auto"/>
              </w:rPr>
            </w:pPr>
            <w:r>
              <w:rPr>
                <w:rFonts w:ascii="Arial" w:cs="Arial" w:eastAsia="Arial" w:hAnsi="Arial"/>
                <w:sz w:val="18"/>
                <w:szCs w:val="18"/>
                <w:color w:val="auto"/>
              </w:rPr>
              <w:t>Corporate bonds and notes</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18,832</w:t>
            </w:r>
          </w:p>
        </w:tc>
        <w:tc>
          <w:tcPr>
            <w:tcW w:w="14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68</w:t>
            </w:r>
          </w:p>
        </w:tc>
        <w:tc>
          <w:tcPr>
            <w:tcW w:w="14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(43)</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18,857</w:t>
            </w:r>
          </w:p>
        </w:tc>
      </w:tr>
      <w:tr>
        <w:trPr>
          <w:trHeight w:val="243"/>
        </w:trPr>
        <w:tc>
          <w:tcPr>
            <w:tcW w:w="4640" w:type="dxa"/>
            <w:vAlign w:val="bottom"/>
          </w:tcPr>
          <w:p>
            <w:pPr>
              <w:ind w:left="920"/>
              <w:spacing w:after="0"/>
              <w:rPr>
                <w:sz w:val="20"/>
                <w:szCs w:val="20"/>
                <w:color w:val="auto"/>
              </w:rPr>
            </w:pPr>
            <w:r>
              <w:rPr>
                <w:rFonts w:ascii="Arial" w:cs="Arial" w:eastAsia="Arial" w:hAnsi="Arial"/>
                <w:sz w:val="18"/>
                <w:szCs w:val="18"/>
                <w:color w:val="auto"/>
              </w:rPr>
              <w:t>Municipal bonds</w:t>
            </w:r>
          </w:p>
        </w:tc>
        <w:tc>
          <w:tcPr>
            <w:tcW w:w="280" w:type="dxa"/>
            <w:vAlign w:val="bottom"/>
          </w:tcPr>
          <w:p>
            <w:pPr>
              <w:spacing w:after="0"/>
              <w:rPr>
                <w:sz w:val="21"/>
                <w:szCs w:val="21"/>
                <w:color w:val="auto"/>
              </w:rPr>
            </w:pPr>
          </w:p>
        </w:tc>
        <w:tc>
          <w:tcPr>
            <w:tcW w:w="1320" w:type="dxa"/>
            <w:vAlign w:val="bottom"/>
          </w:tcPr>
          <w:p>
            <w:pPr>
              <w:jc w:val="right"/>
              <w:ind w:right="34"/>
              <w:spacing w:after="0"/>
              <w:rPr>
                <w:sz w:val="20"/>
                <w:szCs w:val="20"/>
                <w:color w:val="auto"/>
              </w:rPr>
            </w:pPr>
            <w:r>
              <w:rPr>
                <w:rFonts w:ascii="Arial" w:cs="Arial" w:eastAsia="Arial" w:hAnsi="Arial"/>
                <w:sz w:val="18"/>
                <w:szCs w:val="18"/>
                <w:color w:val="auto"/>
              </w:rPr>
              <w:t>6,658</w:t>
            </w:r>
          </w:p>
        </w:tc>
        <w:tc>
          <w:tcPr>
            <w:tcW w:w="1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320" w:type="dxa"/>
            <w:vAlign w:val="bottom"/>
          </w:tcPr>
          <w:p>
            <w:pPr>
              <w:jc w:val="right"/>
              <w:ind w:right="35"/>
              <w:spacing w:after="0"/>
              <w:rPr>
                <w:sz w:val="20"/>
                <w:szCs w:val="20"/>
                <w:color w:val="auto"/>
              </w:rPr>
            </w:pPr>
            <w:r>
              <w:rPr>
                <w:rFonts w:ascii="Arial" w:cs="Arial" w:eastAsia="Arial" w:hAnsi="Arial"/>
                <w:sz w:val="18"/>
                <w:szCs w:val="18"/>
                <w:color w:val="auto"/>
              </w:rPr>
              <w:t>22</w:t>
            </w:r>
          </w:p>
        </w:tc>
        <w:tc>
          <w:tcPr>
            <w:tcW w:w="1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(11)</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320" w:type="dxa"/>
            <w:vAlign w:val="bottom"/>
          </w:tcPr>
          <w:p>
            <w:pPr>
              <w:jc w:val="right"/>
              <w:ind w:right="14"/>
              <w:spacing w:after="0"/>
              <w:rPr>
                <w:sz w:val="20"/>
                <w:szCs w:val="20"/>
                <w:color w:val="auto"/>
              </w:rPr>
            </w:pPr>
            <w:r>
              <w:rPr>
                <w:rFonts w:ascii="Arial" w:cs="Arial" w:eastAsia="Arial" w:hAnsi="Arial"/>
                <w:sz w:val="18"/>
                <w:szCs w:val="18"/>
                <w:color w:val="auto"/>
              </w:rPr>
              <w:t>6,669</w:t>
            </w:r>
          </w:p>
        </w:tc>
      </w:tr>
      <w:tr>
        <w:trPr>
          <w:trHeight w:val="27"/>
        </w:trPr>
        <w:tc>
          <w:tcPr>
            <w:tcW w:w="46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57"/>
        </w:trPr>
        <w:tc>
          <w:tcPr>
            <w:tcW w:w="464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Total available-for-sale securities</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25,490</w:t>
            </w:r>
          </w:p>
        </w:tc>
        <w:tc>
          <w:tcPr>
            <w:tcW w:w="14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8"/>
                <w:szCs w:val="18"/>
                <w:color w:val="auto"/>
              </w:rPr>
              <w:t>90</w:t>
            </w:r>
          </w:p>
        </w:tc>
        <w:tc>
          <w:tcPr>
            <w:tcW w:w="14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25,526</w:t>
            </w:r>
          </w:p>
        </w:tc>
      </w:tr>
      <w:tr>
        <w:trPr>
          <w:trHeight w:val="20"/>
        </w:trPr>
        <w:tc>
          <w:tcPr>
            <w:tcW w:w="46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bl>
    <w:p>
      <w:pPr>
        <w:spacing w:after="0" w:line="364" w:lineRule="exact"/>
        <w:rPr>
          <w:sz w:val="20"/>
          <w:szCs w:val="20"/>
          <w:color w:val="auto"/>
        </w:rPr>
      </w:pPr>
    </w:p>
    <w:p>
      <w:pPr>
        <w:spacing w:after="0"/>
        <w:rPr>
          <w:sz w:val="20"/>
          <w:szCs w:val="20"/>
          <w:color w:val="auto"/>
        </w:rPr>
      </w:pPr>
      <w:r>
        <w:rPr>
          <w:rFonts w:ascii="Arial" w:cs="Arial" w:eastAsia="Arial" w:hAnsi="Arial"/>
          <w:sz w:val="18"/>
          <w:szCs w:val="18"/>
          <w:color w:val="auto"/>
        </w:rPr>
        <w:t>Maturities of marketable securities classified as available-for-sale securities were as follows at September 30, 2014:</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490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00" w:type="dxa"/>
            <w:vAlign w:val="bottom"/>
            <w:gridSpan w:val="4"/>
          </w:tcPr>
          <w:p>
            <w:pPr>
              <w:jc w:val="center"/>
              <w:ind w:right="300"/>
              <w:spacing w:after="0"/>
              <w:rPr>
                <w:sz w:val="20"/>
                <w:szCs w:val="20"/>
                <w:color w:val="auto"/>
              </w:rPr>
            </w:pPr>
            <w:r>
              <w:rPr>
                <w:rFonts w:ascii="Arial" w:cs="Arial" w:eastAsia="Arial" w:hAnsi="Arial"/>
                <w:sz w:val="16"/>
                <w:szCs w:val="16"/>
                <w:b w:val="1"/>
                <w:bCs w:val="1"/>
                <w:color w:val="auto"/>
                <w:w w:val="94"/>
              </w:rPr>
              <w:t>Amortized</w:t>
            </w:r>
          </w:p>
        </w:tc>
        <w:tc>
          <w:tcPr>
            <w:tcW w:w="220" w:type="dxa"/>
            <w:vAlign w:val="bottom"/>
          </w:tcPr>
          <w:p>
            <w:pPr>
              <w:spacing w:after="0"/>
              <w:rPr>
                <w:sz w:val="17"/>
                <w:szCs w:val="17"/>
                <w:color w:val="auto"/>
              </w:rPr>
            </w:pPr>
          </w:p>
        </w:tc>
        <w:tc>
          <w:tcPr>
            <w:tcW w:w="1840" w:type="dxa"/>
            <w:vAlign w:val="bottom"/>
            <w:gridSpan w:val="2"/>
          </w:tcPr>
          <w:p>
            <w:pPr>
              <w:ind w:left="460"/>
              <w:spacing w:after="0"/>
              <w:rPr>
                <w:sz w:val="20"/>
                <w:szCs w:val="20"/>
                <w:color w:val="auto"/>
              </w:rPr>
            </w:pPr>
            <w:r>
              <w:rPr>
                <w:rFonts w:ascii="Arial" w:cs="Arial" w:eastAsia="Arial" w:hAnsi="Arial"/>
                <w:sz w:val="16"/>
                <w:szCs w:val="16"/>
                <w:b w:val="1"/>
                <w:bCs w:val="1"/>
                <w:color w:val="auto"/>
              </w:rPr>
              <w:t>Estimated</w:t>
            </w:r>
          </w:p>
        </w:tc>
        <w:tc>
          <w:tcPr>
            <w:tcW w:w="0" w:type="dxa"/>
            <w:vAlign w:val="bottom"/>
          </w:tcPr>
          <w:p>
            <w:pPr>
              <w:spacing w:after="0"/>
              <w:rPr>
                <w:sz w:val="1"/>
                <w:szCs w:val="1"/>
                <w:color w:val="auto"/>
              </w:rPr>
            </w:pPr>
          </w:p>
        </w:tc>
      </w:tr>
      <w:tr>
        <w:trPr>
          <w:trHeight w:val="210"/>
        </w:trPr>
        <w:tc>
          <w:tcPr>
            <w:tcW w:w="490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0" w:type="dxa"/>
            <w:vAlign w:val="bottom"/>
            <w:gridSpan w:val="4"/>
          </w:tcPr>
          <w:p>
            <w:pPr>
              <w:jc w:val="center"/>
              <w:ind w:right="300"/>
              <w:spacing w:after="0"/>
              <w:rPr>
                <w:sz w:val="20"/>
                <w:szCs w:val="20"/>
                <w:color w:val="auto"/>
              </w:rPr>
            </w:pPr>
            <w:r>
              <w:rPr>
                <w:rFonts w:ascii="Arial" w:cs="Arial" w:eastAsia="Arial" w:hAnsi="Arial"/>
                <w:sz w:val="16"/>
                <w:szCs w:val="16"/>
                <w:b w:val="1"/>
                <w:bCs w:val="1"/>
                <w:color w:val="auto"/>
                <w:w w:val="78"/>
              </w:rPr>
              <w:t>cost</w:t>
            </w:r>
          </w:p>
        </w:tc>
        <w:tc>
          <w:tcPr>
            <w:tcW w:w="220" w:type="dxa"/>
            <w:vAlign w:val="bottom"/>
          </w:tcPr>
          <w:p>
            <w:pPr>
              <w:spacing w:after="0"/>
              <w:rPr>
                <w:sz w:val="18"/>
                <w:szCs w:val="18"/>
                <w:color w:val="auto"/>
              </w:rPr>
            </w:pPr>
          </w:p>
        </w:tc>
        <w:tc>
          <w:tcPr>
            <w:tcW w:w="1840" w:type="dxa"/>
            <w:vAlign w:val="bottom"/>
            <w:gridSpan w:val="2"/>
          </w:tcPr>
          <w:p>
            <w:pPr>
              <w:ind w:left="480"/>
              <w:spacing w:after="0"/>
              <w:rPr>
                <w:sz w:val="20"/>
                <w:szCs w:val="20"/>
                <w:color w:val="auto"/>
              </w:rPr>
            </w:pPr>
            <w:r>
              <w:rPr>
                <w:rFonts w:ascii="Arial" w:cs="Arial" w:eastAsia="Arial" w:hAnsi="Arial"/>
                <w:sz w:val="16"/>
                <w:szCs w:val="16"/>
                <w:b w:val="1"/>
                <w:bCs w:val="1"/>
                <w:color w:val="auto"/>
              </w:rPr>
              <w:t>fair value</w:t>
            </w:r>
          </w:p>
        </w:tc>
        <w:tc>
          <w:tcPr>
            <w:tcW w:w="0" w:type="dxa"/>
            <w:vAlign w:val="bottom"/>
          </w:tcPr>
          <w:p>
            <w:pPr>
              <w:spacing w:after="0"/>
              <w:rPr>
                <w:sz w:val="1"/>
                <w:szCs w:val="1"/>
                <w:color w:val="auto"/>
              </w:rPr>
            </w:pPr>
          </w:p>
        </w:tc>
      </w:tr>
      <w:tr>
        <w:trPr>
          <w:trHeight w:val="33"/>
        </w:trPr>
        <w:tc>
          <w:tcPr>
            <w:tcW w:w="4900" w:type="dxa"/>
            <w:vAlign w:val="bottom"/>
            <w:tcBorders>
              <w:bottom w:val="single" w:sz="8" w:color="CCEEFF"/>
            </w:tcBorders>
          </w:tcPr>
          <w:p>
            <w:pPr>
              <w:spacing w:after="0"/>
              <w:rPr>
                <w:sz w:val="2"/>
                <w:szCs w:val="2"/>
                <w:color w:val="auto"/>
              </w:rPr>
            </w:pPr>
          </w:p>
        </w:tc>
        <w:tc>
          <w:tcPr>
            <w:tcW w:w="20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September 30, 2014</w:t>
            </w:r>
          </w:p>
        </w:tc>
        <w:tc>
          <w:tcPr>
            <w:tcW w:w="20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80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8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900" w:type="dxa"/>
            <w:vAlign w:val="bottom"/>
          </w:tcPr>
          <w:p>
            <w:pPr>
              <w:ind w:left="1040"/>
              <w:spacing w:after="0"/>
              <w:rPr>
                <w:sz w:val="20"/>
                <w:szCs w:val="20"/>
                <w:color w:val="auto"/>
              </w:rPr>
            </w:pPr>
            <w:r>
              <w:rPr>
                <w:rFonts w:ascii="Arial" w:cs="Arial" w:eastAsia="Arial" w:hAnsi="Arial"/>
                <w:sz w:val="18"/>
                <w:szCs w:val="18"/>
                <w:color w:val="auto"/>
              </w:rPr>
              <w:t>Due within one year</w:t>
            </w:r>
          </w:p>
        </w:tc>
        <w:tc>
          <w:tcPr>
            <w:tcW w:w="20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800" w:type="dxa"/>
            <w:vAlign w:val="bottom"/>
          </w:tcPr>
          <w:p>
            <w:pPr>
              <w:jc w:val="right"/>
              <w:spacing w:after="0"/>
              <w:rPr>
                <w:sz w:val="20"/>
                <w:szCs w:val="20"/>
                <w:color w:val="auto"/>
              </w:rPr>
            </w:pPr>
            <w:r>
              <w:rPr>
                <w:rFonts w:ascii="Arial" w:cs="Arial" w:eastAsia="Arial" w:hAnsi="Arial"/>
                <w:sz w:val="18"/>
                <w:szCs w:val="18"/>
                <w:color w:val="auto"/>
              </w:rPr>
              <w:t>5,783</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820" w:type="dxa"/>
            <w:vAlign w:val="bottom"/>
          </w:tcPr>
          <w:p>
            <w:pPr>
              <w:jc w:val="right"/>
              <w:spacing w:after="0"/>
              <w:rPr>
                <w:sz w:val="20"/>
                <w:szCs w:val="20"/>
                <w:color w:val="auto"/>
              </w:rPr>
            </w:pPr>
            <w:r>
              <w:rPr>
                <w:rFonts w:ascii="Arial" w:cs="Arial" w:eastAsia="Arial" w:hAnsi="Arial"/>
                <w:sz w:val="18"/>
                <w:szCs w:val="18"/>
                <w:color w:val="auto"/>
              </w:rPr>
              <w:t>5,785</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900" w:type="dxa"/>
            <w:vAlign w:val="bottom"/>
          </w:tcPr>
          <w:p>
            <w:pPr>
              <w:spacing w:after="0"/>
              <w:rPr>
                <w:sz w:val="2"/>
                <w:szCs w:val="2"/>
                <w:color w:val="auto"/>
              </w:rPr>
            </w:pPr>
          </w:p>
        </w:tc>
        <w:tc>
          <w:tcPr>
            <w:tcW w:w="2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80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2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900" w:type="dxa"/>
            <w:vAlign w:val="bottom"/>
            <w:tcBorders>
              <w:bottom w:val="single" w:sz="8" w:color="CCEEFF"/>
            </w:tcBorders>
            <w:shd w:val="clear" w:color="auto" w:fill="CCEEFF"/>
          </w:tcPr>
          <w:p>
            <w:pPr>
              <w:ind w:left="1040"/>
              <w:spacing w:after="0"/>
              <w:rPr>
                <w:sz w:val="20"/>
                <w:szCs w:val="20"/>
                <w:color w:val="auto"/>
              </w:rPr>
            </w:pPr>
            <w:r>
              <w:rPr>
                <w:rFonts w:ascii="Arial" w:cs="Arial" w:eastAsia="Arial" w:hAnsi="Arial"/>
                <w:sz w:val="18"/>
                <w:szCs w:val="18"/>
                <w:color w:val="auto"/>
              </w:rPr>
              <w:t>Due after one year through five years</w:t>
            </w:r>
          </w:p>
        </w:tc>
        <w:tc>
          <w:tcPr>
            <w:tcW w:w="20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18,852</w:t>
            </w: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18,970</w:t>
            </w:r>
          </w:p>
        </w:tc>
        <w:tc>
          <w:tcPr>
            <w:tcW w:w="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900" w:type="dxa"/>
            <w:vAlign w:val="bottom"/>
          </w:tcPr>
          <w:p>
            <w:pPr>
              <w:ind w:left="1040"/>
              <w:spacing w:after="0"/>
              <w:rPr>
                <w:sz w:val="20"/>
                <w:szCs w:val="20"/>
                <w:color w:val="auto"/>
              </w:rPr>
            </w:pPr>
            <w:r>
              <w:rPr>
                <w:rFonts w:ascii="Arial" w:cs="Arial" w:eastAsia="Arial" w:hAnsi="Arial"/>
                <w:sz w:val="18"/>
                <w:szCs w:val="18"/>
                <w:color w:val="auto"/>
              </w:rPr>
              <w:t>Due after five years through ten years</w:t>
            </w:r>
          </w:p>
        </w:tc>
        <w:tc>
          <w:tcPr>
            <w:tcW w:w="20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800" w:type="dxa"/>
            <w:vAlign w:val="bottom"/>
          </w:tcPr>
          <w:p>
            <w:pPr>
              <w:jc w:val="right"/>
              <w:spacing w:after="0"/>
              <w:rPr>
                <w:sz w:val="20"/>
                <w:szCs w:val="20"/>
                <w:color w:val="auto"/>
              </w:rPr>
            </w:pPr>
            <w:r>
              <w:rPr>
                <w:rFonts w:ascii="Arial" w:cs="Arial" w:eastAsia="Arial" w:hAnsi="Arial"/>
                <w:sz w:val="18"/>
                <w:szCs w:val="18"/>
                <w:color w:val="auto"/>
              </w:rPr>
              <w:t>685</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820" w:type="dxa"/>
            <w:vAlign w:val="bottom"/>
          </w:tcPr>
          <w:p>
            <w:pPr>
              <w:jc w:val="right"/>
              <w:spacing w:after="0"/>
              <w:rPr>
                <w:sz w:val="20"/>
                <w:szCs w:val="20"/>
                <w:color w:val="auto"/>
              </w:rPr>
            </w:pPr>
            <w:r>
              <w:rPr>
                <w:rFonts w:ascii="Arial" w:cs="Arial" w:eastAsia="Arial" w:hAnsi="Arial"/>
                <w:sz w:val="18"/>
                <w:szCs w:val="18"/>
                <w:color w:val="auto"/>
              </w:rPr>
              <w:t>696</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900" w:type="dxa"/>
            <w:vAlign w:val="bottom"/>
            <w:tcBorders>
              <w:bottom w:val="single" w:sz="8" w:color="CCEEFF"/>
            </w:tcBorders>
          </w:tcPr>
          <w:p>
            <w:pPr>
              <w:spacing w:after="0"/>
              <w:rPr>
                <w:sz w:val="2"/>
                <w:szCs w:val="2"/>
                <w:color w:val="auto"/>
              </w:rPr>
            </w:pPr>
          </w:p>
        </w:tc>
        <w:tc>
          <w:tcPr>
            <w:tcW w:w="20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900" w:type="dxa"/>
            <w:vAlign w:val="bottom"/>
            <w:shd w:val="clear" w:color="auto" w:fill="CCEEFF"/>
          </w:tcPr>
          <w:p>
            <w:pPr>
              <w:ind w:left="480"/>
              <w:spacing w:after="0"/>
              <w:rPr>
                <w:sz w:val="20"/>
                <w:szCs w:val="20"/>
                <w:color w:val="auto"/>
              </w:rPr>
            </w:pPr>
            <w:r>
              <w:rPr>
                <w:rFonts w:ascii="Arial" w:cs="Arial" w:eastAsia="Arial" w:hAnsi="Arial"/>
                <w:sz w:val="18"/>
                <w:szCs w:val="18"/>
                <w:color w:val="auto"/>
              </w:rPr>
              <w:t>Total available-for-sale securities</w:t>
            </w:r>
          </w:p>
        </w:tc>
        <w:tc>
          <w:tcPr>
            <w:tcW w:w="20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3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25,320</w:t>
            </w:r>
          </w:p>
        </w:tc>
        <w:tc>
          <w:tcPr>
            <w:tcW w:w="8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25,451</w:t>
            </w:r>
          </w:p>
        </w:tc>
        <w:tc>
          <w:tcPr>
            <w:tcW w:w="2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490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8"/>
                <w:szCs w:val="18"/>
                <w:b w:val="1"/>
                <w:bCs w:val="1"/>
                <w:color w:val="auto"/>
              </w:rPr>
              <w:t>4. Intangible Assets</w:t>
            </w:r>
          </w:p>
        </w:tc>
        <w:tc>
          <w:tcPr>
            <w:tcW w:w="20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8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8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9"/>
        </w:trPr>
        <w:tc>
          <w:tcPr>
            <w:tcW w:w="4900" w:type="dxa"/>
            <w:vAlign w:val="bottom"/>
            <w:vMerge w:val="continue"/>
          </w:tcPr>
          <w:p>
            <w:pPr>
              <w:spacing w:after="0"/>
              <w:rPr>
                <w:sz w:val="24"/>
                <w:szCs w:val="24"/>
                <w:color w:val="auto"/>
              </w:rPr>
            </w:pPr>
          </w:p>
        </w:tc>
        <w:tc>
          <w:tcPr>
            <w:tcW w:w="2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7020" w:type="dxa"/>
            <w:vAlign w:val="bottom"/>
            <w:gridSpan w:val="3"/>
          </w:tcPr>
          <w:p>
            <w:pPr>
              <w:spacing w:after="0"/>
              <w:rPr>
                <w:sz w:val="20"/>
                <w:szCs w:val="20"/>
                <w:color w:val="auto"/>
              </w:rPr>
            </w:pPr>
            <w:r>
              <w:rPr>
                <w:rFonts w:ascii="Arial" w:cs="Arial" w:eastAsia="Arial" w:hAnsi="Arial"/>
                <w:sz w:val="18"/>
                <w:szCs w:val="18"/>
                <w:color w:val="auto"/>
                <w:w w:val="92"/>
              </w:rPr>
              <w:t>Intangible assets as of September 30, 2014 and December 31, 2013 consisted of the following:</w:t>
            </w: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2"/>
        </w:trPr>
        <w:tc>
          <w:tcPr>
            <w:tcW w:w="4900" w:type="dxa"/>
            <w:vAlign w:val="bottom"/>
          </w:tcPr>
          <w:p>
            <w:pPr>
              <w:spacing w:after="0"/>
              <w:rPr>
                <w:sz w:val="24"/>
                <w:szCs w:val="24"/>
                <w:color w:val="auto"/>
              </w:rPr>
            </w:pPr>
          </w:p>
        </w:tc>
        <w:tc>
          <w:tcPr>
            <w:tcW w:w="212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89"/>
              </w:rPr>
              <w:t>Estimated useful lives</w:t>
            </w: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0" w:type="dxa"/>
            <w:vAlign w:val="bottom"/>
            <w:gridSpan w:val="4"/>
          </w:tcPr>
          <w:p>
            <w:pPr>
              <w:ind w:left="40"/>
              <w:spacing w:after="0"/>
              <w:rPr>
                <w:sz w:val="20"/>
                <w:szCs w:val="20"/>
                <w:color w:val="auto"/>
              </w:rPr>
            </w:pPr>
            <w:r>
              <w:rPr>
                <w:rFonts w:ascii="Arial" w:cs="Arial" w:eastAsia="Arial" w:hAnsi="Arial"/>
                <w:sz w:val="16"/>
                <w:szCs w:val="16"/>
                <w:b w:val="1"/>
                <w:bCs w:val="1"/>
                <w:color w:val="auto"/>
              </w:rPr>
              <w:t>September 30, 2014</w:t>
            </w:r>
          </w:p>
        </w:tc>
        <w:tc>
          <w:tcPr>
            <w:tcW w:w="220" w:type="dxa"/>
            <w:vAlign w:val="bottom"/>
          </w:tcPr>
          <w:p>
            <w:pPr>
              <w:spacing w:after="0"/>
              <w:rPr>
                <w:sz w:val="24"/>
                <w:szCs w:val="24"/>
                <w:color w:val="auto"/>
              </w:rPr>
            </w:pPr>
          </w:p>
        </w:tc>
        <w:tc>
          <w:tcPr>
            <w:tcW w:w="1840" w:type="dxa"/>
            <w:vAlign w:val="bottom"/>
            <w:gridSpan w:val="2"/>
          </w:tcPr>
          <w:p>
            <w:pPr>
              <w:ind w:left="100"/>
              <w:spacing w:after="0"/>
              <w:rPr>
                <w:sz w:val="20"/>
                <w:szCs w:val="20"/>
                <w:color w:val="auto"/>
              </w:rPr>
            </w:pPr>
            <w:r>
              <w:rPr>
                <w:rFonts w:ascii="Arial" w:cs="Arial" w:eastAsia="Arial" w:hAnsi="Arial"/>
                <w:sz w:val="16"/>
                <w:szCs w:val="16"/>
                <w:b w:val="1"/>
                <w:bCs w:val="1"/>
                <w:color w:val="auto"/>
              </w:rPr>
              <w:t>December 31, 2013</w:t>
            </w:r>
          </w:p>
        </w:tc>
        <w:tc>
          <w:tcPr>
            <w:tcW w:w="0" w:type="dxa"/>
            <w:vAlign w:val="bottom"/>
          </w:tcPr>
          <w:p>
            <w:pPr>
              <w:spacing w:after="0"/>
              <w:rPr>
                <w:sz w:val="1"/>
                <w:szCs w:val="1"/>
                <w:color w:val="auto"/>
              </w:rPr>
            </w:pPr>
          </w:p>
        </w:tc>
      </w:tr>
      <w:tr>
        <w:trPr>
          <w:trHeight w:val="33"/>
        </w:trPr>
        <w:tc>
          <w:tcPr>
            <w:tcW w:w="4900" w:type="dxa"/>
            <w:vAlign w:val="bottom"/>
            <w:tcBorders>
              <w:bottom w:val="single" w:sz="8" w:color="CCEEFF"/>
            </w:tcBorders>
          </w:tcPr>
          <w:p>
            <w:pPr>
              <w:spacing w:after="0"/>
              <w:rPr>
                <w:sz w:val="2"/>
                <w:szCs w:val="2"/>
                <w:color w:val="auto"/>
              </w:rPr>
            </w:pPr>
          </w:p>
        </w:tc>
        <w:tc>
          <w:tcPr>
            <w:tcW w:w="2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gridSpan w:val="2"/>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Tradename</w:t>
            </w:r>
          </w:p>
        </w:tc>
        <w:tc>
          <w:tcPr>
            <w:tcW w:w="212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88"/>
              </w:rPr>
              <w:t>7 years</w:t>
            </w:r>
          </w:p>
        </w:tc>
        <w:tc>
          <w:tcPr>
            <w:tcW w:w="34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8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435</w:t>
            </w: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435</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900" w:type="dxa"/>
            <w:vAlign w:val="bottom"/>
          </w:tcPr>
          <w:p>
            <w:pPr>
              <w:ind w:left="40"/>
              <w:spacing w:after="0"/>
              <w:rPr>
                <w:sz w:val="20"/>
                <w:szCs w:val="20"/>
                <w:color w:val="auto"/>
              </w:rPr>
            </w:pPr>
            <w:r>
              <w:rPr>
                <w:rFonts w:ascii="Arial" w:cs="Arial" w:eastAsia="Arial" w:hAnsi="Arial"/>
                <w:sz w:val="18"/>
                <w:szCs w:val="18"/>
                <w:color w:val="auto"/>
              </w:rPr>
              <w:t>Patents and technological know-how</w:t>
            </w:r>
          </w:p>
        </w:tc>
        <w:tc>
          <w:tcPr>
            <w:tcW w:w="2120" w:type="dxa"/>
            <w:vAlign w:val="bottom"/>
            <w:gridSpan w:val="2"/>
          </w:tcPr>
          <w:p>
            <w:pPr>
              <w:jc w:val="center"/>
              <w:ind w:right="120"/>
              <w:spacing w:after="0"/>
              <w:rPr>
                <w:sz w:val="20"/>
                <w:szCs w:val="20"/>
                <w:color w:val="auto"/>
              </w:rPr>
            </w:pPr>
            <w:r>
              <w:rPr>
                <w:rFonts w:ascii="Arial" w:cs="Arial" w:eastAsia="Arial" w:hAnsi="Arial"/>
                <w:sz w:val="18"/>
                <w:szCs w:val="18"/>
                <w:color w:val="auto"/>
                <w:w w:val="86"/>
              </w:rPr>
              <w:t>10 years</w:t>
            </w:r>
          </w:p>
        </w:tc>
        <w:tc>
          <w:tcPr>
            <w:tcW w:w="1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800" w:type="dxa"/>
            <w:vAlign w:val="bottom"/>
          </w:tcPr>
          <w:p>
            <w:pPr>
              <w:jc w:val="right"/>
              <w:ind w:right="32"/>
              <w:spacing w:after="0"/>
              <w:rPr>
                <w:sz w:val="20"/>
                <w:szCs w:val="20"/>
                <w:color w:val="auto"/>
              </w:rPr>
            </w:pPr>
            <w:r>
              <w:rPr>
                <w:rFonts w:ascii="Arial" w:cs="Arial" w:eastAsia="Arial" w:hAnsi="Arial"/>
                <w:sz w:val="18"/>
                <w:szCs w:val="18"/>
                <w:color w:val="auto"/>
              </w:rPr>
              <w:t>5,310</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820" w:type="dxa"/>
            <w:vAlign w:val="bottom"/>
          </w:tcPr>
          <w:p>
            <w:pPr>
              <w:jc w:val="right"/>
              <w:ind w:right="32"/>
              <w:spacing w:after="0"/>
              <w:rPr>
                <w:sz w:val="20"/>
                <w:szCs w:val="20"/>
                <w:color w:val="auto"/>
              </w:rPr>
            </w:pPr>
            <w:r>
              <w:rPr>
                <w:rFonts w:ascii="Arial" w:cs="Arial" w:eastAsia="Arial" w:hAnsi="Arial"/>
                <w:sz w:val="18"/>
                <w:szCs w:val="18"/>
                <w:color w:val="auto"/>
              </w:rPr>
              <w:t>2,070</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900" w:type="dxa"/>
            <w:vAlign w:val="bottom"/>
          </w:tcPr>
          <w:p>
            <w:pPr>
              <w:spacing w:after="0"/>
              <w:rPr>
                <w:sz w:val="2"/>
                <w:szCs w:val="2"/>
                <w:color w:val="auto"/>
              </w:rPr>
            </w:pPr>
          </w:p>
        </w:tc>
        <w:tc>
          <w:tcPr>
            <w:tcW w:w="2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80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2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Proprietary software</w:t>
            </w:r>
          </w:p>
        </w:tc>
        <w:tc>
          <w:tcPr>
            <w:tcW w:w="212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88"/>
              </w:rPr>
              <w:t>3 to 15 years</w:t>
            </w:r>
          </w:p>
        </w:tc>
        <w:tc>
          <w:tcPr>
            <w:tcW w:w="16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8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5,449</w:t>
            </w: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8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2,961</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900" w:type="dxa"/>
            <w:vAlign w:val="bottom"/>
          </w:tcPr>
          <w:p>
            <w:pPr>
              <w:ind w:left="40"/>
              <w:spacing w:after="0"/>
              <w:rPr>
                <w:sz w:val="20"/>
                <w:szCs w:val="20"/>
                <w:color w:val="auto"/>
              </w:rPr>
            </w:pPr>
            <w:r>
              <w:rPr>
                <w:rFonts w:ascii="Arial" w:cs="Arial" w:eastAsia="Arial" w:hAnsi="Arial"/>
                <w:sz w:val="18"/>
                <w:szCs w:val="18"/>
                <w:color w:val="auto"/>
              </w:rPr>
              <w:t>Other</w:t>
            </w:r>
          </w:p>
        </w:tc>
        <w:tc>
          <w:tcPr>
            <w:tcW w:w="2120" w:type="dxa"/>
            <w:vAlign w:val="bottom"/>
            <w:gridSpan w:val="2"/>
          </w:tcPr>
          <w:p>
            <w:pPr>
              <w:jc w:val="center"/>
              <w:ind w:right="120"/>
              <w:spacing w:after="0"/>
              <w:rPr>
                <w:sz w:val="20"/>
                <w:szCs w:val="20"/>
                <w:color w:val="auto"/>
              </w:rPr>
            </w:pPr>
            <w:r>
              <w:rPr>
                <w:rFonts w:ascii="Arial" w:cs="Arial" w:eastAsia="Arial" w:hAnsi="Arial"/>
                <w:sz w:val="18"/>
                <w:szCs w:val="18"/>
                <w:color w:val="auto"/>
                <w:w w:val="88"/>
              </w:rPr>
              <w:t>5 years</w:t>
            </w:r>
          </w:p>
        </w:tc>
        <w:tc>
          <w:tcPr>
            <w:tcW w:w="1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800" w:type="dxa"/>
            <w:vAlign w:val="bottom"/>
          </w:tcPr>
          <w:p>
            <w:pPr>
              <w:jc w:val="right"/>
              <w:ind w:right="32"/>
              <w:spacing w:after="0"/>
              <w:rPr>
                <w:sz w:val="20"/>
                <w:szCs w:val="20"/>
                <w:color w:val="auto"/>
              </w:rPr>
            </w:pPr>
            <w:r>
              <w:rPr>
                <w:rFonts w:ascii="Arial" w:cs="Arial" w:eastAsia="Arial" w:hAnsi="Arial"/>
                <w:sz w:val="18"/>
                <w:szCs w:val="18"/>
                <w:color w:val="auto"/>
              </w:rPr>
              <w:t>238</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820" w:type="dxa"/>
            <w:vAlign w:val="bottom"/>
          </w:tcPr>
          <w:p>
            <w:pPr>
              <w:jc w:val="right"/>
              <w:ind w:right="32"/>
              <w:spacing w:after="0"/>
              <w:rPr>
                <w:sz w:val="20"/>
                <w:szCs w:val="20"/>
                <w:color w:val="auto"/>
              </w:rPr>
            </w:pPr>
            <w:r>
              <w:rPr>
                <w:rFonts w:ascii="Arial" w:cs="Arial" w:eastAsia="Arial" w:hAnsi="Arial"/>
                <w:sz w:val="18"/>
                <w:szCs w:val="18"/>
                <w:color w:val="auto"/>
              </w:rPr>
              <w:t>208</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900" w:type="dxa"/>
            <w:vAlign w:val="bottom"/>
            <w:tcBorders>
              <w:bottom w:val="single" w:sz="8" w:color="CCEEFF"/>
            </w:tcBorders>
          </w:tcPr>
          <w:p>
            <w:pPr>
              <w:spacing w:after="0"/>
              <w:rPr>
                <w:sz w:val="2"/>
                <w:szCs w:val="2"/>
                <w:color w:val="auto"/>
              </w:rPr>
            </w:pPr>
          </w:p>
        </w:tc>
        <w:tc>
          <w:tcPr>
            <w:tcW w:w="20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900" w:type="dxa"/>
            <w:vAlign w:val="bottom"/>
            <w:tcBorders>
              <w:bottom w:val="single" w:sz="8" w:color="CCEEFF"/>
            </w:tcBorders>
            <w:shd w:val="clear" w:color="auto" w:fill="CCEEFF"/>
          </w:tcPr>
          <w:p>
            <w:pPr>
              <w:spacing w:after="0"/>
              <w:rPr>
                <w:sz w:val="21"/>
                <w:szCs w:val="21"/>
                <w:color w:val="auto"/>
              </w:rPr>
            </w:pPr>
          </w:p>
        </w:tc>
        <w:tc>
          <w:tcPr>
            <w:tcW w:w="20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8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11,432</w:t>
            </w: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8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5,674</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900" w:type="dxa"/>
            <w:vAlign w:val="bottom"/>
          </w:tcPr>
          <w:p>
            <w:pPr>
              <w:ind w:left="40"/>
              <w:spacing w:after="0"/>
              <w:rPr>
                <w:sz w:val="20"/>
                <w:szCs w:val="20"/>
                <w:color w:val="auto"/>
              </w:rPr>
            </w:pPr>
            <w:r>
              <w:rPr>
                <w:rFonts w:ascii="Arial" w:cs="Arial" w:eastAsia="Arial" w:hAnsi="Arial"/>
                <w:sz w:val="18"/>
                <w:szCs w:val="18"/>
                <w:color w:val="auto"/>
              </w:rPr>
              <w:t>Accumulated amortization</w:t>
            </w:r>
          </w:p>
        </w:tc>
        <w:tc>
          <w:tcPr>
            <w:tcW w:w="20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800" w:type="dxa"/>
            <w:vAlign w:val="bottom"/>
          </w:tcPr>
          <w:p>
            <w:pPr>
              <w:jc w:val="right"/>
              <w:spacing w:after="0"/>
              <w:rPr>
                <w:sz w:val="20"/>
                <w:szCs w:val="20"/>
                <w:color w:val="auto"/>
              </w:rPr>
            </w:pPr>
            <w:r>
              <w:rPr>
                <w:rFonts w:ascii="Arial" w:cs="Arial" w:eastAsia="Arial" w:hAnsi="Arial"/>
                <w:sz w:val="18"/>
                <w:szCs w:val="18"/>
                <w:color w:val="auto"/>
              </w:rPr>
              <w:t>(2,665)</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820" w:type="dxa"/>
            <w:vAlign w:val="bottom"/>
          </w:tcPr>
          <w:p>
            <w:pPr>
              <w:jc w:val="right"/>
              <w:spacing w:after="0"/>
              <w:rPr>
                <w:sz w:val="20"/>
                <w:szCs w:val="20"/>
                <w:color w:val="auto"/>
              </w:rPr>
            </w:pPr>
            <w:r>
              <w:rPr>
                <w:rFonts w:ascii="Arial" w:cs="Arial" w:eastAsia="Arial" w:hAnsi="Arial"/>
                <w:sz w:val="18"/>
                <w:szCs w:val="18"/>
                <w:color w:val="auto"/>
              </w:rPr>
              <w:t>(1,964)</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900" w:type="dxa"/>
            <w:vAlign w:val="bottom"/>
            <w:tcBorders>
              <w:bottom w:val="single" w:sz="8" w:color="CCEEFF"/>
            </w:tcBorders>
          </w:tcPr>
          <w:p>
            <w:pPr>
              <w:spacing w:after="0"/>
              <w:rPr>
                <w:sz w:val="2"/>
                <w:szCs w:val="2"/>
                <w:color w:val="auto"/>
              </w:rPr>
            </w:pPr>
          </w:p>
        </w:tc>
        <w:tc>
          <w:tcPr>
            <w:tcW w:w="20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gridSpan w:val="2"/>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4900" w:type="dxa"/>
            <w:vAlign w:val="bottom"/>
            <w:tcBorders>
              <w:bottom w:val="single" w:sz="8" w:color="CCEEFF"/>
            </w:tcBorders>
            <w:shd w:val="clear" w:color="auto" w:fill="CCEEFF"/>
          </w:tcPr>
          <w:p>
            <w:pPr>
              <w:spacing w:after="0"/>
              <w:rPr>
                <w:sz w:val="22"/>
                <w:szCs w:val="22"/>
                <w:color w:val="auto"/>
              </w:rPr>
            </w:pPr>
          </w:p>
        </w:tc>
        <w:tc>
          <w:tcPr>
            <w:tcW w:w="20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8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8,767</w:t>
            </w:r>
          </w:p>
        </w:tc>
        <w:tc>
          <w:tcPr>
            <w:tcW w:w="8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3,710</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4900" w:type="dxa"/>
            <w:vAlign w:val="bottom"/>
            <w:tcBorders>
              <w:top w:val="single" w:sz="8" w:color="CCEEFF"/>
            </w:tcBorders>
          </w:tcPr>
          <w:p>
            <w:pPr>
              <w:spacing w:after="0" w:line="20" w:lineRule="exact"/>
              <w:rPr>
                <w:sz w:val="1"/>
                <w:szCs w:val="1"/>
                <w:color w:val="auto"/>
              </w:rPr>
            </w:pPr>
          </w:p>
        </w:tc>
        <w:tc>
          <w:tcPr>
            <w:tcW w:w="20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8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8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The amortization of intangibles with finite lives for the three and nine months ended September 30, 2014 and 2013 was as follows: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420" w:type="dxa"/>
            <w:vAlign w:val="bottom"/>
          </w:tcPr>
          <w:p>
            <w:pPr>
              <w:spacing w:after="0"/>
              <w:rPr>
                <w:sz w:val="18"/>
                <w:szCs w:val="18"/>
                <w:color w:val="auto"/>
              </w:rPr>
            </w:pPr>
          </w:p>
        </w:tc>
        <w:tc>
          <w:tcPr>
            <w:tcW w:w="3000" w:type="dxa"/>
            <w:vAlign w:val="bottom"/>
            <w:gridSpan w:val="4"/>
          </w:tcPr>
          <w:p>
            <w:pPr>
              <w:jc w:val="right"/>
              <w:spacing w:after="0"/>
              <w:rPr>
                <w:sz w:val="20"/>
                <w:szCs w:val="20"/>
                <w:color w:val="auto"/>
              </w:rPr>
            </w:pPr>
            <w:r>
              <w:rPr>
                <w:rFonts w:ascii="Arial" w:cs="Arial" w:eastAsia="Arial" w:hAnsi="Arial"/>
                <w:sz w:val="16"/>
                <w:szCs w:val="16"/>
                <w:b w:val="1"/>
                <w:bCs w:val="1"/>
                <w:color w:val="auto"/>
              </w:rPr>
              <w:t>Three months ended September 30,</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040" w:type="dxa"/>
            <w:vAlign w:val="bottom"/>
            <w:gridSpan w:val="4"/>
          </w:tcPr>
          <w:p>
            <w:pPr>
              <w:jc w:val="right"/>
              <w:ind w:right="434"/>
              <w:spacing w:after="0"/>
              <w:rPr>
                <w:sz w:val="20"/>
                <w:szCs w:val="20"/>
                <w:color w:val="auto"/>
              </w:rPr>
            </w:pPr>
            <w:r>
              <w:rPr>
                <w:rFonts w:ascii="Arial" w:cs="Arial" w:eastAsia="Arial" w:hAnsi="Arial"/>
                <w:sz w:val="16"/>
                <w:szCs w:val="16"/>
                <w:b w:val="1"/>
                <w:bCs w:val="1"/>
                <w:color w:val="auto"/>
                <w:w w:val="95"/>
              </w:rPr>
              <w:t>Nine months ended September 30,</w:t>
            </w:r>
          </w:p>
        </w:tc>
      </w:tr>
      <w:tr>
        <w:trPr>
          <w:trHeight w:val="33"/>
        </w:trPr>
        <w:tc>
          <w:tcPr>
            <w:tcW w:w="4420" w:type="dxa"/>
            <w:vAlign w:val="bottom"/>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31"/>
        </w:trPr>
        <w:tc>
          <w:tcPr>
            <w:tcW w:w="4420" w:type="dxa"/>
            <w:vAlign w:val="bottom"/>
          </w:tcPr>
          <w:p>
            <w:pPr>
              <w:spacing w:after="0"/>
              <w:rPr>
                <w:sz w:val="20"/>
                <w:szCs w:val="20"/>
                <w:color w:val="auto"/>
              </w:rPr>
            </w:pPr>
          </w:p>
        </w:tc>
        <w:tc>
          <w:tcPr>
            <w:tcW w:w="1140" w:type="dxa"/>
            <w:vAlign w:val="bottom"/>
          </w:tcPr>
          <w:p>
            <w:pPr>
              <w:jc w:val="right"/>
              <w:ind w:right="56"/>
              <w:spacing w:after="0"/>
              <w:rPr>
                <w:sz w:val="20"/>
                <w:szCs w:val="20"/>
                <w:color w:val="auto"/>
              </w:rPr>
            </w:pPr>
            <w:r>
              <w:rPr>
                <w:rFonts w:ascii="Arial" w:cs="Arial" w:eastAsia="Arial" w:hAnsi="Arial"/>
                <w:sz w:val="16"/>
                <w:szCs w:val="16"/>
                <w:b w:val="1"/>
                <w:bCs w:val="1"/>
                <w:color w:val="auto"/>
              </w:rPr>
              <w:t>2014</w:t>
            </w:r>
          </w:p>
        </w:tc>
        <w:tc>
          <w:tcPr>
            <w:tcW w:w="5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20" w:type="dxa"/>
            <w:vAlign w:val="bottom"/>
          </w:tcPr>
          <w:p>
            <w:pPr>
              <w:jc w:val="right"/>
              <w:ind w:right="154"/>
              <w:spacing w:after="0"/>
              <w:rPr>
                <w:sz w:val="20"/>
                <w:szCs w:val="20"/>
                <w:color w:val="auto"/>
              </w:rPr>
            </w:pPr>
            <w:r>
              <w:rPr>
                <w:rFonts w:ascii="Arial" w:cs="Arial" w:eastAsia="Arial" w:hAnsi="Arial"/>
                <w:sz w:val="16"/>
                <w:szCs w:val="16"/>
                <w:b w:val="1"/>
                <w:bCs w:val="1"/>
                <w:color w:val="auto"/>
              </w:rPr>
              <w:t>2013</w:t>
            </w:r>
          </w:p>
        </w:tc>
        <w:tc>
          <w:tcPr>
            <w:tcW w:w="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260" w:type="dxa"/>
            <w:vAlign w:val="bottom"/>
          </w:tcPr>
          <w:p>
            <w:pPr>
              <w:jc w:val="right"/>
              <w:ind w:right="576"/>
              <w:spacing w:after="0"/>
              <w:rPr>
                <w:sz w:val="20"/>
                <w:szCs w:val="20"/>
                <w:color w:val="auto"/>
              </w:rPr>
            </w:pPr>
            <w:r>
              <w:rPr>
                <w:rFonts w:ascii="Arial" w:cs="Arial" w:eastAsia="Arial" w:hAnsi="Arial"/>
                <w:sz w:val="16"/>
                <w:szCs w:val="16"/>
                <w:b w:val="1"/>
                <w:bCs w:val="1"/>
                <w:color w:val="auto"/>
              </w:rPr>
              <w:t>2014</w:t>
            </w:r>
          </w:p>
        </w:tc>
        <w:tc>
          <w:tcPr>
            <w:tcW w:w="1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220" w:type="dxa"/>
            <w:vAlign w:val="bottom"/>
          </w:tcPr>
          <w:p>
            <w:pPr>
              <w:jc w:val="right"/>
              <w:ind w:right="594"/>
              <w:spacing w:after="0"/>
              <w:rPr>
                <w:sz w:val="20"/>
                <w:szCs w:val="20"/>
                <w:color w:val="auto"/>
              </w:rPr>
            </w:pPr>
            <w:r>
              <w:rPr>
                <w:rFonts w:ascii="Arial" w:cs="Arial" w:eastAsia="Arial" w:hAnsi="Arial"/>
                <w:sz w:val="16"/>
                <w:szCs w:val="16"/>
                <w:b w:val="1"/>
                <w:bCs w:val="1"/>
                <w:color w:val="auto"/>
              </w:rPr>
              <w:t>2013</w:t>
            </w:r>
          </w:p>
        </w:tc>
      </w:tr>
      <w:tr>
        <w:trPr>
          <w:trHeight w:val="33"/>
        </w:trPr>
        <w:tc>
          <w:tcPr>
            <w:tcW w:w="4420" w:type="dxa"/>
            <w:vAlign w:val="bottom"/>
            <w:tcBorders>
              <w:bottom w:val="single" w:sz="8" w:color="CCEEFF"/>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37"/>
        </w:trPr>
        <w:tc>
          <w:tcPr>
            <w:tcW w:w="4420" w:type="dxa"/>
            <w:vAlign w:val="bottom"/>
            <w:shd w:val="clear" w:color="auto" w:fill="CCEEFF"/>
          </w:tcPr>
          <w:p>
            <w:pPr>
              <w:ind w:left="40"/>
              <w:spacing w:after="0"/>
              <w:rPr>
                <w:sz w:val="20"/>
                <w:szCs w:val="20"/>
                <w:color w:val="auto"/>
              </w:rPr>
            </w:pPr>
            <w:r>
              <w:rPr>
                <w:rFonts w:ascii="Arial" w:cs="Arial" w:eastAsia="Arial" w:hAnsi="Arial"/>
                <w:sz w:val="18"/>
                <w:szCs w:val="18"/>
                <w:color w:val="auto"/>
              </w:rPr>
              <w:t>Amortization of intangibles with finite lives</w:t>
            </w:r>
          </w:p>
        </w:tc>
        <w:tc>
          <w:tcPr>
            <w:tcW w:w="1140" w:type="dxa"/>
            <w:vAlign w:val="bottom"/>
            <w:shd w:val="clear" w:color="auto" w:fill="CCEEFF"/>
          </w:tcPr>
          <w:p>
            <w:pPr>
              <w:jc w:val="right"/>
              <w:ind w:right="816"/>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268</w:t>
            </w:r>
          </w:p>
        </w:tc>
        <w:tc>
          <w:tcPr>
            <w:tcW w:w="120" w:type="dxa"/>
            <w:vAlign w:val="bottom"/>
            <w:shd w:val="clear" w:color="auto" w:fill="CCEEFF"/>
          </w:tcPr>
          <w:p>
            <w:pPr>
              <w:spacing w:after="0"/>
              <w:rPr>
                <w:sz w:val="20"/>
                <w:szCs w:val="20"/>
                <w:color w:val="auto"/>
              </w:rPr>
            </w:pPr>
          </w:p>
        </w:tc>
        <w:tc>
          <w:tcPr>
            <w:tcW w:w="1220" w:type="dxa"/>
            <w:vAlign w:val="bottom"/>
            <w:shd w:val="clear" w:color="auto" w:fill="CCEEFF"/>
          </w:tcPr>
          <w:p>
            <w:pPr>
              <w:jc w:val="right"/>
              <w:ind w:right="894"/>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142</w:t>
            </w:r>
          </w:p>
        </w:tc>
        <w:tc>
          <w:tcPr>
            <w:tcW w:w="100" w:type="dxa"/>
            <w:vAlign w:val="bottom"/>
            <w:shd w:val="clear" w:color="auto" w:fill="CCEEFF"/>
          </w:tcPr>
          <w:p>
            <w:pPr>
              <w:spacing w:after="0"/>
              <w:rPr>
                <w:sz w:val="20"/>
                <w:szCs w:val="20"/>
                <w:color w:val="auto"/>
              </w:rPr>
            </w:pPr>
          </w:p>
        </w:tc>
        <w:tc>
          <w:tcPr>
            <w:tcW w:w="40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26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rPr>
              <w:t>701</w:t>
            </w:r>
          </w:p>
        </w:tc>
        <w:tc>
          <w:tcPr>
            <w:tcW w:w="120" w:type="dxa"/>
            <w:vAlign w:val="bottom"/>
            <w:shd w:val="clear" w:color="auto" w:fill="CCEEFF"/>
          </w:tcPr>
          <w:p>
            <w:pPr>
              <w:spacing w:after="0"/>
              <w:rPr>
                <w:sz w:val="20"/>
                <w:szCs w:val="20"/>
                <w:color w:val="auto"/>
              </w:rPr>
            </w:pPr>
          </w:p>
        </w:tc>
        <w:tc>
          <w:tcPr>
            <w:tcW w:w="44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404</w:t>
            </w:r>
          </w:p>
        </w:tc>
      </w:tr>
      <w:tr>
        <w:trPr>
          <w:trHeight w:val="27"/>
        </w:trPr>
        <w:tc>
          <w:tcPr>
            <w:tcW w:w="4420" w:type="dxa"/>
            <w:vAlign w:val="bottom"/>
            <w:shd w:val="clear" w:color="auto" w:fill="CCEEFF"/>
          </w:tcPr>
          <w:p>
            <w:pPr>
              <w:spacing w:after="0"/>
              <w:rPr>
                <w:sz w:val="2"/>
                <w:szCs w:val="2"/>
                <w:color w:val="auto"/>
              </w:rPr>
            </w:pPr>
          </w:p>
        </w:tc>
        <w:tc>
          <w:tcPr>
            <w:tcW w:w="1140" w:type="dxa"/>
            <w:vAlign w:val="bottom"/>
            <w:shd w:val="clear" w:color="auto" w:fill="CCEEFF"/>
          </w:tcPr>
          <w:p>
            <w:pPr>
              <w:spacing w:after="0"/>
              <w:rPr>
                <w:sz w:val="2"/>
                <w:szCs w:val="2"/>
                <w:color w:val="auto"/>
              </w:rPr>
            </w:pPr>
          </w:p>
        </w:tc>
        <w:tc>
          <w:tcPr>
            <w:tcW w:w="5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220" w:type="dxa"/>
            <w:vAlign w:val="bottom"/>
            <w:shd w:val="clear" w:color="auto" w:fill="CCEEFF"/>
          </w:tcPr>
          <w:p>
            <w:pPr>
              <w:spacing w:after="0"/>
              <w:rPr>
                <w:sz w:val="2"/>
                <w:szCs w:val="2"/>
                <w:color w:val="auto"/>
              </w:rPr>
            </w:pPr>
          </w:p>
        </w:tc>
        <w:tc>
          <w:tcPr>
            <w:tcW w:w="4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400" w:type="dxa"/>
            <w:vAlign w:val="bottom"/>
            <w:shd w:val="clear" w:color="auto" w:fill="CCEEFF"/>
          </w:tcPr>
          <w:p>
            <w:pPr>
              <w:spacing w:after="0"/>
              <w:rPr>
                <w:sz w:val="2"/>
                <w:szCs w:val="2"/>
                <w:color w:val="auto"/>
              </w:rPr>
            </w:pPr>
          </w:p>
        </w:tc>
        <w:tc>
          <w:tcPr>
            <w:tcW w:w="12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440" w:type="dxa"/>
            <w:vAlign w:val="bottom"/>
            <w:shd w:val="clear" w:color="auto" w:fill="CCEEFF"/>
          </w:tcPr>
          <w:p>
            <w:pPr>
              <w:spacing w:after="0"/>
              <w:rPr>
                <w:sz w:val="2"/>
                <w:szCs w:val="2"/>
                <w:color w:val="auto"/>
              </w:rPr>
            </w:pPr>
          </w:p>
        </w:tc>
        <w:tc>
          <w:tcPr>
            <w:tcW w:w="122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The estimated future amortization expense of intangible assets is as follows: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121" w:right="239" w:bottom="1440" w:gutter="0" w:footer="0" w:header="0"/>
        </w:sectPr>
      </w:pPr>
    </w:p>
    <w:bookmarkStart w:id="11" w:name="page12"/>
    <w:bookmarkEnd w:id="11"/>
    <w:p>
      <w:pPr>
        <w:jc w:val="center"/>
        <w:spacing w:after="0"/>
        <w:rPr>
          <w:sz w:val="20"/>
          <w:szCs w:val="20"/>
          <w:color w:val="auto"/>
        </w:rPr>
      </w:pPr>
      <w:r>
        <w:rPr>
          <w:rFonts w:ascii="Arial" w:cs="Arial" w:eastAsia="Arial" w:hAnsi="Arial"/>
          <w:sz w:val="18"/>
          <w:szCs w:val="18"/>
          <w:b w:val="1"/>
          <w:bCs w:val="1"/>
          <w:color w:val="auto"/>
        </w:rPr>
        <w:t>CLEARONE,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(Unaudited – Dollars in thousands)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9360" w:type="dxa"/>
            <w:vAlign w:val="bottom"/>
            <w:gridSpan w:val="3"/>
            <w:vMerge w:val="restart"/>
          </w:tcPr>
          <w:p>
            <w:pPr>
              <w:ind w:left="40"/>
              <w:spacing w:after="0"/>
              <w:rPr>
                <w:sz w:val="20"/>
                <w:szCs w:val="20"/>
                <w:color w:val="auto"/>
              </w:rPr>
            </w:pPr>
            <w:r>
              <w:rPr>
                <w:rFonts w:ascii="Arial" w:cs="Arial" w:eastAsia="Arial" w:hAnsi="Arial"/>
                <w:sz w:val="18"/>
                <w:szCs w:val="18"/>
                <w:b w:val="1"/>
                <w:bCs w:val="1"/>
                <w:color w:val="auto"/>
              </w:rPr>
              <w:t>Years ending December 31,</w:t>
            </w:r>
          </w:p>
        </w:tc>
        <w:tc>
          <w:tcPr>
            <w:tcW w:w="200" w:type="dxa"/>
            <w:vAlign w:val="bottom"/>
          </w:tcPr>
          <w:p>
            <w:pPr>
              <w:spacing w:after="0"/>
              <w:rPr>
                <w:sz w:val="17"/>
                <w:szCs w:val="17"/>
                <w:color w:val="auto"/>
              </w:rPr>
            </w:pPr>
          </w:p>
        </w:tc>
        <w:tc>
          <w:tcPr>
            <w:tcW w:w="1840" w:type="dxa"/>
            <w:vAlign w:val="bottom"/>
          </w:tcPr>
          <w:p>
            <w:pPr>
              <w:jc w:val="right"/>
              <w:ind w:right="352"/>
              <w:spacing w:after="0"/>
              <w:rPr>
                <w:sz w:val="20"/>
                <w:szCs w:val="20"/>
                <w:color w:val="auto"/>
              </w:rPr>
            </w:pPr>
            <w:r>
              <w:rPr>
                <w:rFonts w:ascii="Arial" w:cs="Arial" w:eastAsia="Arial" w:hAnsi="Arial"/>
                <w:sz w:val="16"/>
                <w:szCs w:val="16"/>
                <w:b w:val="1"/>
                <w:bCs w:val="1"/>
                <w:color w:val="auto"/>
              </w:rPr>
              <w:t>Estimated future</w:t>
            </w:r>
          </w:p>
        </w:tc>
        <w:tc>
          <w:tcPr>
            <w:tcW w:w="0" w:type="dxa"/>
            <w:vAlign w:val="bottom"/>
          </w:tcPr>
          <w:p>
            <w:pPr>
              <w:spacing w:after="0"/>
              <w:rPr>
                <w:sz w:val="1"/>
                <w:szCs w:val="1"/>
                <w:color w:val="auto"/>
              </w:rPr>
            </w:pPr>
          </w:p>
        </w:tc>
      </w:tr>
      <w:tr>
        <w:trPr>
          <w:trHeight w:val="176"/>
        </w:trPr>
        <w:tc>
          <w:tcPr>
            <w:tcW w:w="9360" w:type="dxa"/>
            <w:vAlign w:val="bottom"/>
            <w:gridSpan w:val="3"/>
            <w:vMerge w:val="continue"/>
          </w:tcPr>
          <w:p>
            <w:pPr>
              <w:spacing w:after="0"/>
              <w:rPr>
                <w:sz w:val="15"/>
                <w:szCs w:val="15"/>
                <w:color w:val="auto"/>
              </w:rPr>
            </w:pPr>
          </w:p>
        </w:tc>
        <w:tc>
          <w:tcPr>
            <w:tcW w:w="200" w:type="dxa"/>
            <w:vAlign w:val="bottom"/>
          </w:tcPr>
          <w:p>
            <w:pPr>
              <w:spacing w:after="0"/>
              <w:rPr>
                <w:sz w:val="15"/>
                <w:szCs w:val="15"/>
                <w:color w:val="auto"/>
              </w:rPr>
            </w:pPr>
          </w:p>
        </w:tc>
        <w:tc>
          <w:tcPr>
            <w:tcW w:w="1840" w:type="dxa"/>
            <w:vAlign w:val="bottom"/>
          </w:tcPr>
          <w:p>
            <w:pPr>
              <w:jc w:val="right"/>
              <w:ind w:right="212"/>
              <w:spacing w:after="0" w:line="176" w:lineRule="exact"/>
              <w:rPr>
                <w:sz w:val="20"/>
                <w:szCs w:val="20"/>
                <w:color w:val="auto"/>
              </w:rPr>
            </w:pPr>
            <w:r>
              <w:rPr>
                <w:rFonts w:ascii="Arial" w:cs="Arial" w:eastAsia="Arial" w:hAnsi="Arial"/>
                <w:sz w:val="16"/>
                <w:szCs w:val="16"/>
                <w:b w:val="1"/>
                <w:bCs w:val="1"/>
                <w:color w:val="auto"/>
                <w:w w:val="92"/>
              </w:rPr>
              <w:t>amortization expense</w:t>
            </w:r>
          </w:p>
        </w:tc>
        <w:tc>
          <w:tcPr>
            <w:tcW w:w="0" w:type="dxa"/>
            <w:vAlign w:val="bottom"/>
          </w:tcPr>
          <w:p>
            <w:pPr>
              <w:spacing w:after="0"/>
              <w:rPr>
                <w:sz w:val="1"/>
                <w:szCs w:val="1"/>
                <w:color w:val="auto"/>
              </w:rPr>
            </w:pPr>
          </w:p>
        </w:tc>
      </w:tr>
      <w:tr>
        <w:trPr>
          <w:trHeight w:val="48"/>
        </w:trPr>
        <w:tc>
          <w:tcPr>
            <w:tcW w:w="40" w:type="dxa"/>
            <w:vAlign w:val="bottom"/>
            <w:tcBorders>
              <w:bottom w:val="single" w:sz="8" w:color="CCEEFF"/>
            </w:tcBorders>
          </w:tcPr>
          <w:p>
            <w:pPr>
              <w:spacing w:after="0"/>
              <w:rPr>
                <w:sz w:val="4"/>
                <w:szCs w:val="4"/>
                <w:color w:val="auto"/>
              </w:rPr>
            </w:pPr>
          </w:p>
        </w:tc>
        <w:tc>
          <w:tcPr>
            <w:tcW w:w="2080" w:type="dxa"/>
            <w:vAlign w:val="bottom"/>
            <w:tcBorders>
              <w:top w:val="single" w:sz="8" w:color="auto"/>
              <w:bottom w:val="single" w:sz="8" w:color="CCEEFF"/>
            </w:tcBorders>
          </w:tcPr>
          <w:p>
            <w:pPr>
              <w:spacing w:after="0"/>
              <w:rPr>
                <w:sz w:val="4"/>
                <w:szCs w:val="4"/>
                <w:color w:val="auto"/>
              </w:rPr>
            </w:pPr>
          </w:p>
        </w:tc>
        <w:tc>
          <w:tcPr>
            <w:tcW w:w="7240" w:type="dxa"/>
            <w:vAlign w:val="bottom"/>
            <w:tcBorders>
              <w:bottom w:val="single" w:sz="8" w:color="CCEEFF"/>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184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44"/>
        </w:trPr>
        <w:tc>
          <w:tcPr>
            <w:tcW w:w="93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2014 (remainder)</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8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253</w:t>
            </w:r>
          </w:p>
        </w:tc>
        <w:tc>
          <w:tcPr>
            <w:tcW w:w="0" w:type="dxa"/>
            <w:vAlign w:val="bottom"/>
          </w:tcPr>
          <w:p>
            <w:pPr>
              <w:spacing w:after="0"/>
              <w:rPr>
                <w:sz w:val="1"/>
                <w:szCs w:val="1"/>
                <w:color w:val="auto"/>
              </w:rPr>
            </w:pPr>
          </w:p>
        </w:tc>
      </w:tr>
      <w:tr>
        <w:trPr>
          <w:trHeight w:val="243"/>
        </w:trPr>
        <w:tc>
          <w:tcPr>
            <w:tcW w:w="2120" w:type="dxa"/>
            <w:vAlign w:val="bottom"/>
            <w:gridSpan w:val="2"/>
          </w:tcPr>
          <w:p>
            <w:pPr>
              <w:ind w:left="40"/>
              <w:spacing w:after="0"/>
              <w:rPr>
                <w:sz w:val="20"/>
                <w:szCs w:val="20"/>
                <w:color w:val="auto"/>
              </w:rPr>
            </w:pPr>
            <w:r>
              <w:rPr>
                <w:rFonts w:ascii="Arial" w:cs="Arial" w:eastAsia="Arial" w:hAnsi="Arial"/>
                <w:sz w:val="18"/>
                <w:szCs w:val="18"/>
                <w:color w:val="auto"/>
              </w:rPr>
              <w:t>2015</w:t>
            </w:r>
          </w:p>
        </w:tc>
        <w:tc>
          <w:tcPr>
            <w:tcW w:w="72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840" w:type="dxa"/>
            <w:vAlign w:val="bottom"/>
          </w:tcPr>
          <w:p>
            <w:pPr>
              <w:jc w:val="right"/>
              <w:ind w:right="32"/>
              <w:spacing w:after="0"/>
              <w:rPr>
                <w:sz w:val="20"/>
                <w:szCs w:val="20"/>
                <w:color w:val="auto"/>
              </w:rPr>
            </w:pPr>
            <w:r>
              <w:rPr>
                <w:rFonts w:ascii="Arial" w:cs="Arial" w:eastAsia="Arial" w:hAnsi="Arial"/>
                <w:sz w:val="18"/>
                <w:szCs w:val="18"/>
                <w:color w:val="auto"/>
              </w:rPr>
              <w:t>1,013</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2080" w:type="dxa"/>
            <w:vAlign w:val="bottom"/>
          </w:tcPr>
          <w:p>
            <w:pPr>
              <w:spacing w:after="0"/>
              <w:rPr>
                <w:sz w:val="2"/>
                <w:szCs w:val="2"/>
                <w:color w:val="auto"/>
              </w:rPr>
            </w:pPr>
          </w:p>
        </w:tc>
        <w:tc>
          <w:tcPr>
            <w:tcW w:w="7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1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2016</w:t>
            </w:r>
          </w:p>
        </w:tc>
        <w:tc>
          <w:tcPr>
            <w:tcW w:w="724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8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976</w:t>
            </w:r>
          </w:p>
        </w:tc>
        <w:tc>
          <w:tcPr>
            <w:tcW w:w="0" w:type="dxa"/>
            <w:vAlign w:val="bottom"/>
          </w:tcPr>
          <w:p>
            <w:pPr>
              <w:spacing w:after="0"/>
              <w:rPr>
                <w:sz w:val="1"/>
                <w:szCs w:val="1"/>
                <w:color w:val="auto"/>
              </w:rPr>
            </w:pPr>
          </w:p>
        </w:tc>
      </w:tr>
      <w:tr>
        <w:trPr>
          <w:trHeight w:val="243"/>
        </w:trPr>
        <w:tc>
          <w:tcPr>
            <w:tcW w:w="2120" w:type="dxa"/>
            <w:vAlign w:val="bottom"/>
            <w:gridSpan w:val="2"/>
          </w:tcPr>
          <w:p>
            <w:pPr>
              <w:ind w:left="40"/>
              <w:spacing w:after="0"/>
              <w:rPr>
                <w:sz w:val="20"/>
                <w:szCs w:val="20"/>
                <w:color w:val="auto"/>
              </w:rPr>
            </w:pPr>
            <w:r>
              <w:rPr>
                <w:rFonts w:ascii="Arial" w:cs="Arial" w:eastAsia="Arial" w:hAnsi="Arial"/>
                <w:sz w:val="18"/>
                <w:szCs w:val="18"/>
                <w:color w:val="auto"/>
              </w:rPr>
              <w:t>2017</w:t>
            </w:r>
          </w:p>
        </w:tc>
        <w:tc>
          <w:tcPr>
            <w:tcW w:w="72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840" w:type="dxa"/>
            <w:vAlign w:val="bottom"/>
          </w:tcPr>
          <w:p>
            <w:pPr>
              <w:jc w:val="right"/>
              <w:ind w:right="32"/>
              <w:spacing w:after="0"/>
              <w:rPr>
                <w:sz w:val="20"/>
                <w:szCs w:val="20"/>
                <w:color w:val="auto"/>
              </w:rPr>
            </w:pPr>
            <w:r>
              <w:rPr>
                <w:rFonts w:ascii="Arial" w:cs="Arial" w:eastAsia="Arial" w:hAnsi="Arial"/>
                <w:sz w:val="18"/>
                <w:szCs w:val="18"/>
                <w:color w:val="auto"/>
              </w:rPr>
              <w:t>887</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2080" w:type="dxa"/>
            <w:vAlign w:val="bottom"/>
          </w:tcPr>
          <w:p>
            <w:pPr>
              <w:spacing w:after="0"/>
              <w:rPr>
                <w:sz w:val="2"/>
                <w:szCs w:val="2"/>
                <w:color w:val="auto"/>
              </w:rPr>
            </w:pPr>
          </w:p>
        </w:tc>
        <w:tc>
          <w:tcPr>
            <w:tcW w:w="7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1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2018</w:t>
            </w:r>
          </w:p>
        </w:tc>
        <w:tc>
          <w:tcPr>
            <w:tcW w:w="724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8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866</w:t>
            </w:r>
          </w:p>
        </w:tc>
        <w:tc>
          <w:tcPr>
            <w:tcW w:w="0" w:type="dxa"/>
            <w:vAlign w:val="bottom"/>
          </w:tcPr>
          <w:p>
            <w:pPr>
              <w:spacing w:after="0"/>
              <w:rPr>
                <w:sz w:val="1"/>
                <w:szCs w:val="1"/>
                <w:color w:val="auto"/>
              </w:rPr>
            </w:pPr>
          </w:p>
        </w:tc>
      </w:tr>
      <w:tr>
        <w:trPr>
          <w:trHeight w:val="243"/>
        </w:trPr>
        <w:tc>
          <w:tcPr>
            <w:tcW w:w="9360" w:type="dxa"/>
            <w:vAlign w:val="bottom"/>
            <w:gridSpan w:val="3"/>
          </w:tcPr>
          <w:p>
            <w:pPr>
              <w:ind w:left="40"/>
              <w:spacing w:after="0"/>
              <w:rPr>
                <w:sz w:val="20"/>
                <w:szCs w:val="20"/>
                <w:color w:val="auto"/>
              </w:rPr>
            </w:pPr>
            <w:r>
              <w:rPr>
                <w:rFonts w:ascii="Arial" w:cs="Arial" w:eastAsia="Arial" w:hAnsi="Arial"/>
                <w:sz w:val="18"/>
                <w:szCs w:val="18"/>
                <w:color w:val="auto"/>
              </w:rPr>
              <w:t>Thereafter</w:t>
            </w:r>
          </w:p>
        </w:tc>
        <w:tc>
          <w:tcPr>
            <w:tcW w:w="200" w:type="dxa"/>
            <w:vAlign w:val="bottom"/>
          </w:tcPr>
          <w:p>
            <w:pPr>
              <w:spacing w:after="0"/>
              <w:rPr>
                <w:sz w:val="21"/>
                <w:szCs w:val="21"/>
                <w:color w:val="auto"/>
              </w:rPr>
            </w:pPr>
          </w:p>
        </w:tc>
        <w:tc>
          <w:tcPr>
            <w:tcW w:w="1840" w:type="dxa"/>
            <w:vAlign w:val="bottom"/>
          </w:tcPr>
          <w:p>
            <w:pPr>
              <w:jc w:val="right"/>
              <w:ind w:right="32"/>
              <w:spacing w:after="0"/>
              <w:rPr>
                <w:sz w:val="20"/>
                <w:szCs w:val="20"/>
                <w:color w:val="auto"/>
              </w:rPr>
            </w:pPr>
            <w:r>
              <w:rPr>
                <w:rFonts w:ascii="Arial" w:cs="Arial" w:eastAsia="Arial" w:hAnsi="Arial"/>
                <w:sz w:val="18"/>
                <w:szCs w:val="18"/>
                <w:color w:val="auto"/>
              </w:rPr>
              <w:t>4,772</w:t>
            </w: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2080" w:type="dxa"/>
            <w:vAlign w:val="bottom"/>
            <w:tcBorders>
              <w:bottom w:val="single" w:sz="8" w:color="CCEEFF"/>
            </w:tcBorders>
          </w:tcPr>
          <w:p>
            <w:pPr>
              <w:spacing w:after="0"/>
              <w:rPr>
                <w:sz w:val="2"/>
                <w:szCs w:val="2"/>
                <w:color w:val="auto"/>
              </w:rPr>
            </w:pPr>
          </w:p>
        </w:tc>
        <w:tc>
          <w:tcPr>
            <w:tcW w:w="724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40" w:type="dxa"/>
            <w:vAlign w:val="bottom"/>
            <w:tcBorders>
              <w:bottom w:val="single" w:sz="8" w:color="CCEEFF"/>
            </w:tcBorders>
            <w:shd w:val="clear" w:color="auto" w:fill="CCEEFF"/>
          </w:tcPr>
          <w:p>
            <w:pPr>
              <w:spacing w:after="0"/>
              <w:rPr>
                <w:sz w:val="22"/>
                <w:szCs w:val="22"/>
                <w:color w:val="auto"/>
              </w:rPr>
            </w:pPr>
          </w:p>
        </w:tc>
        <w:tc>
          <w:tcPr>
            <w:tcW w:w="2080" w:type="dxa"/>
            <w:vAlign w:val="bottom"/>
            <w:tcBorders>
              <w:bottom w:val="single" w:sz="8" w:color="CCEEFF"/>
            </w:tcBorders>
            <w:shd w:val="clear" w:color="auto" w:fill="CCEEFF"/>
          </w:tcPr>
          <w:p>
            <w:pPr>
              <w:spacing w:after="0"/>
              <w:rPr>
                <w:sz w:val="22"/>
                <w:szCs w:val="22"/>
                <w:color w:val="auto"/>
              </w:rPr>
            </w:pPr>
          </w:p>
        </w:tc>
        <w:tc>
          <w:tcPr>
            <w:tcW w:w="724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8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8,767</w:t>
            </w:r>
          </w:p>
        </w:tc>
        <w:tc>
          <w:tcPr>
            <w:tcW w:w="0" w:type="dxa"/>
            <w:vAlign w:val="bottom"/>
          </w:tcPr>
          <w:p>
            <w:pPr>
              <w:spacing w:after="0"/>
              <w:rPr>
                <w:sz w:val="1"/>
                <w:szCs w:val="1"/>
                <w:color w:val="auto"/>
              </w:rPr>
            </w:pPr>
          </w:p>
        </w:tc>
      </w:tr>
      <w:tr>
        <w:trPr>
          <w:trHeight w:val="20"/>
        </w:trPr>
        <w:tc>
          <w:tcPr>
            <w:tcW w:w="40" w:type="dxa"/>
            <w:vAlign w:val="bottom"/>
            <w:tcBorders>
              <w:top w:val="single" w:sz="8" w:color="CCEEFF"/>
            </w:tcBorders>
          </w:tcPr>
          <w:p>
            <w:pPr>
              <w:spacing w:after="0" w:line="20" w:lineRule="exact"/>
              <w:rPr>
                <w:sz w:val="1"/>
                <w:szCs w:val="1"/>
                <w:color w:val="auto"/>
              </w:rPr>
            </w:pPr>
          </w:p>
        </w:tc>
        <w:tc>
          <w:tcPr>
            <w:tcW w:w="2080" w:type="dxa"/>
            <w:vAlign w:val="bottom"/>
            <w:tcBorders>
              <w:top w:val="single" w:sz="8" w:color="CCEEFF"/>
            </w:tcBorders>
          </w:tcPr>
          <w:p>
            <w:pPr>
              <w:spacing w:after="0" w:line="20" w:lineRule="exact"/>
              <w:rPr>
                <w:sz w:val="1"/>
                <w:szCs w:val="1"/>
                <w:color w:val="auto"/>
              </w:rPr>
            </w:pPr>
          </w:p>
        </w:tc>
        <w:tc>
          <w:tcPr>
            <w:tcW w:w="72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8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Inventories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Inventories, net of reserves, as of September 30, 2014 and December 31, 2013 consisted of the following:</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7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920" w:type="dxa"/>
            <w:vAlign w:val="bottom"/>
            <w:gridSpan w:val="2"/>
          </w:tcPr>
          <w:p>
            <w:pPr>
              <w:ind w:left="120"/>
              <w:spacing w:after="0"/>
              <w:rPr>
                <w:sz w:val="20"/>
                <w:szCs w:val="20"/>
                <w:color w:val="auto"/>
              </w:rPr>
            </w:pPr>
            <w:r>
              <w:rPr>
                <w:rFonts w:ascii="Arial" w:cs="Arial" w:eastAsia="Arial" w:hAnsi="Arial"/>
                <w:sz w:val="16"/>
                <w:szCs w:val="16"/>
                <w:b w:val="1"/>
                <w:bCs w:val="1"/>
                <w:color w:val="auto"/>
              </w:rPr>
              <w:t>September 30, 2014</w:t>
            </w:r>
          </w:p>
        </w:tc>
        <w:tc>
          <w:tcPr>
            <w:tcW w:w="260" w:type="dxa"/>
            <w:vAlign w:val="bottom"/>
          </w:tcPr>
          <w:p>
            <w:pPr>
              <w:spacing w:after="0"/>
              <w:rPr>
                <w:sz w:val="18"/>
                <w:szCs w:val="18"/>
                <w:color w:val="auto"/>
              </w:rPr>
            </w:pPr>
          </w:p>
        </w:tc>
        <w:tc>
          <w:tcPr>
            <w:tcW w:w="1800" w:type="dxa"/>
            <w:vAlign w:val="bottom"/>
          </w:tcPr>
          <w:p>
            <w:pPr>
              <w:jc w:val="right"/>
              <w:ind w:right="291"/>
              <w:spacing w:after="0"/>
              <w:rPr>
                <w:sz w:val="20"/>
                <w:szCs w:val="20"/>
                <w:color w:val="auto"/>
              </w:rPr>
            </w:pPr>
            <w:r>
              <w:rPr>
                <w:rFonts w:ascii="Arial" w:cs="Arial" w:eastAsia="Arial" w:hAnsi="Arial"/>
                <w:sz w:val="16"/>
                <w:szCs w:val="16"/>
                <w:b w:val="1"/>
                <w:bCs w:val="1"/>
                <w:color w:val="auto"/>
                <w:w w:val="97"/>
              </w:rPr>
              <w:t>December 31, 2013</w:t>
            </w:r>
          </w:p>
        </w:tc>
      </w:tr>
      <w:tr>
        <w:trPr>
          <w:trHeight w:val="33"/>
        </w:trPr>
        <w:tc>
          <w:tcPr>
            <w:tcW w:w="72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r>
      <w:tr>
        <w:trPr>
          <w:trHeight w:val="244"/>
        </w:trPr>
        <w:tc>
          <w:tcPr>
            <w:tcW w:w="7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Current:</w:t>
            </w:r>
          </w:p>
        </w:tc>
        <w:tc>
          <w:tcPr>
            <w:tcW w:w="240" w:type="dxa"/>
            <w:vAlign w:val="bottom"/>
            <w:tcBorders>
              <w:bottom w:val="single" w:sz="8" w:color="CCEEFF"/>
            </w:tcBorders>
            <w:shd w:val="clear" w:color="auto" w:fill="CCEEFF"/>
          </w:tcPr>
          <w:p>
            <w:pPr>
              <w:spacing w:after="0"/>
              <w:rPr>
                <w:sz w:val="21"/>
                <w:szCs w:val="21"/>
                <w:color w:val="auto"/>
              </w:rPr>
            </w:pPr>
          </w:p>
        </w:tc>
        <w:tc>
          <w:tcPr>
            <w:tcW w:w="18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800" w:type="dxa"/>
            <w:vAlign w:val="bottom"/>
            <w:tcBorders>
              <w:bottom w:val="single" w:sz="8" w:color="CCEEFF"/>
            </w:tcBorders>
            <w:shd w:val="clear" w:color="auto" w:fill="CCEEFF"/>
          </w:tcPr>
          <w:p>
            <w:pPr>
              <w:spacing w:after="0"/>
              <w:rPr>
                <w:sz w:val="21"/>
                <w:szCs w:val="21"/>
                <w:color w:val="auto"/>
              </w:rPr>
            </w:pPr>
          </w:p>
        </w:tc>
      </w:tr>
      <w:tr>
        <w:trPr>
          <w:trHeight w:val="243"/>
        </w:trPr>
        <w:tc>
          <w:tcPr>
            <w:tcW w:w="7200" w:type="dxa"/>
            <w:vAlign w:val="bottom"/>
          </w:tcPr>
          <w:p>
            <w:pPr>
              <w:ind w:left="220"/>
              <w:spacing w:after="0"/>
              <w:rPr>
                <w:sz w:val="20"/>
                <w:szCs w:val="20"/>
                <w:color w:val="auto"/>
              </w:rPr>
            </w:pPr>
            <w:r>
              <w:rPr>
                <w:rFonts w:ascii="Arial" w:cs="Arial" w:eastAsia="Arial" w:hAnsi="Arial"/>
                <w:sz w:val="18"/>
                <w:szCs w:val="18"/>
                <w:color w:val="auto"/>
              </w:rPr>
              <w:t>Raw materials</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820" w:type="dxa"/>
            <w:vAlign w:val="bottom"/>
          </w:tcPr>
          <w:p>
            <w:pPr>
              <w:jc w:val="right"/>
              <w:ind w:right="11"/>
              <w:spacing w:after="0"/>
              <w:rPr>
                <w:sz w:val="20"/>
                <w:szCs w:val="20"/>
                <w:color w:val="auto"/>
              </w:rPr>
            </w:pPr>
            <w:r>
              <w:rPr>
                <w:rFonts w:ascii="Arial" w:cs="Arial" w:eastAsia="Arial" w:hAnsi="Arial"/>
                <w:sz w:val="18"/>
                <w:szCs w:val="18"/>
                <w:color w:val="auto"/>
              </w:rPr>
              <w:t>2,340</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800" w:type="dxa"/>
            <w:vAlign w:val="bottom"/>
          </w:tcPr>
          <w:p>
            <w:pPr>
              <w:jc w:val="right"/>
              <w:ind w:right="11"/>
              <w:spacing w:after="0"/>
              <w:rPr>
                <w:sz w:val="20"/>
                <w:szCs w:val="20"/>
                <w:color w:val="auto"/>
              </w:rPr>
            </w:pPr>
            <w:r>
              <w:rPr>
                <w:rFonts w:ascii="Arial" w:cs="Arial" w:eastAsia="Arial" w:hAnsi="Arial"/>
                <w:sz w:val="18"/>
                <w:szCs w:val="18"/>
                <w:color w:val="auto"/>
              </w:rPr>
              <w:t>1,362</w:t>
            </w:r>
          </w:p>
        </w:tc>
      </w:tr>
      <w:tr>
        <w:trPr>
          <w:trHeight w:val="27"/>
        </w:trPr>
        <w:tc>
          <w:tcPr>
            <w:tcW w:w="72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800" w:type="dxa"/>
            <w:vAlign w:val="bottom"/>
          </w:tcPr>
          <w:p>
            <w:pPr>
              <w:spacing w:after="0"/>
              <w:rPr>
                <w:sz w:val="2"/>
                <w:szCs w:val="2"/>
                <w:color w:val="auto"/>
              </w:rPr>
            </w:pPr>
          </w:p>
        </w:tc>
      </w:tr>
      <w:tr>
        <w:trPr>
          <w:trHeight w:val="270"/>
        </w:trPr>
        <w:tc>
          <w:tcPr>
            <w:tcW w:w="720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Finished goods</w:t>
            </w:r>
          </w:p>
        </w:tc>
        <w:tc>
          <w:tcPr>
            <w:tcW w:w="240" w:type="dxa"/>
            <w:vAlign w:val="bottom"/>
            <w:tcBorders>
              <w:bottom w:val="single" w:sz="8" w:color="CCEEFF"/>
            </w:tcBorders>
            <w:shd w:val="clear" w:color="auto" w:fill="CCEEFF"/>
          </w:tcPr>
          <w:p>
            <w:pPr>
              <w:spacing w:after="0"/>
              <w:rPr>
                <w:sz w:val="23"/>
                <w:szCs w:val="23"/>
                <w:color w:val="auto"/>
              </w:rPr>
            </w:pPr>
          </w:p>
        </w:tc>
        <w:tc>
          <w:tcPr>
            <w:tcW w:w="18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10,940</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8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10,916</w:t>
            </w:r>
          </w:p>
        </w:tc>
      </w:tr>
      <w:tr>
        <w:trPr>
          <w:trHeight w:val="237"/>
        </w:trPr>
        <w:tc>
          <w:tcPr>
            <w:tcW w:w="7200" w:type="dxa"/>
            <w:vAlign w:val="bottom"/>
          </w:tcPr>
          <w:p>
            <w:pPr>
              <w:spacing w:after="0"/>
              <w:rPr>
                <w:sz w:val="20"/>
                <w:szCs w:val="20"/>
                <w:color w:val="auto"/>
              </w:rPr>
            </w:pP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8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13,280</w:t>
            </w:r>
          </w:p>
        </w:tc>
        <w:tc>
          <w:tcPr>
            <w:tcW w:w="100" w:type="dxa"/>
            <w:vAlign w:val="bottom"/>
          </w:tcPr>
          <w:p>
            <w:pPr>
              <w:spacing w:after="0"/>
              <w:rPr>
                <w:sz w:val="20"/>
                <w:szCs w:val="20"/>
                <w:color w:val="auto"/>
              </w:rPr>
            </w:pP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8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12,278</w:t>
            </w:r>
          </w:p>
        </w:tc>
      </w:tr>
      <w:tr>
        <w:trPr>
          <w:trHeight w:val="67"/>
        </w:trPr>
        <w:tc>
          <w:tcPr>
            <w:tcW w:w="7200" w:type="dxa"/>
            <w:vAlign w:val="bottom"/>
            <w:tcBorders>
              <w:bottom w:val="single" w:sz="8" w:color="CCEEFF"/>
            </w:tcBorders>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182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260" w:type="dxa"/>
            <w:vAlign w:val="bottom"/>
            <w:tcBorders>
              <w:bottom w:val="single" w:sz="8" w:color="auto"/>
            </w:tcBorders>
          </w:tcPr>
          <w:p>
            <w:pPr>
              <w:spacing w:after="0"/>
              <w:rPr>
                <w:sz w:val="5"/>
                <w:szCs w:val="5"/>
                <w:color w:val="auto"/>
              </w:rPr>
            </w:pPr>
          </w:p>
        </w:tc>
        <w:tc>
          <w:tcPr>
            <w:tcW w:w="1800" w:type="dxa"/>
            <w:vAlign w:val="bottom"/>
            <w:tcBorders>
              <w:bottom w:val="single" w:sz="8" w:color="auto"/>
            </w:tcBorders>
          </w:tcPr>
          <w:p>
            <w:pPr>
              <w:spacing w:after="0"/>
              <w:rPr>
                <w:sz w:val="5"/>
                <w:szCs w:val="5"/>
                <w:color w:val="auto"/>
              </w:rPr>
            </w:pPr>
          </w:p>
        </w:tc>
      </w:tr>
      <w:tr>
        <w:trPr>
          <w:trHeight w:val="231"/>
        </w:trPr>
        <w:tc>
          <w:tcPr>
            <w:tcW w:w="7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Long-term:</w:t>
            </w:r>
          </w:p>
        </w:tc>
        <w:tc>
          <w:tcPr>
            <w:tcW w:w="240" w:type="dxa"/>
            <w:vAlign w:val="bottom"/>
            <w:tcBorders>
              <w:bottom w:val="single" w:sz="8" w:color="CCEEFF"/>
            </w:tcBorders>
            <w:shd w:val="clear" w:color="auto" w:fill="CCEEFF"/>
          </w:tcPr>
          <w:p>
            <w:pPr>
              <w:spacing w:after="0"/>
              <w:rPr>
                <w:sz w:val="20"/>
                <w:szCs w:val="20"/>
                <w:color w:val="auto"/>
              </w:rPr>
            </w:pPr>
          </w:p>
        </w:tc>
        <w:tc>
          <w:tcPr>
            <w:tcW w:w="18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1800" w:type="dxa"/>
            <w:vAlign w:val="bottom"/>
            <w:tcBorders>
              <w:bottom w:val="single" w:sz="8" w:color="CCEEFF"/>
            </w:tcBorders>
            <w:shd w:val="clear" w:color="auto" w:fill="CCEEFF"/>
          </w:tcPr>
          <w:p>
            <w:pPr>
              <w:spacing w:after="0"/>
              <w:rPr>
                <w:sz w:val="20"/>
                <w:szCs w:val="20"/>
                <w:color w:val="auto"/>
              </w:rPr>
            </w:pPr>
          </w:p>
        </w:tc>
      </w:tr>
      <w:tr>
        <w:trPr>
          <w:trHeight w:val="243"/>
        </w:trPr>
        <w:tc>
          <w:tcPr>
            <w:tcW w:w="7200" w:type="dxa"/>
            <w:vAlign w:val="bottom"/>
          </w:tcPr>
          <w:p>
            <w:pPr>
              <w:ind w:left="220"/>
              <w:spacing w:after="0"/>
              <w:rPr>
                <w:sz w:val="20"/>
                <w:szCs w:val="20"/>
                <w:color w:val="auto"/>
              </w:rPr>
            </w:pPr>
            <w:r>
              <w:rPr>
                <w:rFonts w:ascii="Arial" w:cs="Arial" w:eastAsia="Arial" w:hAnsi="Arial"/>
                <w:sz w:val="18"/>
                <w:szCs w:val="18"/>
                <w:color w:val="auto"/>
              </w:rPr>
              <w:t>Raw materials</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820" w:type="dxa"/>
            <w:vAlign w:val="bottom"/>
          </w:tcPr>
          <w:p>
            <w:pPr>
              <w:jc w:val="right"/>
              <w:ind w:right="11"/>
              <w:spacing w:after="0"/>
              <w:rPr>
                <w:sz w:val="20"/>
                <w:szCs w:val="20"/>
                <w:color w:val="auto"/>
              </w:rPr>
            </w:pPr>
            <w:r>
              <w:rPr>
                <w:rFonts w:ascii="Arial" w:cs="Arial" w:eastAsia="Arial" w:hAnsi="Arial"/>
                <w:sz w:val="18"/>
                <w:szCs w:val="18"/>
                <w:color w:val="auto"/>
              </w:rPr>
              <w:t>329</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800" w:type="dxa"/>
            <w:vAlign w:val="bottom"/>
          </w:tcPr>
          <w:p>
            <w:pPr>
              <w:jc w:val="right"/>
              <w:ind w:right="11"/>
              <w:spacing w:after="0"/>
              <w:rPr>
                <w:sz w:val="20"/>
                <w:szCs w:val="20"/>
                <w:color w:val="auto"/>
              </w:rPr>
            </w:pPr>
            <w:r>
              <w:rPr>
                <w:rFonts w:ascii="Arial" w:cs="Arial" w:eastAsia="Arial" w:hAnsi="Arial"/>
                <w:sz w:val="18"/>
                <w:szCs w:val="18"/>
                <w:color w:val="auto"/>
              </w:rPr>
              <w:t>227</w:t>
            </w:r>
          </w:p>
        </w:tc>
      </w:tr>
      <w:tr>
        <w:trPr>
          <w:trHeight w:val="27"/>
        </w:trPr>
        <w:tc>
          <w:tcPr>
            <w:tcW w:w="72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800" w:type="dxa"/>
            <w:vAlign w:val="bottom"/>
          </w:tcPr>
          <w:p>
            <w:pPr>
              <w:spacing w:after="0"/>
              <w:rPr>
                <w:sz w:val="2"/>
                <w:szCs w:val="2"/>
                <w:color w:val="auto"/>
              </w:rPr>
            </w:pPr>
          </w:p>
        </w:tc>
      </w:tr>
      <w:tr>
        <w:trPr>
          <w:trHeight w:val="270"/>
        </w:trPr>
        <w:tc>
          <w:tcPr>
            <w:tcW w:w="720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Finished goods</w:t>
            </w:r>
          </w:p>
        </w:tc>
        <w:tc>
          <w:tcPr>
            <w:tcW w:w="240" w:type="dxa"/>
            <w:vAlign w:val="bottom"/>
            <w:tcBorders>
              <w:bottom w:val="single" w:sz="8" w:color="CCEEFF"/>
            </w:tcBorders>
            <w:shd w:val="clear" w:color="auto" w:fill="CCEEFF"/>
          </w:tcPr>
          <w:p>
            <w:pPr>
              <w:spacing w:after="0"/>
              <w:rPr>
                <w:sz w:val="23"/>
                <w:szCs w:val="23"/>
                <w:color w:val="auto"/>
              </w:rPr>
            </w:pPr>
          </w:p>
        </w:tc>
        <w:tc>
          <w:tcPr>
            <w:tcW w:w="18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663</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8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324</w:t>
            </w:r>
          </w:p>
        </w:tc>
      </w:tr>
      <w:tr>
        <w:trPr>
          <w:trHeight w:val="237"/>
        </w:trPr>
        <w:tc>
          <w:tcPr>
            <w:tcW w:w="7200" w:type="dxa"/>
            <w:vAlign w:val="bottom"/>
          </w:tcPr>
          <w:p>
            <w:pPr>
              <w:spacing w:after="0"/>
              <w:rPr>
                <w:sz w:val="20"/>
                <w:szCs w:val="20"/>
                <w:color w:val="auto"/>
              </w:rPr>
            </w:pP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8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992</w:t>
            </w:r>
          </w:p>
        </w:tc>
        <w:tc>
          <w:tcPr>
            <w:tcW w:w="100" w:type="dxa"/>
            <w:vAlign w:val="bottom"/>
          </w:tcPr>
          <w:p>
            <w:pPr>
              <w:spacing w:after="0"/>
              <w:rPr>
                <w:sz w:val="20"/>
                <w:szCs w:val="20"/>
                <w:color w:val="auto"/>
              </w:rPr>
            </w:pP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8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551</w:t>
            </w:r>
          </w:p>
        </w:tc>
      </w:tr>
      <w:tr>
        <w:trPr>
          <w:trHeight w:val="27"/>
        </w:trPr>
        <w:tc>
          <w:tcPr>
            <w:tcW w:w="72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r>
      <w:tr>
        <w:trPr>
          <w:trHeight w:val="20"/>
        </w:trPr>
        <w:tc>
          <w:tcPr>
            <w:tcW w:w="72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6"/>
          <w:szCs w:val="16"/>
          <w:color w:val="auto"/>
        </w:rPr>
        <w:t>Long-term inventory represents inventory held in excess of our current (next 12 months) requirements based on our recent sales and forecasted level of sales.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We expect to sell the above inventory, net of reserves, at or above the stated cost and believe that no loss will be incurred on its sale.</w:t>
      </w:r>
    </w:p>
    <w:p>
      <w:pPr>
        <w:spacing w:after="0" w:line="211" w:lineRule="exact"/>
        <w:rPr>
          <w:sz w:val="20"/>
          <w:szCs w:val="20"/>
          <w:color w:val="auto"/>
        </w:rPr>
      </w:pPr>
    </w:p>
    <w:p>
      <w:pPr>
        <w:ind w:right="220"/>
        <w:spacing w:after="0" w:line="342" w:lineRule="auto"/>
        <w:rPr>
          <w:sz w:val="20"/>
          <w:szCs w:val="20"/>
          <w:color w:val="auto"/>
        </w:rPr>
      </w:pPr>
      <w:r>
        <w:rPr>
          <w:rFonts w:ascii="Arial" w:cs="Arial" w:eastAsia="Arial" w:hAnsi="Arial"/>
          <w:sz w:val="16"/>
          <w:szCs w:val="16"/>
          <w:color w:val="auto"/>
        </w:rPr>
        <w:t>Current finished goods include consigned inventory in the amounts of approximately $1,607 and $1,520 as of September 30, 2014 and December 31, 2013, respectively. Consigned inventory represents inventory at distributors and other customers where revenue recognition criteria have not yet been achieved.</w:t>
      </w:r>
    </w:p>
    <w:p>
      <w:pPr>
        <w:spacing w:after="0" w:line="124"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The following table summarizes the losses incurred on valuation of inventory at lower of cost or market value and write-off of obsolete inventory during the three and nine months ended September 30, 2014 and 2013, respectively.</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6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140" w:type="dxa"/>
            <w:vAlign w:val="bottom"/>
            <w:gridSpan w:val="5"/>
          </w:tcPr>
          <w:p>
            <w:pPr>
              <w:ind w:left="160"/>
              <w:spacing w:after="0"/>
              <w:rPr>
                <w:sz w:val="20"/>
                <w:szCs w:val="20"/>
                <w:color w:val="auto"/>
              </w:rPr>
            </w:pPr>
            <w:r>
              <w:rPr>
                <w:rFonts w:ascii="Arial" w:cs="Arial" w:eastAsia="Arial" w:hAnsi="Arial"/>
                <w:sz w:val="16"/>
                <w:szCs w:val="16"/>
                <w:b w:val="1"/>
                <w:bCs w:val="1"/>
                <w:color w:val="auto"/>
              </w:rPr>
              <w:t>Three months ended September 30,</w:t>
            </w:r>
          </w:p>
        </w:tc>
        <w:tc>
          <w:tcPr>
            <w:tcW w:w="280" w:type="dxa"/>
            <w:vAlign w:val="bottom"/>
          </w:tcPr>
          <w:p>
            <w:pPr>
              <w:spacing w:after="0"/>
              <w:rPr>
                <w:sz w:val="18"/>
                <w:szCs w:val="18"/>
                <w:color w:val="auto"/>
              </w:rPr>
            </w:pPr>
          </w:p>
        </w:tc>
        <w:tc>
          <w:tcPr>
            <w:tcW w:w="3020" w:type="dxa"/>
            <w:vAlign w:val="bottom"/>
            <w:gridSpan w:val="4"/>
          </w:tcPr>
          <w:p>
            <w:pPr>
              <w:jc w:val="right"/>
              <w:ind w:right="394"/>
              <w:spacing w:after="0"/>
              <w:rPr>
                <w:sz w:val="20"/>
                <w:szCs w:val="20"/>
                <w:color w:val="auto"/>
              </w:rPr>
            </w:pPr>
            <w:r>
              <w:rPr>
                <w:rFonts w:ascii="Arial" w:cs="Arial" w:eastAsia="Arial" w:hAnsi="Arial"/>
                <w:sz w:val="16"/>
                <w:szCs w:val="16"/>
                <w:b w:val="1"/>
                <w:bCs w:val="1"/>
                <w:color w:val="auto"/>
                <w:w w:val="96"/>
              </w:rPr>
              <w:t>Nine months ended September 30,</w:t>
            </w:r>
          </w:p>
        </w:tc>
      </w:tr>
      <w:tr>
        <w:trPr>
          <w:trHeight w:val="33"/>
        </w:trPr>
        <w:tc>
          <w:tcPr>
            <w:tcW w:w="468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31"/>
        </w:trPr>
        <w:tc>
          <w:tcPr>
            <w:tcW w:w="46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320" w:type="dxa"/>
            <w:vAlign w:val="bottom"/>
          </w:tcPr>
          <w:p>
            <w:pPr>
              <w:jc w:val="right"/>
              <w:ind w:right="556"/>
              <w:spacing w:after="0"/>
              <w:rPr>
                <w:sz w:val="20"/>
                <w:szCs w:val="20"/>
                <w:color w:val="auto"/>
              </w:rPr>
            </w:pPr>
            <w:r>
              <w:rPr>
                <w:rFonts w:ascii="Arial" w:cs="Arial" w:eastAsia="Arial" w:hAnsi="Arial"/>
                <w:sz w:val="16"/>
                <w:szCs w:val="16"/>
                <w:b w:val="1"/>
                <w:bCs w:val="1"/>
                <w:color w:val="auto"/>
              </w:rPr>
              <w:t>2014</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00" w:type="dxa"/>
            <w:vAlign w:val="bottom"/>
          </w:tcPr>
          <w:p>
            <w:pPr>
              <w:jc w:val="right"/>
              <w:ind w:right="534"/>
              <w:spacing w:after="0"/>
              <w:rPr>
                <w:sz w:val="20"/>
                <w:szCs w:val="20"/>
                <w:color w:val="auto"/>
              </w:rPr>
            </w:pPr>
            <w:r>
              <w:rPr>
                <w:rFonts w:ascii="Arial" w:cs="Arial" w:eastAsia="Arial" w:hAnsi="Arial"/>
                <w:sz w:val="16"/>
                <w:szCs w:val="16"/>
                <w:b w:val="1"/>
                <w:bCs w:val="1"/>
                <w:color w:val="auto"/>
              </w:rPr>
              <w:t>2013</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320" w:type="dxa"/>
            <w:vAlign w:val="bottom"/>
          </w:tcPr>
          <w:p>
            <w:pPr>
              <w:jc w:val="right"/>
              <w:ind w:right="556"/>
              <w:spacing w:after="0"/>
              <w:rPr>
                <w:sz w:val="20"/>
                <w:szCs w:val="20"/>
                <w:color w:val="auto"/>
              </w:rPr>
            </w:pPr>
            <w:r>
              <w:rPr>
                <w:rFonts w:ascii="Arial" w:cs="Arial" w:eastAsia="Arial" w:hAnsi="Arial"/>
                <w:sz w:val="16"/>
                <w:szCs w:val="16"/>
                <w:b w:val="1"/>
                <w:bCs w:val="1"/>
                <w:color w:val="auto"/>
              </w:rPr>
              <w:t>2014</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20" w:type="dxa"/>
            <w:vAlign w:val="bottom"/>
          </w:tcPr>
          <w:p>
            <w:pPr>
              <w:jc w:val="right"/>
              <w:ind w:right="554"/>
              <w:spacing w:after="0"/>
              <w:rPr>
                <w:sz w:val="20"/>
                <w:szCs w:val="20"/>
                <w:color w:val="auto"/>
              </w:rPr>
            </w:pPr>
            <w:r>
              <w:rPr>
                <w:rFonts w:ascii="Arial" w:cs="Arial" w:eastAsia="Arial" w:hAnsi="Arial"/>
                <w:sz w:val="16"/>
                <w:szCs w:val="16"/>
                <w:b w:val="1"/>
                <w:bCs w:val="1"/>
                <w:color w:val="auto"/>
              </w:rPr>
              <w:t>2013</w:t>
            </w:r>
          </w:p>
        </w:tc>
      </w:tr>
      <w:tr>
        <w:trPr>
          <w:trHeight w:val="33"/>
        </w:trPr>
        <w:tc>
          <w:tcPr>
            <w:tcW w:w="46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09"/>
        </w:trPr>
        <w:tc>
          <w:tcPr>
            <w:tcW w:w="4680" w:type="dxa"/>
            <w:vAlign w:val="bottom"/>
            <w:shd w:val="clear" w:color="auto" w:fill="CCEEFF"/>
          </w:tcPr>
          <w:p>
            <w:pPr>
              <w:ind w:left="40"/>
              <w:spacing w:after="0"/>
              <w:rPr>
                <w:sz w:val="20"/>
                <w:szCs w:val="20"/>
                <w:color w:val="auto"/>
              </w:rPr>
            </w:pPr>
            <w:r>
              <w:rPr>
                <w:rFonts w:ascii="Arial" w:cs="Arial" w:eastAsia="Arial" w:hAnsi="Arial"/>
                <w:sz w:val="18"/>
                <w:szCs w:val="18"/>
                <w:color w:val="auto"/>
              </w:rPr>
              <w:t>Losses incurred on valuation of inventory and write-off of</w:t>
            </w:r>
          </w:p>
        </w:tc>
        <w:tc>
          <w:tcPr>
            <w:tcW w:w="28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r>
      <w:tr>
        <w:trPr>
          <w:trHeight w:val="230"/>
        </w:trPr>
        <w:tc>
          <w:tcPr>
            <w:tcW w:w="4680" w:type="dxa"/>
            <w:vAlign w:val="bottom"/>
            <w:shd w:val="clear" w:color="auto" w:fill="CCEEFF"/>
          </w:tcPr>
          <w:p>
            <w:pPr>
              <w:ind w:left="40"/>
              <w:spacing w:after="0"/>
              <w:rPr>
                <w:sz w:val="20"/>
                <w:szCs w:val="20"/>
                <w:color w:val="auto"/>
              </w:rPr>
            </w:pPr>
            <w:r>
              <w:rPr>
                <w:rFonts w:ascii="Arial" w:cs="Arial" w:eastAsia="Arial" w:hAnsi="Arial"/>
                <w:sz w:val="18"/>
                <w:szCs w:val="18"/>
                <w:color w:val="auto"/>
              </w:rPr>
              <w:t>obsolete inventory</w:t>
            </w: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32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rPr>
              <w:t>113</w:t>
            </w:r>
          </w:p>
        </w:tc>
        <w:tc>
          <w:tcPr>
            <w:tcW w:w="120" w:type="dxa"/>
            <w:vAlign w:val="bottom"/>
            <w:shd w:val="clear" w:color="auto" w:fill="CCEEFF"/>
          </w:tcPr>
          <w:p>
            <w:pPr>
              <w:spacing w:after="0"/>
              <w:rPr>
                <w:sz w:val="20"/>
                <w:szCs w:val="20"/>
                <w:color w:val="auto"/>
              </w:rPr>
            </w:pP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256</w:t>
            </w:r>
          </w:p>
        </w:tc>
        <w:tc>
          <w:tcPr>
            <w:tcW w:w="120" w:type="dxa"/>
            <w:vAlign w:val="bottom"/>
            <w:shd w:val="clear" w:color="auto" w:fill="CCEEFF"/>
          </w:tcPr>
          <w:p>
            <w:pPr>
              <w:spacing w:after="0"/>
              <w:rPr>
                <w:sz w:val="20"/>
                <w:szCs w:val="20"/>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320" w:type="dxa"/>
            <w:vAlign w:val="bottom"/>
            <w:shd w:val="clear" w:color="auto" w:fill="CCEEFF"/>
          </w:tcPr>
          <w:p>
            <w:pPr>
              <w:jc w:val="right"/>
              <w:ind w:right="36"/>
              <w:spacing w:after="0"/>
              <w:rPr>
                <w:sz w:val="20"/>
                <w:szCs w:val="20"/>
                <w:color w:val="auto"/>
              </w:rPr>
            </w:pPr>
            <w:r>
              <w:rPr>
                <w:rFonts w:ascii="Arial" w:cs="Arial" w:eastAsia="Arial" w:hAnsi="Arial"/>
                <w:sz w:val="18"/>
                <w:szCs w:val="18"/>
                <w:color w:val="auto"/>
              </w:rPr>
              <w:t>537</w:t>
            </w:r>
          </w:p>
        </w:tc>
        <w:tc>
          <w:tcPr>
            <w:tcW w:w="100" w:type="dxa"/>
            <w:vAlign w:val="bottom"/>
            <w:shd w:val="clear" w:color="auto" w:fill="CCEEFF"/>
          </w:tcPr>
          <w:p>
            <w:pPr>
              <w:spacing w:after="0"/>
              <w:rPr>
                <w:sz w:val="20"/>
                <w:szCs w:val="20"/>
                <w:color w:val="auto"/>
              </w:rPr>
            </w:pP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524</w:t>
            </w:r>
          </w:p>
        </w:tc>
      </w:tr>
      <w:tr>
        <w:trPr>
          <w:trHeight w:val="27"/>
        </w:trPr>
        <w:tc>
          <w:tcPr>
            <w:tcW w:w="468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13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12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13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1220" w:type="dxa"/>
            <w:vAlign w:val="bottom"/>
            <w:shd w:val="clear" w:color="auto" w:fill="CCEEFF"/>
          </w:tcPr>
          <w:p>
            <w:pPr>
              <w:spacing w:after="0"/>
              <w:rPr>
                <w:sz w:val="2"/>
                <w:szCs w:val="2"/>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Share-based Compensation Expense</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Share-based compensation expense for the three and nine months ended September 30, 2014 and 2013 has been recorded as follows: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121" w:right="239" w:bottom="1440" w:gutter="0" w:footer="0" w:header="0"/>
        </w:sectPr>
      </w:pPr>
    </w:p>
    <w:bookmarkStart w:id="12" w:name="page13"/>
    <w:bookmarkEnd w:id="12"/>
    <w:p>
      <w:pPr>
        <w:jc w:val="center"/>
        <w:spacing w:after="0"/>
        <w:rPr>
          <w:sz w:val="20"/>
          <w:szCs w:val="20"/>
          <w:color w:val="auto"/>
        </w:rPr>
      </w:pPr>
      <w:r>
        <w:rPr>
          <w:rFonts w:ascii="Arial" w:cs="Arial" w:eastAsia="Arial" w:hAnsi="Arial"/>
          <w:sz w:val="18"/>
          <w:szCs w:val="18"/>
          <w:b w:val="1"/>
          <w:bCs w:val="1"/>
          <w:color w:val="auto"/>
        </w:rPr>
        <w:t>CLEARONE,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(Unaudited – Dollars in thousands)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700" w:type="dxa"/>
            <w:vAlign w:val="bottom"/>
          </w:tcPr>
          <w:p>
            <w:pPr>
              <w:spacing w:after="0"/>
              <w:rPr>
                <w:sz w:val="18"/>
                <w:szCs w:val="18"/>
                <w:color w:val="auto"/>
              </w:rPr>
            </w:pPr>
          </w:p>
        </w:tc>
        <w:tc>
          <w:tcPr>
            <w:tcW w:w="2960" w:type="dxa"/>
            <w:vAlign w:val="bottom"/>
            <w:gridSpan w:val="4"/>
          </w:tcPr>
          <w:p>
            <w:pPr>
              <w:jc w:val="right"/>
              <w:spacing w:after="0"/>
              <w:rPr>
                <w:sz w:val="20"/>
                <w:szCs w:val="20"/>
                <w:color w:val="auto"/>
              </w:rPr>
            </w:pPr>
            <w:r>
              <w:rPr>
                <w:rFonts w:ascii="Arial" w:cs="Arial" w:eastAsia="Arial" w:hAnsi="Arial"/>
                <w:sz w:val="16"/>
                <w:szCs w:val="16"/>
                <w:b w:val="1"/>
                <w:bCs w:val="1"/>
                <w:color w:val="auto"/>
              </w:rPr>
              <w:t>Three months ended September 30,</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000" w:type="dxa"/>
            <w:vAlign w:val="bottom"/>
            <w:gridSpan w:val="4"/>
          </w:tcPr>
          <w:p>
            <w:pPr>
              <w:jc w:val="right"/>
              <w:ind w:right="371"/>
              <w:spacing w:after="0"/>
              <w:rPr>
                <w:sz w:val="20"/>
                <w:szCs w:val="20"/>
                <w:color w:val="auto"/>
              </w:rPr>
            </w:pPr>
            <w:r>
              <w:rPr>
                <w:rFonts w:ascii="Arial" w:cs="Arial" w:eastAsia="Arial" w:hAnsi="Arial"/>
                <w:sz w:val="16"/>
                <w:szCs w:val="16"/>
                <w:b w:val="1"/>
                <w:bCs w:val="1"/>
                <w:color w:val="auto"/>
                <w:w w:val="96"/>
              </w:rPr>
              <w:t>Nine months ended September 30,</w:t>
            </w:r>
          </w:p>
        </w:tc>
      </w:tr>
      <w:tr>
        <w:trPr>
          <w:trHeight w:val="33"/>
        </w:trPr>
        <w:tc>
          <w:tcPr>
            <w:tcW w:w="4700" w:type="dxa"/>
            <w:vAlign w:val="bottom"/>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31"/>
        </w:trPr>
        <w:tc>
          <w:tcPr>
            <w:tcW w:w="4700" w:type="dxa"/>
            <w:vAlign w:val="bottom"/>
          </w:tcPr>
          <w:p>
            <w:pPr>
              <w:spacing w:after="0"/>
              <w:rPr>
                <w:sz w:val="20"/>
                <w:szCs w:val="20"/>
                <w:color w:val="auto"/>
              </w:rPr>
            </w:pPr>
          </w:p>
        </w:tc>
        <w:tc>
          <w:tcPr>
            <w:tcW w:w="1140" w:type="dxa"/>
            <w:vAlign w:val="bottom"/>
          </w:tcPr>
          <w:p>
            <w:pPr>
              <w:jc w:val="right"/>
              <w:ind w:right="94"/>
              <w:spacing w:after="0"/>
              <w:rPr>
                <w:sz w:val="20"/>
                <w:szCs w:val="20"/>
                <w:color w:val="auto"/>
              </w:rPr>
            </w:pPr>
            <w:r>
              <w:rPr>
                <w:rFonts w:ascii="Arial" w:cs="Arial" w:eastAsia="Arial" w:hAnsi="Arial"/>
                <w:sz w:val="16"/>
                <w:szCs w:val="16"/>
                <w:b w:val="1"/>
                <w:bCs w:val="1"/>
                <w:color w:val="auto"/>
              </w:rPr>
              <w:t>2014</w:t>
            </w:r>
          </w:p>
        </w:tc>
        <w:tc>
          <w:tcPr>
            <w:tcW w:w="4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40" w:type="dxa"/>
            <w:vAlign w:val="bottom"/>
          </w:tcPr>
          <w:p>
            <w:pPr>
              <w:jc w:val="right"/>
              <w:ind w:right="193"/>
              <w:spacing w:after="0"/>
              <w:rPr>
                <w:sz w:val="20"/>
                <w:szCs w:val="20"/>
                <w:color w:val="auto"/>
              </w:rPr>
            </w:pPr>
            <w:r>
              <w:rPr>
                <w:rFonts w:ascii="Arial" w:cs="Arial" w:eastAsia="Arial" w:hAnsi="Arial"/>
                <w:sz w:val="16"/>
                <w:szCs w:val="16"/>
                <w:b w:val="1"/>
                <w:bCs w:val="1"/>
                <w:color w:val="auto"/>
              </w:rPr>
              <w:t>2013</w:t>
            </w:r>
          </w:p>
        </w:tc>
        <w:tc>
          <w:tcPr>
            <w:tcW w:w="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300" w:type="dxa"/>
            <w:vAlign w:val="bottom"/>
          </w:tcPr>
          <w:p>
            <w:pPr>
              <w:jc w:val="right"/>
              <w:ind w:right="553"/>
              <w:spacing w:after="0"/>
              <w:rPr>
                <w:sz w:val="20"/>
                <w:szCs w:val="20"/>
                <w:color w:val="auto"/>
              </w:rPr>
            </w:pPr>
            <w:r>
              <w:rPr>
                <w:rFonts w:ascii="Arial" w:cs="Arial" w:eastAsia="Arial" w:hAnsi="Arial"/>
                <w:sz w:val="16"/>
                <w:szCs w:val="16"/>
                <w:b w:val="1"/>
                <w:bCs w:val="1"/>
                <w:color w:val="auto"/>
              </w:rPr>
              <w:t>2014</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20" w:type="dxa"/>
            <w:vAlign w:val="bottom"/>
          </w:tcPr>
          <w:p>
            <w:pPr>
              <w:jc w:val="right"/>
              <w:ind w:right="551"/>
              <w:spacing w:after="0"/>
              <w:rPr>
                <w:sz w:val="20"/>
                <w:szCs w:val="20"/>
                <w:color w:val="auto"/>
              </w:rPr>
            </w:pPr>
            <w:r>
              <w:rPr>
                <w:rFonts w:ascii="Arial" w:cs="Arial" w:eastAsia="Arial" w:hAnsi="Arial"/>
                <w:sz w:val="16"/>
                <w:szCs w:val="16"/>
                <w:b w:val="1"/>
                <w:bCs w:val="1"/>
                <w:color w:val="auto"/>
              </w:rPr>
              <w:t>2013</w:t>
            </w:r>
          </w:p>
        </w:tc>
      </w:tr>
      <w:tr>
        <w:trPr>
          <w:trHeight w:val="33"/>
        </w:trPr>
        <w:tc>
          <w:tcPr>
            <w:tcW w:w="4700" w:type="dxa"/>
            <w:vAlign w:val="bottom"/>
            <w:tcBorders>
              <w:bottom w:val="single" w:sz="8" w:color="CCEEFF"/>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44"/>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Cost of goods sold</w:t>
            </w:r>
          </w:p>
        </w:tc>
        <w:tc>
          <w:tcPr>
            <w:tcW w:w="1140" w:type="dxa"/>
            <w:vAlign w:val="bottom"/>
            <w:tcBorders>
              <w:bottom w:val="single" w:sz="8" w:color="CCEEFF"/>
            </w:tcBorders>
            <w:shd w:val="clear" w:color="auto" w:fill="CCEEFF"/>
          </w:tcPr>
          <w:p>
            <w:pPr>
              <w:jc w:val="right"/>
              <w:ind w:right="934"/>
              <w:spacing w:after="0"/>
              <w:rPr>
                <w:sz w:val="20"/>
                <w:szCs w:val="20"/>
                <w:color w:val="auto"/>
              </w:rPr>
            </w:pPr>
            <w:r>
              <w:rPr>
                <w:rFonts w:ascii="Arial" w:cs="Arial" w:eastAsia="Arial" w:hAnsi="Arial"/>
                <w:sz w:val="18"/>
                <w:szCs w:val="18"/>
                <w:color w:val="auto"/>
                <w:w w:val="99"/>
              </w:rPr>
              <w:t>$</w:t>
            </w:r>
          </w:p>
        </w:tc>
        <w:tc>
          <w:tcPr>
            <w:tcW w:w="4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033"/>
              <w:spacing w:after="0"/>
              <w:rPr>
                <w:sz w:val="20"/>
                <w:szCs w:val="20"/>
                <w:color w:val="auto"/>
              </w:rPr>
            </w:pPr>
            <w:r>
              <w:rPr>
                <w:rFonts w:ascii="Arial" w:cs="Arial" w:eastAsia="Arial" w:hAnsi="Arial"/>
                <w:sz w:val="18"/>
                <w:szCs w:val="18"/>
                <w:color w:val="auto"/>
                <w:w w:val="99"/>
              </w:rPr>
              <w:t>$</w:t>
            </w:r>
          </w:p>
        </w:tc>
        <w:tc>
          <w:tcPr>
            <w:tcW w:w="3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6</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w:t>
            </w: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Sales and marketing</w:t>
            </w:r>
          </w:p>
        </w:tc>
        <w:tc>
          <w:tcPr>
            <w:tcW w:w="1140" w:type="dxa"/>
            <w:vAlign w:val="bottom"/>
          </w:tcPr>
          <w:p>
            <w:pPr>
              <w:spacing w:after="0"/>
              <w:rPr>
                <w:sz w:val="21"/>
                <w:szCs w:val="21"/>
                <w:color w:val="auto"/>
              </w:rPr>
            </w:pPr>
          </w:p>
        </w:tc>
        <w:tc>
          <w:tcPr>
            <w:tcW w:w="480" w:type="dxa"/>
            <w:vAlign w:val="bottom"/>
          </w:tcPr>
          <w:p>
            <w:pPr>
              <w:jc w:val="right"/>
              <w:ind w:right="30"/>
              <w:spacing w:after="0"/>
              <w:rPr>
                <w:sz w:val="20"/>
                <w:szCs w:val="20"/>
                <w:color w:val="auto"/>
              </w:rPr>
            </w:pPr>
            <w:r>
              <w:rPr>
                <w:rFonts w:ascii="Arial" w:cs="Arial" w:eastAsia="Arial" w:hAnsi="Arial"/>
                <w:sz w:val="18"/>
                <w:szCs w:val="18"/>
                <w:color w:val="auto"/>
              </w:rPr>
              <w:t>20</w:t>
            </w:r>
          </w:p>
        </w:tc>
        <w:tc>
          <w:tcPr>
            <w:tcW w:w="10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360" w:type="dxa"/>
            <w:vAlign w:val="bottom"/>
          </w:tcPr>
          <w:p>
            <w:pPr>
              <w:jc w:val="right"/>
              <w:ind w:right="30"/>
              <w:spacing w:after="0"/>
              <w:rPr>
                <w:sz w:val="20"/>
                <w:szCs w:val="20"/>
                <w:color w:val="auto"/>
              </w:rPr>
            </w:pPr>
            <w:r>
              <w:rPr>
                <w:rFonts w:ascii="Arial" w:cs="Arial" w:eastAsia="Arial" w:hAnsi="Arial"/>
                <w:sz w:val="18"/>
                <w:szCs w:val="18"/>
                <w:color w:val="auto"/>
              </w:rPr>
              <w:t>21</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300" w:type="dxa"/>
            <w:vAlign w:val="bottom"/>
          </w:tcPr>
          <w:p>
            <w:pPr>
              <w:jc w:val="right"/>
              <w:ind w:right="13"/>
              <w:spacing w:after="0"/>
              <w:rPr>
                <w:sz w:val="20"/>
                <w:szCs w:val="20"/>
                <w:color w:val="auto"/>
              </w:rPr>
            </w:pPr>
            <w:r>
              <w:rPr>
                <w:rFonts w:ascii="Arial" w:cs="Arial" w:eastAsia="Arial" w:hAnsi="Arial"/>
                <w:sz w:val="18"/>
                <w:szCs w:val="18"/>
                <w:color w:val="auto"/>
              </w:rPr>
              <w:t>60</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55</w:t>
            </w:r>
          </w:p>
        </w:tc>
      </w:tr>
      <w:tr>
        <w:trPr>
          <w:trHeight w:val="27"/>
        </w:trPr>
        <w:tc>
          <w:tcPr>
            <w:tcW w:w="47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Research and product development</w:t>
            </w:r>
          </w:p>
        </w:tc>
        <w:tc>
          <w:tcPr>
            <w:tcW w:w="114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12</w:t>
            </w:r>
          </w:p>
        </w:tc>
        <w:tc>
          <w:tcPr>
            <w:tcW w:w="1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14</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33</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37</w:t>
            </w: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General and administrative</w:t>
            </w:r>
          </w:p>
        </w:tc>
        <w:tc>
          <w:tcPr>
            <w:tcW w:w="1140" w:type="dxa"/>
            <w:vAlign w:val="bottom"/>
          </w:tcPr>
          <w:p>
            <w:pPr>
              <w:spacing w:after="0"/>
              <w:rPr>
                <w:sz w:val="21"/>
                <w:szCs w:val="21"/>
                <w:color w:val="auto"/>
              </w:rPr>
            </w:pPr>
          </w:p>
        </w:tc>
        <w:tc>
          <w:tcPr>
            <w:tcW w:w="480" w:type="dxa"/>
            <w:vAlign w:val="bottom"/>
          </w:tcPr>
          <w:p>
            <w:pPr>
              <w:jc w:val="right"/>
              <w:ind w:right="30"/>
              <w:spacing w:after="0"/>
              <w:rPr>
                <w:sz w:val="20"/>
                <w:szCs w:val="20"/>
                <w:color w:val="auto"/>
              </w:rPr>
            </w:pPr>
            <w:r>
              <w:rPr>
                <w:rFonts w:ascii="Arial" w:cs="Arial" w:eastAsia="Arial" w:hAnsi="Arial"/>
                <w:sz w:val="18"/>
                <w:szCs w:val="18"/>
                <w:color w:val="auto"/>
              </w:rPr>
              <w:t>64</w:t>
            </w:r>
          </w:p>
        </w:tc>
        <w:tc>
          <w:tcPr>
            <w:tcW w:w="10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360" w:type="dxa"/>
            <w:vAlign w:val="bottom"/>
          </w:tcPr>
          <w:p>
            <w:pPr>
              <w:jc w:val="right"/>
              <w:ind w:right="30"/>
              <w:spacing w:after="0"/>
              <w:rPr>
                <w:sz w:val="20"/>
                <w:szCs w:val="20"/>
                <w:color w:val="auto"/>
              </w:rPr>
            </w:pPr>
            <w:r>
              <w:rPr>
                <w:rFonts w:ascii="Arial" w:cs="Arial" w:eastAsia="Arial" w:hAnsi="Arial"/>
                <w:sz w:val="18"/>
                <w:szCs w:val="18"/>
                <w:color w:val="auto"/>
              </w:rPr>
              <w:t>42</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300" w:type="dxa"/>
            <w:vAlign w:val="bottom"/>
          </w:tcPr>
          <w:p>
            <w:pPr>
              <w:jc w:val="right"/>
              <w:ind w:right="13"/>
              <w:spacing w:after="0"/>
              <w:rPr>
                <w:sz w:val="20"/>
                <w:szCs w:val="20"/>
                <w:color w:val="auto"/>
              </w:rPr>
            </w:pPr>
            <w:r>
              <w:rPr>
                <w:rFonts w:ascii="Arial" w:cs="Arial" w:eastAsia="Arial" w:hAnsi="Arial"/>
                <w:sz w:val="18"/>
                <w:szCs w:val="18"/>
                <w:color w:val="auto"/>
              </w:rPr>
              <w:t>167</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106</w:t>
            </w:r>
          </w:p>
        </w:tc>
      </w:tr>
      <w:tr>
        <w:trPr>
          <w:trHeight w:val="27"/>
        </w:trPr>
        <w:tc>
          <w:tcPr>
            <w:tcW w:w="4700" w:type="dxa"/>
            <w:vAlign w:val="bottom"/>
            <w:tcBorders>
              <w:bottom w:val="single" w:sz="8" w:color="CCEEFF"/>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69"/>
        </w:trPr>
        <w:tc>
          <w:tcPr>
            <w:tcW w:w="470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ind w:right="934"/>
              <w:spacing w:after="0"/>
              <w:rPr>
                <w:sz w:val="20"/>
                <w:szCs w:val="20"/>
                <w:color w:val="auto"/>
              </w:rPr>
            </w:pPr>
            <w:r>
              <w:rPr>
                <w:rFonts w:ascii="Arial" w:cs="Arial" w:eastAsia="Arial" w:hAnsi="Arial"/>
                <w:sz w:val="18"/>
                <w:szCs w:val="18"/>
                <w:color w:val="auto"/>
                <w:w w:val="99"/>
              </w:rPr>
              <w:t>$</w:t>
            </w:r>
          </w:p>
        </w:tc>
        <w:tc>
          <w:tcPr>
            <w:tcW w:w="4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98</w:t>
            </w:r>
          </w:p>
        </w:tc>
        <w:tc>
          <w:tcPr>
            <w:tcW w:w="10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jc w:val="right"/>
              <w:ind w:right="1033"/>
              <w:spacing w:after="0"/>
              <w:rPr>
                <w:sz w:val="20"/>
                <w:szCs w:val="20"/>
                <w:color w:val="auto"/>
              </w:rPr>
            </w:pPr>
            <w:r>
              <w:rPr>
                <w:rFonts w:ascii="Arial" w:cs="Arial" w:eastAsia="Arial" w:hAnsi="Arial"/>
                <w:sz w:val="18"/>
                <w:szCs w:val="18"/>
                <w:color w:val="auto"/>
                <w:w w:val="99"/>
              </w:rPr>
              <w:t>$</w:t>
            </w:r>
          </w:p>
        </w:tc>
        <w:tc>
          <w:tcPr>
            <w:tcW w:w="3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79</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266</w:t>
            </w: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205</w:t>
            </w:r>
          </w:p>
        </w:tc>
      </w:tr>
      <w:tr>
        <w:trPr>
          <w:trHeight w:val="20"/>
        </w:trPr>
        <w:tc>
          <w:tcPr>
            <w:tcW w:w="470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color w:val="auto"/>
        </w:rPr>
        <w:t>As of September 30, 2014, the total remaining unrecognized compensation cost related to non-vested stock options, net of forfeitures, was approximately $1,169, which will be recognized over a weighted average period of 2.76 years.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Shareholders’ Equity</w:t>
      </w:r>
    </w:p>
    <w:p>
      <w:pPr>
        <w:spacing w:after="0" w:line="229"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summarizes the change in shareholders’ equity during the three and nine months ended September 30, 2014 and 2013, respectively:</w:t>
      </w:r>
    </w:p>
    <w:p>
      <w:pPr>
        <w:spacing w:after="0" w:line="200" w:lineRule="exact"/>
        <w:rPr>
          <w:sz w:val="20"/>
          <w:szCs w:val="20"/>
          <w:color w:val="auto"/>
        </w:rPr>
      </w:pP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7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140" w:type="dxa"/>
            <w:vAlign w:val="bottom"/>
            <w:gridSpan w:val="5"/>
          </w:tcPr>
          <w:p>
            <w:pPr>
              <w:ind w:left="160"/>
              <w:spacing w:after="0"/>
              <w:rPr>
                <w:sz w:val="20"/>
                <w:szCs w:val="20"/>
                <w:color w:val="auto"/>
              </w:rPr>
            </w:pPr>
            <w:r>
              <w:rPr>
                <w:rFonts w:ascii="Arial" w:cs="Arial" w:eastAsia="Arial" w:hAnsi="Arial"/>
                <w:sz w:val="16"/>
                <w:szCs w:val="16"/>
                <w:b w:val="1"/>
                <w:bCs w:val="1"/>
                <w:color w:val="auto"/>
              </w:rPr>
              <w:t>Three months ended September 30,</w:t>
            </w:r>
          </w:p>
        </w:tc>
        <w:tc>
          <w:tcPr>
            <w:tcW w:w="300" w:type="dxa"/>
            <w:vAlign w:val="bottom"/>
          </w:tcPr>
          <w:p>
            <w:pPr>
              <w:spacing w:after="0"/>
              <w:rPr>
                <w:sz w:val="18"/>
                <w:szCs w:val="18"/>
                <w:color w:val="auto"/>
              </w:rPr>
            </w:pPr>
          </w:p>
        </w:tc>
        <w:tc>
          <w:tcPr>
            <w:tcW w:w="3000" w:type="dxa"/>
            <w:vAlign w:val="bottom"/>
            <w:gridSpan w:val="4"/>
          </w:tcPr>
          <w:p>
            <w:pPr>
              <w:jc w:val="right"/>
              <w:ind w:right="371"/>
              <w:spacing w:after="0"/>
              <w:rPr>
                <w:sz w:val="20"/>
                <w:szCs w:val="20"/>
                <w:color w:val="auto"/>
              </w:rPr>
            </w:pPr>
            <w:r>
              <w:rPr>
                <w:rFonts w:ascii="Arial" w:cs="Arial" w:eastAsia="Arial" w:hAnsi="Arial"/>
                <w:sz w:val="16"/>
                <w:szCs w:val="16"/>
                <w:b w:val="1"/>
                <w:bCs w:val="1"/>
                <w:color w:val="auto"/>
                <w:w w:val="96"/>
              </w:rPr>
              <w:t>Nine months ended September 30,</w:t>
            </w:r>
          </w:p>
        </w:tc>
        <w:tc>
          <w:tcPr>
            <w:tcW w:w="0" w:type="dxa"/>
            <w:vAlign w:val="bottom"/>
          </w:tcPr>
          <w:p>
            <w:pPr>
              <w:spacing w:after="0"/>
              <w:rPr>
                <w:sz w:val="1"/>
                <w:szCs w:val="1"/>
                <w:color w:val="auto"/>
              </w:rPr>
            </w:pPr>
          </w:p>
        </w:tc>
      </w:tr>
      <w:tr>
        <w:trPr>
          <w:trHeight w:val="33"/>
        </w:trPr>
        <w:tc>
          <w:tcPr>
            <w:tcW w:w="47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1"/>
        </w:trPr>
        <w:tc>
          <w:tcPr>
            <w:tcW w:w="47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340" w:type="dxa"/>
            <w:vAlign w:val="bottom"/>
          </w:tcPr>
          <w:p>
            <w:pPr>
              <w:jc w:val="right"/>
              <w:ind w:right="572"/>
              <w:spacing w:after="0"/>
              <w:rPr>
                <w:sz w:val="20"/>
                <w:szCs w:val="20"/>
                <w:color w:val="auto"/>
              </w:rPr>
            </w:pPr>
            <w:r>
              <w:rPr>
                <w:rFonts w:ascii="Arial" w:cs="Arial" w:eastAsia="Arial" w:hAnsi="Arial"/>
                <w:sz w:val="16"/>
                <w:szCs w:val="16"/>
                <w:b w:val="1"/>
                <w:bCs w:val="1"/>
                <w:color w:val="auto"/>
              </w:rPr>
              <w:t>2014</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20" w:type="dxa"/>
            <w:vAlign w:val="bottom"/>
          </w:tcPr>
          <w:p>
            <w:pPr>
              <w:jc w:val="right"/>
              <w:ind w:right="551"/>
              <w:spacing w:after="0"/>
              <w:rPr>
                <w:sz w:val="20"/>
                <w:szCs w:val="20"/>
                <w:color w:val="auto"/>
              </w:rPr>
            </w:pPr>
            <w:r>
              <w:rPr>
                <w:rFonts w:ascii="Arial" w:cs="Arial" w:eastAsia="Arial" w:hAnsi="Arial"/>
                <w:sz w:val="16"/>
                <w:szCs w:val="16"/>
                <w:b w:val="1"/>
                <w:bCs w:val="1"/>
                <w:color w:val="auto"/>
              </w:rPr>
              <w:t>2013</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300" w:type="dxa"/>
            <w:vAlign w:val="bottom"/>
          </w:tcPr>
          <w:p>
            <w:pPr>
              <w:jc w:val="right"/>
              <w:ind w:right="552"/>
              <w:spacing w:after="0"/>
              <w:rPr>
                <w:sz w:val="20"/>
                <w:szCs w:val="20"/>
                <w:color w:val="auto"/>
              </w:rPr>
            </w:pPr>
            <w:r>
              <w:rPr>
                <w:rFonts w:ascii="Arial" w:cs="Arial" w:eastAsia="Arial" w:hAnsi="Arial"/>
                <w:sz w:val="16"/>
                <w:szCs w:val="16"/>
                <w:b w:val="1"/>
                <w:bCs w:val="1"/>
                <w:color w:val="auto"/>
              </w:rPr>
              <w:t>2014</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20" w:type="dxa"/>
            <w:vAlign w:val="bottom"/>
          </w:tcPr>
          <w:p>
            <w:pPr>
              <w:jc w:val="right"/>
              <w:ind w:right="551"/>
              <w:spacing w:after="0"/>
              <w:rPr>
                <w:sz w:val="20"/>
                <w:szCs w:val="20"/>
                <w:color w:val="auto"/>
              </w:rPr>
            </w:pPr>
            <w:r>
              <w:rPr>
                <w:rFonts w:ascii="Arial" w:cs="Arial" w:eastAsia="Arial" w:hAnsi="Arial"/>
                <w:sz w:val="16"/>
                <w:szCs w:val="16"/>
                <w:b w:val="1"/>
                <w:bCs w:val="1"/>
                <w:color w:val="auto"/>
              </w:rPr>
              <w:t>2013</w:t>
            </w:r>
          </w:p>
        </w:tc>
        <w:tc>
          <w:tcPr>
            <w:tcW w:w="0" w:type="dxa"/>
            <w:vAlign w:val="bottom"/>
          </w:tcPr>
          <w:p>
            <w:pPr>
              <w:spacing w:after="0"/>
              <w:rPr>
                <w:sz w:val="1"/>
                <w:szCs w:val="1"/>
                <w:color w:val="auto"/>
              </w:rPr>
            </w:pPr>
          </w:p>
        </w:tc>
      </w:tr>
      <w:tr>
        <w:trPr>
          <w:trHeight w:val="33"/>
        </w:trPr>
        <w:tc>
          <w:tcPr>
            <w:tcW w:w="47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at the beginning of the period</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73,930</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67,655</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70,335</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66,668</w:t>
            </w:r>
          </w:p>
        </w:tc>
        <w:tc>
          <w:tcPr>
            <w:tcW w:w="0" w:type="dxa"/>
            <w:vAlign w:val="bottom"/>
          </w:tcPr>
          <w:p>
            <w:pPr>
              <w:spacing w:after="0"/>
              <w:rPr>
                <w:sz w:val="1"/>
                <w:szCs w:val="1"/>
                <w:color w:val="auto"/>
              </w:rPr>
            </w:pP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Net income during the period</w:t>
            </w:r>
          </w:p>
        </w:tc>
        <w:tc>
          <w:tcPr>
            <w:tcW w:w="280" w:type="dxa"/>
            <w:vAlign w:val="bottom"/>
          </w:tcPr>
          <w:p>
            <w:pPr>
              <w:spacing w:after="0"/>
              <w:rPr>
                <w:sz w:val="21"/>
                <w:szCs w:val="21"/>
                <w:color w:val="auto"/>
              </w:rPr>
            </w:pPr>
          </w:p>
        </w:tc>
        <w:tc>
          <w:tcPr>
            <w:tcW w:w="1340" w:type="dxa"/>
            <w:vAlign w:val="bottom"/>
          </w:tcPr>
          <w:p>
            <w:pPr>
              <w:jc w:val="right"/>
              <w:ind w:right="32"/>
              <w:spacing w:after="0"/>
              <w:rPr>
                <w:sz w:val="20"/>
                <w:szCs w:val="20"/>
                <w:color w:val="auto"/>
              </w:rPr>
            </w:pPr>
            <w:r>
              <w:rPr>
                <w:rFonts w:ascii="Arial" w:cs="Arial" w:eastAsia="Arial" w:hAnsi="Arial"/>
                <w:sz w:val="18"/>
                <w:szCs w:val="18"/>
                <w:color w:val="auto"/>
              </w:rPr>
              <w:t>1,646</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ind w:right="31"/>
              <w:spacing w:after="0"/>
              <w:rPr>
                <w:sz w:val="20"/>
                <w:szCs w:val="20"/>
                <w:color w:val="auto"/>
              </w:rPr>
            </w:pPr>
            <w:r>
              <w:rPr>
                <w:rFonts w:ascii="Arial" w:cs="Arial" w:eastAsia="Arial" w:hAnsi="Arial"/>
                <w:sz w:val="18"/>
                <w:szCs w:val="18"/>
                <w:color w:val="auto"/>
              </w:rPr>
              <w:t>1,663</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300" w:type="dxa"/>
            <w:vAlign w:val="bottom"/>
          </w:tcPr>
          <w:p>
            <w:pPr>
              <w:jc w:val="right"/>
              <w:ind w:right="12"/>
              <w:spacing w:after="0"/>
              <w:rPr>
                <w:sz w:val="20"/>
                <w:szCs w:val="20"/>
                <w:color w:val="auto"/>
              </w:rPr>
            </w:pPr>
            <w:r>
              <w:rPr>
                <w:rFonts w:ascii="Arial" w:cs="Arial" w:eastAsia="Arial" w:hAnsi="Arial"/>
                <w:sz w:val="18"/>
                <w:szCs w:val="18"/>
                <w:color w:val="auto"/>
              </w:rPr>
              <w:t>3,070</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3,438</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Treasury stock purchased</w:t>
            </w:r>
          </w:p>
        </w:tc>
        <w:tc>
          <w:tcPr>
            <w:tcW w:w="28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(758)</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(1,200)</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(1,927)</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(2,191)</w:t>
            </w:r>
          </w:p>
        </w:tc>
        <w:tc>
          <w:tcPr>
            <w:tcW w:w="0" w:type="dxa"/>
            <w:vAlign w:val="bottom"/>
          </w:tcPr>
          <w:p>
            <w:pPr>
              <w:spacing w:after="0"/>
              <w:rPr>
                <w:sz w:val="1"/>
                <w:szCs w:val="1"/>
                <w:color w:val="auto"/>
              </w:rPr>
            </w:pP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Share-based compensation</w:t>
            </w:r>
          </w:p>
        </w:tc>
        <w:tc>
          <w:tcPr>
            <w:tcW w:w="280" w:type="dxa"/>
            <w:vAlign w:val="bottom"/>
          </w:tcPr>
          <w:p>
            <w:pPr>
              <w:spacing w:after="0"/>
              <w:rPr>
                <w:sz w:val="21"/>
                <w:szCs w:val="21"/>
                <w:color w:val="auto"/>
              </w:rPr>
            </w:pPr>
          </w:p>
        </w:tc>
        <w:tc>
          <w:tcPr>
            <w:tcW w:w="1340" w:type="dxa"/>
            <w:vAlign w:val="bottom"/>
          </w:tcPr>
          <w:p>
            <w:pPr>
              <w:jc w:val="right"/>
              <w:ind w:right="32"/>
              <w:spacing w:after="0"/>
              <w:rPr>
                <w:sz w:val="20"/>
                <w:szCs w:val="20"/>
                <w:color w:val="auto"/>
              </w:rPr>
            </w:pPr>
            <w:r>
              <w:rPr>
                <w:rFonts w:ascii="Arial" w:cs="Arial" w:eastAsia="Arial" w:hAnsi="Arial"/>
                <w:sz w:val="18"/>
                <w:szCs w:val="18"/>
                <w:color w:val="auto"/>
              </w:rPr>
              <w:t>98</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ind w:right="31"/>
              <w:spacing w:after="0"/>
              <w:rPr>
                <w:sz w:val="20"/>
                <w:szCs w:val="20"/>
                <w:color w:val="auto"/>
              </w:rPr>
            </w:pPr>
            <w:r>
              <w:rPr>
                <w:rFonts w:ascii="Arial" w:cs="Arial" w:eastAsia="Arial" w:hAnsi="Arial"/>
                <w:sz w:val="18"/>
                <w:szCs w:val="18"/>
                <w:color w:val="auto"/>
              </w:rPr>
              <w:t>79</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300" w:type="dxa"/>
            <w:vAlign w:val="bottom"/>
          </w:tcPr>
          <w:p>
            <w:pPr>
              <w:jc w:val="right"/>
              <w:ind w:right="12"/>
              <w:spacing w:after="0"/>
              <w:rPr>
                <w:sz w:val="20"/>
                <w:szCs w:val="20"/>
                <w:color w:val="auto"/>
              </w:rPr>
            </w:pPr>
            <w:r>
              <w:rPr>
                <w:rFonts w:ascii="Arial" w:cs="Arial" w:eastAsia="Arial" w:hAnsi="Arial"/>
                <w:sz w:val="18"/>
                <w:szCs w:val="18"/>
                <w:color w:val="auto"/>
              </w:rPr>
              <w:t>266</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205</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Tax benefit - stock option exercises</w:t>
            </w:r>
          </w:p>
        </w:tc>
        <w:tc>
          <w:tcPr>
            <w:tcW w:w="28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55</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92</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55</w:t>
            </w:r>
          </w:p>
        </w:tc>
        <w:tc>
          <w:tcPr>
            <w:tcW w:w="0" w:type="dxa"/>
            <w:vAlign w:val="bottom"/>
          </w:tcPr>
          <w:p>
            <w:pPr>
              <w:spacing w:after="0"/>
              <w:rPr>
                <w:sz w:val="1"/>
                <w:szCs w:val="1"/>
                <w:color w:val="auto"/>
              </w:rPr>
            </w:pP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Exercise of stock options</w:t>
            </w:r>
          </w:p>
        </w:tc>
        <w:tc>
          <w:tcPr>
            <w:tcW w:w="280" w:type="dxa"/>
            <w:vAlign w:val="bottom"/>
          </w:tcPr>
          <w:p>
            <w:pPr>
              <w:spacing w:after="0"/>
              <w:rPr>
                <w:sz w:val="21"/>
                <w:szCs w:val="21"/>
                <w:color w:val="auto"/>
              </w:rPr>
            </w:pPr>
          </w:p>
        </w:tc>
        <w:tc>
          <w:tcPr>
            <w:tcW w:w="1340" w:type="dxa"/>
            <w:vAlign w:val="bottom"/>
          </w:tcPr>
          <w:p>
            <w:pPr>
              <w:jc w:val="right"/>
              <w:ind w:right="32"/>
              <w:spacing w:after="0"/>
              <w:rPr>
                <w:sz w:val="20"/>
                <w:szCs w:val="20"/>
                <w:color w:val="auto"/>
              </w:rPr>
            </w:pPr>
            <w:r>
              <w:rPr>
                <w:rFonts w:ascii="Arial" w:cs="Arial" w:eastAsia="Arial" w:hAnsi="Arial"/>
                <w:sz w:val="18"/>
                <w:szCs w:val="18"/>
                <w:color w:val="auto"/>
              </w:rPr>
              <w:t>32</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ind w:right="31"/>
              <w:spacing w:after="0"/>
              <w:rPr>
                <w:sz w:val="20"/>
                <w:szCs w:val="20"/>
                <w:color w:val="auto"/>
              </w:rPr>
            </w:pPr>
            <w:r>
              <w:rPr>
                <w:rFonts w:ascii="Arial" w:cs="Arial" w:eastAsia="Arial" w:hAnsi="Arial"/>
                <w:sz w:val="18"/>
                <w:szCs w:val="18"/>
                <w:color w:val="auto"/>
              </w:rPr>
              <w:t>292</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300" w:type="dxa"/>
            <w:vAlign w:val="bottom"/>
          </w:tcPr>
          <w:p>
            <w:pPr>
              <w:jc w:val="right"/>
              <w:ind w:right="12"/>
              <w:spacing w:after="0"/>
              <w:rPr>
                <w:sz w:val="20"/>
                <w:szCs w:val="20"/>
                <w:color w:val="auto"/>
              </w:rPr>
            </w:pPr>
            <w:r>
              <w:rPr>
                <w:rFonts w:ascii="Arial" w:cs="Arial" w:eastAsia="Arial" w:hAnsi="Arial"/>
                <w:sz w:val="18"/>
                <w:szCs w:val="18"/>
                <w:color w:val="auto"/>
              </w:rPr>
              <w:t>1,297</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456</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Stock issued for acquisition</w:t>
            </w:r>
          </w:p>
        </w:tc>
        <w:tc>
          <w:tcPr>
            <w:tcW w:w="28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1,679</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w w:val="91"/>
              </w:rPr>
              <w:t>Unrealized gain (loss) on available-for-sale securities, net of tax</w:t>
            </w:r>
          </w:p>
        </w:tc>
        <w:tc>
          <w:tcPr>
            <w:tcW w:w="280" w:type="dxa"/>
            <w:vAlign w:val="bottom"/>
          </w:tcPr>
          <w:p>
            <w:pPr>
              <w:spacing w:after="0"/>
              <w:rPr>
                <w:sz w:val="21"/>
                <w:szCs w:val="21"/>
                <w:color w:val="auto"/>
              </w:rPr>
            </w:pPr>
          </w:p>
        </w:tc>
        <w:tc>
          <w:tcPr>
            <w:tcW w:w="1340" w:type="dxa"/>
            <w:vAlign w:val="bottom"/>
            <w:vMerge w:val="restart"/>
          </w:tcPr>
          <w:p>
            <w:pPr>
              <w:jc w:val="right"/>
              <w:spacing w:after="0"/>
              <w:rPr>
                <w:sz w:val="20"/>
                <w:szCs w:val="20"/>
                <w:color w:val="auto"/>
              </w:rPr>
            </w:pPr>
            <w:r>
              <w:rPr>
                <w:rFonts w:ascii="Arial" w:cs="Arial" w:eastAsia="Arial" w:hAnsi="Arial"/>
                <w:sz w:val="18"/>
                <w:szCs w:val="18"/>
                <w:color w:val="auto"/>
              </w:rPr>
              <w:t>(78)</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vMerge w:val="restart"/>
          </w:tcPr>
          <w:p>
            <w:pPr>
              <w:jc w:val="right"/>
              <w:ind w:right="31"/>
              <w:spacing w:after="0"/>
              <w:rPr>
                <w:sz w:val="20"/>
                <w:szCs w:val="20"/>
                <w:color w:val="auto"/>
              </w:rPr>
            </w:pPr>
            <w:r>
              <w:rPr>
                <w:rFonts w:ascii="Arial" w:cs="Arial" w:eastAsia="Arial" w:hAnsi="Arial"/>
                <w:sz w:val="18"/>
                <w:szCs w:val="18"/>
                <w:color w:val="auto"/>
              </w:rPr>
              <w:t>54</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300" w:type="dxa"/>
            <w:vAlign w:val="bottom"/>
            <w:vMerge w:val="restart"/>
          </w:tcPr>
          <w:p>
            <w:pPr>
              <w:jc w:val="right"/>
              <w:ind w:right="12"/>
              <w:spacing w:after="0"/>
              <w:rPr>
                <w:sz w:val="20"/>
                <w:szCs w:val="20"/>
                <w:color w:val="auto"/>
              </w:rPr>
            </w:pPr>
            <w:r>
              <w:rPr>
                <w:rFonts w:ascii="Arial" w:cs="Arial" w:eastAsia="Arial" w:hAnsi="Arial"/>
                <w:sz w:val="18"/>
                <w:szCs w:val="18"/>
                <w:color w:val="auto"/>
              </w:rPr>
              <w:t>60</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vMerge w:val="restart"/>
          </w:tcPr>
          <w:p>
            <w:pPr>
              <w:jc w:val="right"/>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216"/>
        </w:trPr>
        <w:tc>
          <w:tcPr>
            <w:tcW w:w="47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4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2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0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47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at end of the period</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74,872</w:t>
            </w: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68,598</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74,872</w:t>
            </w: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68,598</w:t>
            </w:r>
          </w:p>
        </w:tc>
        <w:tc>
          <w:tcPr>
            <w:tcW w:w="0" w:type="dxa"/>
            <w:vAlign w:val="bottom"/>
          </w:tcPr>
          <w:p>
            <w:pPr>
              <w:spacing w:after="0"/>
              <w:rPr>
                <w:sz w:val="1"/>
                <w:szCs w:val="1"/>
                <w:color w:val="auto"/>
              </w:rPr>
            </w:pPr>
          </w:p>
        </w:tc>
      </w:tr>
      <w:tr>
        <w:trPr>
          <w:trHeight w:val="20"/>
        </w:trPr>
        <w:tc>
          <w:tcPr>
            <w:tcW w:w="47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Fair Value Measurements</w:t>
      </w:r>
    </w:p>
    <w:p>
      <w:pPr>
        <w:spacing w:after="0" w:line="391" w:lineRule="exact"/>
        <w:rPr>
          <w:sz w:val="20"/>
          <w:szCs w:val="20"/>
          <w:color w:val="auto"/>
        </w:rPr>
      </w:pPr>
    </w:p>
    <w:p>
      <w:pPr>
        <w:jc w:val="both"/>
        <w:ind w:right="180"/>
        <w:spacing w:after="0" w:line="264" w:lineRule="auto"/>
        <w:rPr>
          <w:sz w:val="20"/>
          <w:szCs w:val="20"/>
          <w:color w:val="auto"/>
        </w:rPr>
      </w:pPr>
      <w:r>
        <w:rPr>
          <w:rFonts w:ascii="Arial" w:cs="Arial" w:eastAsia="Arial" w:hAnsi="Arial"/>
          <w:sz w:val="18"/>
          <w:szCs w:val="18"/>
          <w:color w:val="auto"/>
        </w:rPr>
        <w:t>The fair value of the Company's financial instruments reflects the amounts that the Company estimates it will receive in connection with the sale of an asset or pay in connection with the transfer of a liability in an orderly transaction between market participants at the measurement date (exit price). The fair value hierarchy prioritizes the use of inputs used in valuation techniques into the following three levels:</w:t>
      </w:r>
    </w:p>
    <w:p>
      <w:pPr>
        <w:spacing w:after="0" w:line="46" w:lineRule="exact"/>
        <w:rPr>
          <w:sz w:val="20"/>
          <w:szCs w:val="20"/>
          <w:color w:val="auto"/>
        </w:rPr>
      </w:pPr>
    </w:p>
    <w:p>
      <w:pPr>
        <w:ind w:left="660"/>
        <w:spacing w:after="0"/>
        <w:rPr>
          <w:sz w:val="20"/>
          <w:szCs w:val="20"/>
          <w:color w:val="auto"/>
        </w:rPr>
      </w:pPr>
      <w:r>
        <w:rPr>
          <w:rFonts w:ascii="Arial" w:cs="Arial" w:eastAsia="Arial" w:hAnsi="Arial"/>
          <w:sz w:val="18"/>
          <w:szCs w:val="18"/>
          <w:u w:val="single" w:color="auto"/>
          <w:color w:val="auto"/>
        </w:rPr>
        <w:t>Level 1</w:t>
      </w:r>
      <w:r>
        <w:rPr>
          <w:rFonts w:ascii="Arial" w:cs="Arial" w:eastAsia="Arial" w:hAnsi="Arial"/>
          <w:sz w:val="18"/>
          <w:szCs w:val="18"/>
          <w:color w:val="auto"/>
        </w:rPr>
        <w:t xml:space="preserve"> - Quoted prices in active markets for identical assets and liabilities.</w:t>
      </w:r>
    </w:p>
    <w:p>
      <w:pPr>
        <w:spacing w:after="0" w:line="198" w:lineRule="exact"/>
        <w:rPr>
          <w:sz w:val="20"/>
          <w:szCs w:val="20"/>
          <w:color w:val="auto"/>
        </w:rPr>
      </w:pPr>
    </w:p>
    <w:p>
      <w:pPr>
        <w:ind w:left="660" w:right="60"/>
        <w:spacing w:after="0" w:line="312" w:lineRule="auto"/>
        <w:rPr>
          <w:sz w:val="20"/>
          <w:szCs w:val="20"/>
          <w:color w:val="auto"/>
        </w:rPr>
      </w:pPr>
      <w:r>
        <w:rPr>
          <w:rFonts w:ascii="Arial" w:cs="Arial" w:eastAsia="Arial" w:hAnsi="Arial"/>
          <w:sz w:val="16"/>
          <w:szCs w:val="16"/>
          <w:u w:val="single" w:color="auto"/>
          <w:color w:val="auto"/>
        </w:rPr>
        <w:t>Level 2</w:t>
      </w:r>
      <w:r>
        <w:rPr>
          <w:rFonts w:ascii="Arial" w:cs="Arial" w:eastAsia="Arial" w:hAnsi="Arial"/>
          <w:sz w:val="16"/>
          <w:szCs w:val="16"/>
          <w:color w:val="auto"/>
        </w:rPr>
        <w:t xml:space="preserve"> - Observable inputs other than quoted prices in active markets for identical assets and liabilities; quoted prices in markets that are not active; or other inputs that are observable or can be corroborated by observable market data for substantially the full term of the assets or liabilities. This category generally includes U.S. Government and agency securities; municipal securities; mutual funds and securities sold and not yet settled.</w:t>
      </w:r>
    </w:p>
    <w:p>
      <w:pPr>
        <w:spacing w:after="0" w:line="120" w:lineRule="exact"/>
        <w:rPr>
          <w:sz w:val="20"/>
          <w:szCs w:val="20"/>
          <w:color w:val="auto"/>
        </w:rPr>
      </w:pPr>
    </w:p>
    <w:p>
      <w:pPr>
        <w:ind w:left="660"/>
        <w:spacing w:after="0"/>
        <w:rPr>
          <w:sz w:val="20"/>
          <w:szCs w:val="20"/>
          <w:color w:val="auto"/>
        </w:rPr>
      </w:pPr>
      <w:r>
        <w:rPr>
          <w:rFonts w:ascii="Arial" w:cs="Arial" w:eastAsia="Arial" w:hAnsi="Arial"/>
          <w:sz w:val="18"/>
          <w:szCs w:val="18"/>
          <w:u w:val="single" w:color="auto"/>
          <w:color w:val="auto"/>
        </w:rPr>
        <w:t>Level 3</w:t>
      </w:r>
      <w:r>
        <w:rPr>
          <w:rFonts w:ascii="Arial" w:cs="Arial" w:eastAsia="Arial" w:hAnsi="Arial"/>
          <w:sz w:val="18"/>
          <w:szCs w:val="18"/>
          <w:color w:val="auto"/>
        </w:rPr>
        <w:t xml:space="preserve"> - Unobservable inputs.</w:t>
      </w:r>
    </w:p>
    <w:p>
      <w:pPr>
        <w:spacing w:after="0" w:line="225" w:lineRule="exact"/>
        <w:rPr>
          <w:sz w:val="20"/>
          <w:szCs w:val="20"/>
          <w:color w:val="auto"/>
        </w:rPr>
      </w:pPr>
    </w:p>
    <w:p>
      <w:pPr>
        <w:ind w:right="320"/>
        <w:spacing w:after="0" w:line="342" w:lineRule="auto"/>
        <w:rPr>
          <w:sz w:val="20"/>
          <w:szCs w:val="20"/>
          <w:color w:val="auto"/>
        </w:rPr>
      </w:pPr>
      <w:r>
        <w:rPr>
          <w:rFonts w:ascii="Arial" w:cs="Arial" w:eastAsia="Arial" w:hAnsi="Arial"/>
          <w:sz w:val="16"/>
          <w:szCs w:val="16"/>
          <w:color w:val="auto"/>
        </w:rPr>
        <w:t>The substantial majority of the Company's financial instruments are valued using quoted prices in active markets or based on other observable inputs. The following table sets forth the fair value of the financial instruments re-measured by the Company as of September 30, 2014 and December 31, 2013:</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121" w:right="239" w:bottom="1440" w:gutter="0" w:footer="0" w:header="0"/>
        </w:sectPr>
      </w:pPr>
    </w:p>
    <w:bookmarkStart w:id="13" w:name="page14"/>
    <w:bookmarkEnd w:id="13"/>
    <w:p>
      <w:pPr>
        <w:jc w:val="center"/>
        <w:spacing w:after="0"/>
        <w:rPr>
          <w:sz w:val="20"/>
          <w:szCs w:val="20"/>
          <w:color w:val="auto"/>
        </w:rPr>
      </w:pPr>
      <w:r>
        <w:rPr>
          <w:rFonts w:ascii="Arial" w:cs="Arial" w:eastAsia="Arial" w:hAnsi="Arial"/>
          <w:sz w:val="18"/>
          <w:szCs w:val="18"/>
          <w:b w:val="1"/>
          <w:bCs w:val="1"/>
          <w:color w:val="auto"/>
        </w:rPr>
        <w:t>CLEARONE,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(Unaudited – Dollars in thousands)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640" w:type="dxa"/>
            <w:vAlign w:val="bottom"/>
          </w:tcPr>
          <w:p>
            <w:pPr>
              <w:spacing w:after="0"/>
              <w:rPr>
                <w:sz w:val="18"/>
                <w:szCs w:val="18"/>
                <w:color w:val="auto"/>
              </w:rPr>
            </w:pPr>
          </w:p>
        </w:tc>
        <w:tc>
          <w:tcPr>
            <w:tcW w:w="1180" w:type="dxa"/>
            <w:vAlign w:val="bottom"/>
          </w:tcPr>
          <w:p>
            <w:pPr>
              <w:jc w:val="right"/>
              <w:ind w:right="53"/>
              <w:spacing w:after="0"/>
              <w:rPr>
                <w:sz w:val="20"/>
                <w:szCs w:val="20"/>
                <w:color w:val="auto"/>
              </w:rPr>
            </w:pPr>
            <w:r>
              <w:rPr>
                <w:rFonts w:ascii="Arial" w:cs="Arial" w:eastAsia="Arial" w:hAnsi="Arial"/>
                <w:sz w:val="16"/>
                <w:szCs w:val="16"/>
                <w:b w:val="1"/>
                <w:bCs w:val="1"/>
                <w:color w:val="auto"/>
              </w:rPr>
              <w:t>Level 1</w:t>
            </w: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0" w:type="dxa"/>
            <w:vAlign w:val="bottom"/>
            <w:gridSpan w:val="2"/>
          </w:tcPr>
          <w:p>
            <w:pPr>
              <w:ind w:left="220"/>
              <w:spacing w:after="0"/>
              <w:rPr>
                <w:sz w:val="20"/>
                <w:szCs w:val="20"/>
                <w:color w:val="auto"/>
              </w:rPr>
            </w:pPr>
            <w:r>
              <w:rPr>
                <w:rFonts w:ascii="Arial" w:cs="Arial" w:eastAsia="Arial" w:hAnsi="Arial"/>
                <w:sz w:val="16"/>
                <w:szCs w:val="16"/>
                <w:b w:val="1"/>
                <w:bCs w:val="1"/>
                <w:color w:val="auto"/>
              </w:rPr>
              <w:t>Level 2</w:t>
            </w:r>
          </w:p>
        </w:tc>
        <w:tc>
          <w:tcPr>
            <w:tcW w:w="1180" w:type="dxa"/>
            <w:vAlign w:val="bottom"/>
          </w:tcPr>
          <w:p>
            <w:pPr>
              <w:jc w:val="right"/>
              <w:ind w:right="53"/>
              <w:spacing w:after="0"/>
              <w:rPr>
                <w:sz w:val="20"/>
                <w:szCs w:val="20"/>
                <w:color w:val="auto"/>
              </w:rPr>
            </w:pPr>
            <w:r>
              <w:rPr>
                <w:rFonts w:ascii="Arial" w:cs="Arial" w:eastAsia="Arial" w:hAnsi="Arial"/>
                <w:sz w:val="16"/>
                <w:szCs w:val="16"/>
                <w:b w:val="1"/>
                <w:bCs w:val="1"/>
                <w:color w:val="auto"/>
              </w:rPr>
              <w:t>Level 3</w:t>
            </w: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20" w:type="dxa"/>
            <w:vAlign w:val="bottom"/>
          </w:tcPr>
          <w:p>
            <w:pPr>
              <w:jc w:val="right"/>
              <w:ind w:right="532"/>
              <w:spacing w:after="0"/>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33"/>
        </w:trPr>
        <w:tc>
          <w:tcPr>
            <w:tcW w:w="4640" w:type="dxa"/>
            <w:vAlign w:val="bottom"/>
            <w:vMerge w:val="restart"/>
          </w:tcPr>
          <w:p>
            <w:pPr>
              <w:ind w:left="40"/>
              <w:spacing w:after="0"/>
              <w:rPr>
                <w:sz w:val="20"/>
                <w:szCs w:val="20"/>
                <w:color w:val="auto"/>
              </w:rPr>
            </w:pPr>
            <w:r>
              <w:rPr>
                <w:rFonts w:ascii="Arial" w:cs="Arial" w:eastAsia="Arial" w:hAnsi="Arial"/>
                <w:sz w:val="13"/>
                <w:szCs w:val="13"/>
                <w:i w:val="1"/>
                <w:iCs w:val="1"/>
                <w:color w:val="auto"/>
              </w:rPr>
              <w:t>(In thousands)</w:t>
            </w:r>
          </w:p>
        </w:tc>
        <w:tc>
          <w:tcPr>
            <w:tcW w:w="118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75"/>
        </w:trPr>
        <w:tc>
          <w:tcPr>
            <w:tcW w:w="4640" w:type="dxa"/>
            <w:vAlign w:val="bottom"/>
            <w:vMerge w:val="continue"/>
          </w:tcPr>
          <w:p>
            <w:pPr>
              <w:spacing w:after="0"/>
              <w:rPr>
                <w:sz w:val="15"/>
                <w:szCs w:val="15"/>
                <w:color w:val="auto"/>
              </w:rPr>
            </w:pPr>
          </w:p>
        </w:tc>
        <w:tc>
          <w:tcPr>
            <w:tcW w:w="11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8"/>
        </w:trPr>
        <w:tc>
          <w:tcPr>
            <w:tcW w:w="4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September 30, 2014</w:t>
            </w:r>
          </w:p>
        </w:tc>
        <w:tc>
          <w:tcPr>
            <w:tcW w:w="118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4640" w:type="dxa"/>
            <w:vAlign w:val="bottom"/>
          </w:tcPr>
          <w:p>
            <w:pPr>
              <w:ind w:left="40"/>
              <w:spacing w:after="0"/>
              <w:rPr>
                <w:sz w:val="20"/>
                <w:szCs w:val="20"/>
                <w:color w:val="auto"/>
              </w:rPr>
            </w:pPr>
            <w:r>
              <w:rPr>
                <w:rFonts w:ascii="Arial" w:cs="Arial" w:eastAsia="Arial" w:hAnsi="Arial"/>
                <w:sz w:val="18"/>
                <w:szCs w:val="18"/>
                <w:color w:val="auto"/>
              </w:rPr>
              <w:t>Corporate bonds and notes</w:t>
            </w:r>
          </w:p>
        </w:tc>
        <w:tc>
          <w:tcPr>
            <w:tcW w:w="1180" w:type="dxa"/>
            <w:vAlign w:val="bottom"/>
          </w:tcPr>
          <w:p>
            <w:pPr>
              <w:jc w:val="right"/>
              <w:ind w:right="973"/>
              <w:spacing w:after="0"/>
              <w:rPr>
                <w:sz w:val="20"/>
                <w:szCs w:val="20"/>
                <w:color w:val="auto"/>
              </w:rPr>
            </w:pPr>
            <w:r>
              <w:rPr>
                <w:rFonts w:ascii="Arial" w:cs="Arial" w:eastAsia="Arial" w:hAnsi="Arial"/>
                <w:sz w:val="18"/>
                <w:szCs w:val="18"/>
                <w:color w:val="auto"/>
                <w:w w:val="99"/>
              </w:rPr>
              <w:t>$</w:t>
            </w:r>
          </w:p>
        </w:tc>
        <w:tc>
          <w:tcPr>
            <w:tcW w:w="54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ind w:right="12"/>
              <w:spacing w:after="0"/>
              <w:rPr>
                <w:sz w:val="20"/>
                <w:szCs w:val="20"/>
                <w:color w:val="auto"/>
              </w:rPr>
            </w:pPr>
            <w:r>
              <w:rPr>
                <w:rFonts w:ascii="Arial" w:cs="Arial" w:eastAsia="Arial" w:hAnsi="Arial"/>
                <w:sz w:val="18"/>
                <w:szCs w:val="18"/>
                <w:color w:val="auto"/>
              </w:rPr>
              <w:t>19,329</w:t>
            </w:r>
          </w:p>
        </w:tc>
        <w:tc>
          <w:tcPr>
            <w:tcW w:w="140" w:type="dxa"/>
            <w:vAlign w:val="bottom"/>
          </w:tcPr>
          <w:p>
            <w:pPr>
              <w:spacing w:after="0"/>
              <w:rPr>
                <w:sz w:val="21"/>
                <w:szCs w:val="21"/>
                <w:color w:val="auto"/>
              </w:rPr>
            </w:pPr>
          </w:p>
        </w:tc>
        <w:tc>
          <w:tcPr>
            <w:tcW w:w="1180" w:type="dxa"/>
            <w:vAlign w:val="bottom"/>
          </w:tcPr>
          <w:p>
            <w:pPr>
              <w:jc w:val="right"/>
              <w:ind w:right="973"/>
              <w:spacing w:after="0"/>
              <w:rPr>
                <w:sz w:val="20"/>
                <w:szCs w:val="20"/>
                <w:color w:val="auto"/>
              </w:rPr>
            </w:pPr>
            <w:r>
              <w:rPr>
                <w:rFonts w:ascii="Arial" w:cs="Arial" w:eastAsia="Arial" w:hAnsi="Arial"/>
                <w:sz w:val="18"/>
                <w:szCs w:val="18"/>
                <w:color w:val="auto"/>
                <w:w w:val="99"/>
              </w:rPr>
              <w:t>$</w:t>
            </w:r>
          </w:p>
        </w:tc>
        <w:tc>
          <w:tcPr>
            <w:tcW w:w="54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12"/>
              <w:spacing w:after="0"/>
              <w:rPr>
                <w:sz w:val="20"/>
                <w:szCs w:val="20"/>
                <w:color w:val="auto"/>
              </w:rPr>
            </w:pPr>
            <w:r>
              <w:rPr>
                <w:rFonts w:ascii="Arial" w:cs="Arial" w:eastAsia="Arial" w:hAnsi="Arial"/>
                <w:sz w:val="18"/>
                <w:szCs w:val="18"/>
                <w:color w:val="auto"/>
              </w:rPr>
              <w:t>19,329</w:t>
            </w:r>
          </w:p>
        </w:tc>
        <w:tc>
          <w:tcPr>
            <w:tcW w:w="0" w:type="dxa"/>
            <w:vAlign w:val="bottom"/>
          </w:tcPr>
          <w:p>
            <w:pPr>
              <w:spacing w:after="0"/>
              <w:rPr>
                <w:sz w:val="1"/>
                <w:szCs w:val="1"/>
                <w:color w:val="auto"/>
              </w:rPr>
            </w:pPr>
          </w:p>
        </w:tc>
      </w:tr>
      <w:tr>
        <w:trPr>
          <w:trHeight w:val="27"/>
        </w:trPr>
        <w:tc>
          <w:tcPr>
            <w:tcW w:w="46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Municipal bonds</w:t>
            </w:r>
          </w:p>
        </w:tc>
        <w:tc>
          <w:tcPr>
            <w:tcW w:w="118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6,122</w:t>
            </w:r>
          </w:p>
        </w:tc>
        <w:tc>
          <w:tcPr>
            <w:tcW w:w="14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6,122</w:t>
            </w:r>
          </w:p>
        </w:tc>
        <w:tc>
          <w:tcPr>
            <w:tcW w:w="0" w:type="dxa"/>
            <w:vAlign w:val="bottom"/>
          </w:tcPr>
          <w:p>
            <w:pPr>
              <w:spacing w:after="0"/>
              <w:rPr>
                <w:sz w:val="1"/>
                <w:szCs w:val="1"/>
                <w:color w:val="auto"/>
              </w:rPr>
            </w:pPr>
          </w:p>
        </w:tc>
      </w:tr>
      <w:tr>
        <w:trPr>
          <w:trHeight w:val="270"/>
        </w:trPr>
        <w:tc>
          <w:tcPr>
            <w:tcW w:w="4640" w:type="dxa"/>
            <w:vAlign w:val="bottom"/>
            <w:tcBorders>
              <w:bottom w:val="single" w:sz="8" w:color="CCEEFF"/>
            </w:tcBorders>
          </w:tcPr>
          <w:p>
            <w:pPr>
              <w:spacing w:after="0"/>
              <w:rPr>
                <w:sz w:val="23"/>
                <w:szCs w:val="23"/>
                <w:color w:val="auto"/>
              </w:rPr>
            </w:pPr>
          </w:p>
        </w:tc>
        <w:tc>
          <w:tcPr>
            <w:tcW w:w="1180" w:type="dxa"/>
            <w:vAlign w:val="bottom"/>
            <w:tcBorders>
              <w:bottom w:val="single" w:sz="8" w:color="auto"/>
            </w:tcBorders>
          </w:tcPr>
          <w:p>
            <w:pPr>
              <w:spacing w:after="0"/>
              <w:rPr>
                <w:sz w:val="23"/>
                <w:szCs w:val="23"/>
                <w:color w:val="auto"/>
              </w:rPr>
            </w:pPr>
          </w:p>
        </w:tc>
        <w:tc>
          <w:tcPr>
            <w:tcW w:w="420" w:type="dxa"/>
            <w:vAlign w:val="bottom"/>
            <w:tcBorders>
              <w:bottom w:val="single" w:sz="8" w:color="auto"/>
            </w:tcBorders>
          </w:tcPr>
          <w:p>
            <w:pPr>
              <w:spacing w:after="0"/>
              <w:rPr>
                <w:sz w:val="23"/>
                <w:szCs w:val="23"/>
                <w:color w:val="auto"/>
              </w:rPr>
            </w:pPr>
          </w:p>
        </w:tc>
        <w:tc>
          <w:tcPr>
            <w:tcW w:w="120" w:type="dxa"/>
            <w:vAlign w:val="bottom"/>
            <w:tcBorders>
              <w:bottom w:val="single" w:sz="8" w:color="CCEEFF"/>
            </w:tcBorders>
          </w:tcPr>
          <w:p>
            <w:pPr>
              <w:spacing w:after="0"/>
              <w:rPr>
                <w:sz w:val="23"/>
                <w:szCs w:val="23"/>
                <w:color w:val="auto"/>
              </w:rPr>
            </w:pPr>
          </w:p>
        </w:tc>
        <w:tc>
          <w:tcPr>
            <w:tcW w:w="340" w:type="dxa"/>
            <w:vAlign w:val="bottom"/>
            <w:tcBorders>
              <w:bottom w:val="single" w:sz="8" w:color="auto"/>
            </w:tcBorders>
          </w:tcPr>
          <w:p>
            <w:pPr>
              <w:spacing w:after="0"/>
              <w:rPr>
                <w:sz w:val="23"/>
                <w:szCs w:val="23"/>
                <w:color w:val="auto"/>
              </w:rPr>
            </w:pPr>
          </w:p>
        </w:tc>
        <w:tc>
          <w:tcPr>
            <w:tcW w:w="1260" w:type="dxa"/>
            <w:vAlign w:val="bottom"/>
            <w:tcBorders>
              <w:bottom w:val="single" w:sz="8" w:color="auto"/>
            </w:tcBorders>
          </w:tcPr>
          <w:p>
            <w:pPr>
              <w:spacing w:after="0"/>
              <w:rPr>
                <w:sz w:val="23"/>
                <w:szCs w:val="23"/>
                <w:color w:val="auto"/>
              </w:rPr>
            </w:pPr>
          </w:p>
        </w:tc>
        <w:tc>
          <w:tcPr>
            <w:tcW w:w="140" w:type="dxa"/>
            <w:vAlign w:val="bottom"/>
            <w:tcBorders>
              <w:bottom w:val="single" w:sz="8" w:color="CCEEFF"/>
            </w:tcBorders>
          </w:tcPr>
          <w:p>
            <w:pPr>
              <w:spacing w:after="0"/>
              <w:rPr>
                <w:sz w:val="23"/>
                <w:szCs w:val="23"/>
                <w:color w:val="auto"/>
              </w:rPr>
            </w:pPr>
          </w:p>
        </w:tc>
        <w:tc>
          <w:tcPr>
            <w:tcW w:w="1180" w:type="dxa"/>
            <w:vAlign w:val="bottom"/>
            <w:tcBorders>
              <w:bottom w:val="single" w:sz="8" w:color="auto"/>
            </w:tcBorders>
          </w:tcPr>
          <w:p>
            <w:pPr>
              <w:spacing w:after="0"/>
              <w:rPr>
                <w:sz w:val="23"/>
                <w:szCs w:val="23"/>
                <w:color w:val="auto"/>
              </w:rPr>
            </w:pPr>
          </w:p>
        </w:tc>
        <w:tc>
          <w:tcPr>
            <w:tcW w:w="420" w:type="dxa"/>
            <w:vAlign w:val="bottom"/>
            <w:tcBorders>
              <w:bottom w:val="single" w:sz="8" w:color="auto"/>
            </w:tcBorders>
          </w:tcPr>
          <w:p>
            <w:pPr>
              <w:spacing w:after="0"/>
              <w:rPr>
                <w:sz w:val="23"/>
                <w:szCs w:val="23"/>
                <w:color w:val="auto"/>
              </w:rPr>
            </w:pPr>
          </w:p>
        </w:tc>
        <w:tc>
          <w:tcPr>
            <w:tcW w:w="120" w:type="dxa"/>
            <w:vAlign w:val="bottom"/>
            <w:tcBorders>
              <w:bottom w:val="single" w:sz="8" w:color="CCEEFF"/>
            </w:tcBorders>
          </w:tcPr>
          <w:p>
            <w:pPr>
              <w:spacing w:after="0"/>
              <w:rPr>
                <w:sz w:val="23"/>
                <w:szCs w:val="23"/>
                <w:color w:val="auto"/>
              </w:rPr>
            </w:pPr>
          </w:p>
        </w:tc>
        <w:tc>
          <w:tcPr>
            <w:tcW w:w="380" w:type="dxa"/>
            <w:vAlign w:val="bottom"/>
            <w:tcBorders>
              <w:bottom w:val="single" w:sz="8" w:color="auto"/>
            </w:tcBorders>
          </w:tcPr>
          <w:p>
            <w:pPr>
              <w:spacing w:after="0"/>
              <w:rPr>
                <w:sz w:val="23"/>
                <w:szCs w:val="23"/>
                <w:color w:val="auto"/>
              </w:rPr>
            </w:pPr>
          </w:p>
        </w:tc>
        <w:tc>
          <w:tcPr>
            <w:tcW w:w="1220" w:type="dxa"/>
            <w:vAlign w:val="bottom"/>
            <w:tcBorders>
              <w:bottom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57"/>
        </w:trPr>
        <w:tc>
          <w:tcPr>
            <w:tcW w:w="4640" w:type="dxa"/>
            <w:vAlign w:val="bottom"/>
            <w:shd w:val="clear" w:color="auto" w:fill="CCEEFF"/>
          </w:tcPr>
          <w:p>
            <w:pPr>
              <w:ind w:left="460"/>
              <w:spacing w:after="0"/>
              <w:rPr>
                <w:sz w:val="20"/>
                <w:szCs w:val="20"/>
                <w:color w:val="auto"/>
              </w:rPr>
            </w:pPr>
            <w:r>
              <w:rPr>
                <w:rFonts w:ascii="Arial" w:cs="Arial" w:eastAsia="Arial" w:hAnsi="Arial"/>
                <w:sz w:val="18"/>
                <w:szCs w:val="18"/>
                <w:color w:val="auto"/>
              </w:rPr>
              <w:t>Total</w:t>
            </w:r>
          </w:p>
        </w:tc>
        <w:tc>
          <w:tcPr>
            <w:tcW w:w="1180" w:type="dxa"/>
            <w:vAlign w:val="bottom"/>
            <w:shd w:val="clear" w:color="auto" w:fill="CCEEFF"/>
          </w:tcPr>
          <w:p>
            <w:pPr>
              <w:jc w:val="right"/>
              <w:ind w:right="973"/>
              <w:spacing w:after="0"/>
              <w:rPr>
                <w:sz w:val="20"/>
                <w:szCs w:val="20"/>
                <w:color w:val="auto"/>
              </w:rPr>
            </w:pPr>
            <w:r>
              <w:rPr>
                <w:rFonts w:ascii="Arial" w:cs="Arial" w:eastAsia="Arial" w:hAnsi="Arial"/>
                <w:sz w:val="18"/>
                <w:szCs w:val="18"/>
                <w:color w:val="auto"/>
                <w:w w:val="99"/>
              </w:rPr>
              <w:t>$</w:t>
            </w:r>
          </w:p>
        </w:tc>
        <w:tc>
          <w:tcPr>
            <w:tcW w:w="54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26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25,451</w:t>
            </w:r>
          </w:p>
        </w:tc>
        <w:tc>
          <w:tcPr>
            <w:tcW w:w="140" w:type="dxa"/>
            <w:vAlign w:val="bottom"/>
            <w:shd w:val="clear" w:color="auto" w:fill="CCEEFF"/>
          </w:tcPr>
          <w:p>
            <w:pPr>
              <w:spacing w:after="0"/>
              <w:rPr>
                <w:sz w:val="22"/>
                <w:szCs w:val="22"/>
                <w:color w:val="auto"/>
              </w:rPr>
            </w:pPr>
          </w:p>
        </w:tc>
        <w:tc>
          <w:tcPr>
            <w:tcW w:w="1180" w:type="dxa"/>
            <w:vAlign w:val="bottom"/>
            <w:shd w:val="clear" w:color="auto" w:fill="CCEEFF"/>
          </w:tcPr>
          <w:p>
            <w:pPr>
              <w:jc w:val="right"/>
              <w:ind w:right="973"/>
              <w:spacing w:after="0"/>
              <w:rPr>
                <w:sz w:val="20"/>
                <w:szCs w:val="20"/>
                <w:color w:val="auto"/>
              </w:rPr>
            </w:pPr>
            <w:r>
              <w:rPr>
                <w:rFonts w:ascii="Arial" w:cs="Arial" w:eastAsia="Arial" w:hAnsi="Arial"/>
                <w:sz w:val="18"/>
                <w:szCs w:val="18"/>
                <w:color w:val="auto"/>
                <w:w w:val="99"/>
              </w:rPr>
              <w:t>$</w:t>
            </w:r>
          </w:p>
        </w:tc>
        <w:tc>
          <w:tcPr>
            <w:tcW w:w="54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25,451</w:t>
            </w:r>
          </w:p>
        </w:tc>
        <w:tc>
          <w:tcPr>
            <w:tcW w:w="0" w:type="dxa"/>
            <w:vAlign w:val="bottom"/>
          </w:tcPr>
          <w:p>
            <w:pPr>
              <w:spacing w:after="0"/>
              <w:rPr>
                <w:sz w:val="1"/>
                <w:szCs w:val="1"/>
                <w:color w:val="auto"/>
              </w:rPr>
            </w:pPr>
          </w:p>
        </w:tc>
      </w:tr>
      <w:tr>
        <w:trPr>
          <w:trHeight w:val="20"/>
        </w:trPr>
        <w:tc>
          <w:tcPr>
            <w:tcW w:w="464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620" w:type="dxa"/>
            <w:vAlign w:val="bottom"/>
          </w:tcPr>
          <w:p>
            <w:pPr>
              <w:spacing w:after="0"/>
              <w:rPr>
                <w:sz w:val="18"/>
                <w:szCs w:val="18"/>
                <w:color w:val="auto"/>
              </w:rPr>
            </w:pPr>
          </w:p>
        </w:tc>
        <w:tc>
          <w:tcPr>
            <w:tcW w:w="1160" w:type="dxa"/>
            <w:vAlign w:val="bottom"/>
          </w:tcPr>
          <w:p>
            <w:pPr>
              <w:jc w:val="right"/>
              <w:ind w:right="33"/>
              <w:spacing w:after="0"/>
              <w:rPr>
                <w:sz w:val="20"/>
                <w:szCs w:val="20"/>
                <w:color w:val="auto"/>
              </w:rPr>
            </w:pPr>
            <w:r>
              <w:rPr>
                <w:rFonts w:ascii="Arial" w:cs="Arial" w:eastAsia="Arial" w:hAnsi="Arial"/>
                <w:sz w:val="16"/>
                <w:szCs w:val="16"/>
                <w:b w:val="1"/>
                <w:bCs w:val="1"/>
                <w:color w:val="auto"/>
              </w:rPr>
              <w:t>Level 1</w:t>
            </w: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0" w:type="dxa"/>
            <w:vAlign w:val="bottom"/>
            <w:gridSpan w:val="2"/>
          </w:tcPr>
          <w:p>
            <w:pPr>
              <w:ind w:left="200"/>
              <w:spacing w:after="0"/>
              <w:rPr>
                <w:sz w:val="20"/>
                <w:szCs w:val="20"/>
                <w:color w:val="auto"/>
              </w:rPr>
            </w:pPr>
            <w:r>
              <w:rPr>
                <w:rFonts w:ascii="Arial" w:cs="Arial" w:eastAsia="Arial" w:hAnsi="Arial"/>
                <w:sz w:val="16"/>
                <w:szCs w:val="16"/>
                <w:b w:val="1"/>
                <w:bCs w:val="1"/>
                <w:color w:val="auto"/>
              </w:rPr>
              <w:t>Level 2</w:t>
            </w:r>
          </w:p>
        </w:tc>
        <w:tc>
          <w:tcPr>
            <w:tcW w:w="1180" w:type="dxa"/>
            <w:vAlign w:val="bottom"/>
          </w:tcPr>
          <w:p>
            <w:pPr>
              <w:jc w:val="right"/>
              <w:ind w:right="33"/>
              <w:spacing w:after="0"/>
              <w:rPr>
                <w:sz w:val="20"/>
                <w:szCs w:val="20"/>
                <w:color w:val="auto"/>
              </w:rPr>
            </w:pPr>
            <w:r>
              <w:rPr>
                <w:rFonts w:ascii="Arial" w:cs="Arial" w:eastAsia="Arial" w:hAnsi="Arial"/>
                <w:sz w:val="16"/>
                <w:szCs w:val="16"/>
                <w:b w:val="1"/>
                <w:bCs w:val="1"/>
                <w:color w:val="auto"/>
              </w:rPr>
              <w:t>Level 3</w:t>
            </w: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20" w:type="dxa"/>
            <w:vAlign w:val="bottom"/>
          </w:tcPr>
          <w:p>
            <w:pPr>
              <w:jc w:val="right"/>
              <w:ind w:right="532"/>
              <w:spacing w:after="0"/>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33"/>
        </w:trPr>
        <w:tc>
          <w:tcPr>
            <w:tcW w:w="4620" w:type="dxa"/>
            <w:vAlign w:val="bottom"/>
            <w:vMerge w:val="restart"/>
          </w:tcPr>
          <w:p>
            <w:pPr>
              <w:ind w:left="40"/>
              <w:spacing w:after="0"/>
              <w:rPr>
                <w:sz w:val="20"/>
                <w:szCs w:val="20"/>
                <w:color w:val="auto"/>
              </w:rPr>
            </w:pPr>
            <w:r>
              <w:rPr>
                <w:rFonts w:ascii="Arial" w:cs="Arial" w:eastAsia="Arial" w:hAnsi="Arial"/>
                <w:sz w:val="13"/>
                <w:szCs w:val="13"/>
                <w:i w:val="1"/>
                <w:iCs w:val="1"/>
                <w:color w:val="auto"/>
              </w:rPr>
              <w:t>(In thousands)</w:t>
            </w:r>
          </w:p>
        </w:tc>
        <w:tc>
          <w:tcPr>
            <w:tcW w:w="116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6"/>
        </w:trPr>
        <w:tc>
          <w:tcPr>
            <w:tcW w:w="4620" w:type="dxa"/>
            <w:vAlign w:val="bottom"/>
            <w:vMerge w:val="continue"/>
          </w:tcPr>
          <w:p>
            <w:pPr>
              <w:spacing w:after="0"/>
              <w:rPr>
                <w:sz w:val="22"/>
                <w:szCs w:val="22"/>
                <w:color w:val="auto"/>
              </w:rPr>
            </w:pPr>
          </w:p>
        </w:tc>
        <w:tc>
          <w:tcPr>
            <w:tcW w:w="116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8"/>
        </w:trPr>
        <w:tc>
          <w:tcPr>
            <w:tcW w:w="4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December 31, 2013</w:t>
            </w:r>
          </w:p>
        </w:tc>
        <w:tc>
          <w:tcPr>
            <w:tcW w:w="116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4620" w:type="dxa"/>
            <w:vAlign w:val="bottom"/>
          </w:tcPr>
          <w:p>
            <w:pPr>
              <w:ind w:left="40"/>
              <w:spacing w:after="0"/>
              <w:rPr>
                <w:sz w:val="20"/>
                <w:szCs w:val="20"/>
                <w:color w:val="auto"/>
              </w:rPr>
            </w:pPr>
            <w:r>
              <w:rPr>
                <w:rFonts w:ascii="Arial" w:cs="Arial" w:eastAsia="Arial" w:hAnsi="Arial"/>
                <w:sz w:val="18"/>
                <w:szCs w:val="18"/>
                <w:color w:val="auto"/>
              </w:rPr>
              <w:t>Corporate bonds and notes</w:t>
            </w:r>
          </w:p>
        </w:tc>
        <w:tc>
          <w:tcPr>
            <w:tcW w:w="1160" w:type="dxa"/>
            <w:vAlign w:val="bottom"/>
          </w:tcPr>
          <w:p>
            <w:pPr>
              <w:jc w:val="right"/>
              <w:ind w:right="953"/>
              <w:spacing w:after="0"/>
              <w:rPr>
                <w:sz w:val="20"/>
                <w:szCs w:val="20"/>
                <w:color w:val="auto"/>
              </w:rPr>
            </w:pPr>
            <w:r>
              <w:rPr>
                <w:rFonts w:ascii="Arial" w:cs="Arial" w:eastAsia="Arial" w:hAnsi="Arial"/>
                <w:sz w:val="18"/>
                <w:szCs w:val="18"/>
                <w:color w:val="auto"/>
                <w:w w:val="99"/>
              </w:rPr>
              <w:t>$</w:t>
            </w:r>
          </w:p>
        </w:tc>
        <w:tc>
          <w:tcPr>
            <w:tcW w:w="56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ind w:right="32"/>
              <w:spacing w:after="0"/>
              <w:rPr>
                <w:sz w:val="20"/>
                <w:szCs w:val="20"/>
                <w:color w:val="auto"/>
              </w:rPr>
            </w:pPr>
            <w:r>
              <w:rPr>
                <w:rFonts w:ascii="Arial" w:cs="Arial" w:eastAsia="Arial" w:hAnsi="Arial"/>
                <w:sz w:val="18"/>
                <w:szCs w:val="18"/>
                <w:color w:val="auto"/>
              </w:rPr>
              <w:t>18,857</w:t>
            </w:r>
          </w:p>
        </w:tc>
        <w:tc>
          <w:tcPr>
            <w:tcW w:w="140" w:type="dxa"/>
            <w:vAlign w:val="bottom"/>
          </w:tcPr>
          <w:p>
            <w:pPr>
              <w:spacing w:after="0"/>
              <w:rPr>
                <w:sz w:val="21"/>
                <w:szCs w:val="21"/>
                <w:color w:val="auto"/>
              </w:rPr>
            </w:pPr>
          </w:p>
        </w:tc>
        <w:tc>
          <w:tcPr>
            <w:tcW w:w="1180" w:type="dxa"/>
            <w:vAlign w:val="bottom"/>
          </w:tcPr>
          <w:p>
            <w:pPr>
              <w:jc w:val="right"/>
              <w:ind w:right="973"/>
              <w:spacing w:after="0"/>
              <w:rPr>
                <w:sz w:val="20"/>
                <w:szCs w:val="20"/>
                <w:color w:val="auto"/>
              </w:rPr>
            </w:pPr>
            <w:r>
              <w:rPr>
                <w:rFonts w:ascii="Arial" w:cs="Arial" w:eastAsia="Arial" w:hAnsi="Arial"/>
                <w:sz w:val="18"/>
                <w:szCs w:val="18"/>
                <w:color w:val="auto"/>
                <w:w w:val="99"/>
              </w:rPr>
              <w:t>$</w:t>
            </w:r>
          </w:p>
        </w:tc>
        <w:tc>
          <w:tcPr>
            <w:tcW w:w="56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12"/>
              <w:spacing w:after="0"/>
              <w:rPr>
                <w:sz w:val="20"/>
                <w:szCs w:val="20"/>
                <w:color w:val="auto"/>
              </w:rPr>
            </w:pPr>
            <w:r>
              <w:rPr>
                <w:rFonts w:ascii="Arial" w:cs="Arial" w:eastAsia="Arial" w:hAnsi="Arial"/>
                <w:sz w:val="18"/>
                <w:szCs w:val="18"/>
                <w:color w:val="auto"/>
              </w:rPr>
              <w:t>18,857</w:t>
            </w:r>
          </w:p>
        </w:tc>
        <w:tc>
          <w:tcPr>
            <w:tcW w:w="0" w:type="dxa"/>
            <w:vAlign w:val="bottom"/>
          </w:tcPr>
          <w:p>
            <w:pPr>
              <w:spacing w:after="0"/>
              <w:rPr>
                <w:sz w:val="1"/>
                <w:szCs w:val="1"/>
                <w:color w:val="auto"/>
              </w:rPr>
            </w:pPr>
          </w:p>
        </w:tc>
      </w:tr>
      <w:tr>
        <w:trPr>
          <w:trHeight w:val="27"/>
        </w:trPr>
        <w:tc>
          <w:tcPr>
            <w:tcW w:w="46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Municipal bonds</w:t>
            </w:r>
          </w:p>
        </w:tc>
        <w:tc>
          <w:tcPr>
            <w:tcW w:w="116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6,669</w:t>
            </w:r>
          </w:p>
        </w:tc>
        <w:tc>
          <w:tcPr>
            <w:tcW w:w="14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6,669</w:t>
            </w:r>
          </w:p>
        </w:tc>
        <w:tc>
          <w:tcPr>
            <w:tcW w:w="0" w:type="dxa"/>
            <w:vAlign w:val="bottom"/>
          </w:tcPr>
          <w:p>
            <w:pPr>
              <w:spacing w:after="0"/>
              <w:rPr>
                <w:sz w:val="1"/>
                <w:szCs w:val="1"/>
                <w:color w:val="auto"/>
              </w:rPr>
            </w:pPr>
          </w:p>
        </w:tc>
      </w:tr>
      <w:tr>
        <w:trPr>
          <w:trHeight w:val="270"/>
        </w:trPr>
        <w:tc>
          <w:tcPr>
            <w:tcW w:w="4620" w:type="dxa"/>
            <w:vAlign w:val="bottom"/>
            <w:tcBorders>
              <w:bottom w:val="single" w:sz="8" w:color="CCEEFF"/>
            </w:tcBorders>
          </w:tcPr>
          <w:p>
            <w:pPr>
              <w:spacing w:after="0"/>
              <w:rPr>
                <w:sz w:val="23"/>
                <w:szCs w:val="23"/>
                <w:color w:val="auto"/>
              </w:rPr>
            </w:pPr>
          </w:p>
        </w:tc>
        <w:tc>
          <w:tcPr>
            <w:tcW w:w="1160" w:type="dxa"/>
            <w:vAlign w:val="bottom"/>
            <w:tcBorders>
              <w:bottom w:val="single" w:sz="8" w:color="auto"/>
            </w:tcBorders>
          </w:tcPr>
          <w:p>
            <w:pPr>
              <w:spacing w:after="0"/>
              <w:rPr>
                <w:sz w:val="23"/>
                <w:szCs w:val="23"/>
                <w:color w:val="auto"/>
              </w:rPr>
            </w:pPr>
          </w:p>
        </w:tc>
        <w:tc>
          <w:tcPr>
            <w:tcW w:w="420" w:type="dxa"/>
            <w:vAlign w:val="bottom"/>
            <w:tcBorders>
              <w:bottom w:val="single" w:sz="8" w:color="auto"/>
            </w:tcBorders>
          </w:tcPr>
          <w:p>
            <w:pPr>
              <w:spacing w:after="0"/>
              <w:rPr>
                <w:sz w:val="23"/>
                <w:szCs w:val="23"/>
                <w:color w:val="auto"/>
              </w:rPr>
            </w:pPr>
          </w:p>
        </w:tc>
        <w:tc>
          <w:tcPr>
            <w:tcW w:w="140" w:type="dxa"/>
            <w:vAlign w:val="bottom"/>
            <w:tcBorders>
              <w:bottom w:val="single" w:sz="8" w:color="CCEEFF"/>
            </w:tcBorders>
          </w:tcPr>
          <w:p>
            <w:pPr>
              <w:spacing w:after="0"/>
              <w:rPr>
                <w:sz w:val="23"/>
                <w:szCs w:val="23"/>
                <w:color w:val="auto"/>
              </w:rPr>
            </w:pPr>
          </w:p>
        </w:tc>
        <w:tc>
          <w:tcPr>
            <w:tcW w:w="340" w:type="dxa"/>
            <w:vAlign w:val="bottom"/>
            <w:tcBorders>
              <w:bottom w:val="single" w:sz="8" w:color="auto"/>
            </w:tcBorders>
          </w:tcPr>
          <w:p>
            <w:pPr>
              <w:spacing w:after="0"/>
              <w:rPr>
                <w:sz w:val="23"/>
                <w:szCs w:val="23"/>
                <w:color w:val="auto"/>
              </w:rPr>
            </w:pPr>
          </w:p>
        </w:tc>
        <w:tc>
          <w:tcPr>
            <w:tcW w:w="1260" w:type="dxa"/>
            <w:vAlign w:val="bottom"/>
            <w:tcBorders>
              <w:bottom w:val="single" w:sz="8" w:color="auto"/>
            </w:tcBorders>
          </w:tcPr>
          <w:p>
            <w:pPr>
              <w:spacing w:after="0"/>
              <w:rPr>
                <w:sz w:val="23"/>
                <w:szCs w:val="23"/>
                <w:color w:val="auto"/>
              </w:rPr>
            </w:pPr>
          </w:p>
        </w:tc>
        <w:tc>
          <w:tcPr>
            <w:tcW w:w="140" w:type="dxa"/>
            <w:vAlign w:val="bottom"/>
            <w:tcBorders>
              <w:bottom w:val="single" w:sz="8" w:color="CCEEFF"/>
            </w:tcBorders>
          </w:tcPr>
          <w:p>
            <w:pPr>
              <w:spacing w:after="0"/>
              <w:rPr>
                <w:sz w:val="23"/>
                <w:szCs w:val="23"/>
                <w:color w:val="auto"/>
              </w:rPr>
            </w:pPr>
          </w:p>
        </w:tc>
        <w:tc>
          <w:tcPr>
            <w:tcW w:w="1180" w:type="dxa"/>
            <w:vAlign w:val="bottom"/>
            <w:tcBorders>
              <w:bottom w:val="single" w:sz="8" w:color="auto"/>
            </w:tcBorders>
          </w:tcPr>
          <w:p>
            <w:pPr>
              <w:spacing w:after="0"/>
              <w:rPr>
                <w:sz w:val="23"/>
                <w:szCs w:val="23"/>
                <w:color w:val="auto"/>
              </w:rPr>
            </w:pPr>
          </w:p>
        </w:tc>
        <w:tc>
          <w:tcPr>
            <w:tcW w:w="420" w:type="dxa"/>
            <w:vAlign w:val="bottom"/>
            <w:tcBorders>
              <w:bottom w:val="single" w:sz="8" w:color="auto"/>
            </w:tcBorders>
          </w:tcPr>
          <w:p>
            <w:pPr>
              <w:spacing w:after="0"/>
              <w:rPr>
                <w:sz w:val="23"/>
                <w:szCs w:val="23"/>
                <w:color w:val="auto"/>
              </w:rPr>
            </w:pPr>
          </w:p>
        </w:tc>
        <w:tc>
          <w:tcPr>
            <w:tcW w:w="140" w:type="dxa"/>
            <w:vAlign w:val="bottom"/>
            <w:tcBorders>
              <w:bottom w:val="single" w:sz="8" w:color="CCEEFF"/>
            </w:tcBorders>
          </w:tcPr>
          <w:p>
            <w:pPr>
              <w:spacing w:after="0"/>
              <w:rPr>
                <w:sz w:val="23"/>
                <w:szCs w:val="23"/>
                <w:color w:val="auto"/>
              </w:rPr>
            </w:pPr>
          </w:p>
        </w:tc>
        <w:tc>
          <w:tcPr>
            <w:tcW w:w="380" w:type="dxa"/>
            <w:vAlign w:val="bottom"/>
            <w:tcBorders>
              <w:bottom w:val="single" w:sz="8" w:color="auto"/>
            </w:tcBorders>
          </w:tcPr>
          <w:p>
            <w:pPr>
              <w:spacing w:after="0"/>
              <w:rPr>
                <w:sz w:val="23"/>
                <w:szCs w:val="23"/>
                <w:color w:val="auto"/>
              </w:rPr>
            </w:pPr>
          </w:p>
        </w:tc>
        <w:tc>
          <w:tcPr>
            <w:tcW w:w="1220" w:type="dxa"/>
            <w:vAlign w:val="bottom"/>
            <w:tcBorders>
              <w:bottom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57"/>
        </w:trPr>
        <w:tc>
          <w:tcPr>
            <w:tcW w:w="4620" w:type="dxa"/>
            <w:vAlign w:val="bottom"/>
            <w:shd w:val="clear" w:color="auto" w:fill="CCEEFF"/>
          </w:tcPr>
          <w:p>
            <w:pPr>
              <w:ind w:left="460"/>
              <w:spacing w:after="0"/>
              <w:rPr>
                <w:sz w:val="20"/>
                <w:szCs w:val="20"/>
                <w:color w:val="auto"/>
              </w:rPr>
            </w:pPr>
            <w:r>
              <w:rPr>
                <w:rFonts w:ascii="Arial" w:cs="Arial" w:eastAsia="Arial" w:hAnsi="Arial"/>
                <w:sz w:val="18"/>
                <w:szCs w:val="18"/>
                <w:color w:val="auto"/>
              </w:rPr>
              <w:t>Total</w:t>
            </w:r>
          </w:p>
        </w:tc>
        <w:tc>
          <w:tcPr>
            <w:tcW w:w="1160" w:type="dxa"/>
            <w:vAlign w:val="bottom"/>
            <w:shd w:val="clear" w:color="auto" w:fill="CCEEFF"/>
          </w:tcPr>
          <w:p>
            <w:pPr>
              <w:jc w:val="right"/>
              <w:ind w:right="953"/>
              <w:spacing w:after="0"/>
              <w:rPr>
                <w:sz w:val="20"/>
                <w:szCs w:val="20"/>
                <w:color w:val="auto"/>
              </w:rPr>
            </w:pPr>
            <w:r>
              <w:rPr>
                <w:rFonts w:ascii="Arial" w:cs="Arial" w:eastAsia="Arial" w:hAnsi="Arial"/>
                <w:sz w:val="18"/>
                <w:szCs w:val="18"/>
                <w:color w:val="auto"/>
                <w:w w:val="99"/>
              </w:rPr>
              <w:t>$</w:t>
            </w:r>
          </w:p>
        </w:tc>
        <w:tc>
          <w:tcPr>
            <w:tcW w:w="56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26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25,526</w:t>
            </w:r>
          </w:p>
        </w:tc>
        <w:tc>
          <w:tcPr>
            <w:tcW w:w="140" w:type="dxa"/>
            <w:vAlign w:val="bottom"/>
            <w:shd w:val="clear" w:color="auto" w:fill="CCEEFF"/>
          </w:tcPr>
          <w:p>
            <w:pPr>
              <w:spacing w:after="0"/>
              <w:rPr>
                <w:sz w:val="22"/>
                <w:szCs w:val="22"/>
                <w:color w:val="auto"/>
              </w:rPr>
            </w:pPr>
          </w:p>
        </w:tc>
        <w:tc>
          <w:tcPr>
            <w:tcW w:w="1180" w:type="dxa"/>
            <w:vAlign w:val="bottom"/>
            <w:shd w:val="clear" w:color="auto" w:fill="CCEEFF"/>
          </w:tcPr>
          <w:p>
            <w:pPr>
              <w:jc w:val="right"/>
              <w:ind w:right="973"/>
              <w:spacing w:after="0"/>
              <w:rPr>
                <w:sz w:val="20"/>
                <w:szCs w:val="20"/>
                <w:color w:val="auto"/>
              </w:rPr>
            </w:pPr>
            <w:r>
              <w:rPr>
                <w:rFonts w:ascii="Arial" w:cs="Arial" w:eastAsia="Arial" w:hAnsi="Arial"/>
                <w:sz w:val="18"/>
                <w:szCs w:val="18"/>
                <w:color w:val="auto"/>
                <w:w w:val="99"/>
              </w:rPr>
              <w:t>$</w:t>
            </w:r>
          </w:p>
        </w:tc>
        <w:tc>
          <w:tcPr>
            <w:tcW w:w="56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25,526</w:t>
            </w:r>
          </w:p>
        </w:tc>
        <w:tc>
          <w:tcPr>
            <w:tcW w:w="0" w:type="dxa"/>
            <w:vAlign w:val="bottom"/>
          </w:tcPr>
          <w:p>
            <w:pPr>
              <w:spacing w:after="0"/>
              <w:rPr>
                <w:sz w:val="1"/>
                <w:szCs w:val="1"/>
                <w:color w:val="auto"/>
              </w:rPr>
            </w:pPr>
          </w:p>
        </w:tc>
      </w:tr>
      <w:tr>
        <w:trPr>
          <w:trHeight w:val="20"/>
        </w:trPr>
        <w:tc>
          <w:tcPr>
            <w:tcW w:w="462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Income Taxes</w:t>
      </w:r>
    </w:p>
    <w:p>
      <w:pPr>
        <w:spacing w:after="0" w:line="189"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The Company's forecasted effective tax rate at September 30, 2014 was 35.7%, a 2.4% increase from the 33.3% effective tax rate recorded at December 31, 2013. The forecasted effective tax rate of 35.7% excludes jurisdictions for which no benefit from forecasted current year losses is anticipated. Including losses from such jurisdictions results in a forecasted effective tax rate of 36.3%. Our forecasted effective tax rate could fluctuate significantly on a quarterly basis and could change to the extent that earnings, in countries with tax rates that differ from that of the U.S., differ from amounts anticipated at September 30, 2014.</w:t>
      </w:r>
    </w:p>
    <w:p>
      <w:pPr>
        <w:spacing w:after="0" w:line="188" w:lineRule="exact"/>
        <w:rPr>
          <w:sz w:val="20"/>
          <w:szCs w:val="20"/>
          <w:color w:val="auto"/>
        </w:rPr>
      </w:pPr>
    </w:p>
    <w:p>
      <w:pPr>
        <w:ind w:right="480"/>
        <w:spacing w:after="0" w:line="308" w:lineRule="auto"/>
        <w:rPr>
          <w:sz w:val="20"/>
          <w:szCs w:val="20"/>
          <w:color w:val="auto"/>
        </w:rPr>
      </w:pPr>
      <w:r>
        <w:rPr>
          <w:rFonts w:ascii="Arial" w:cs="Arial" w:eastAsia="Arial" w:hAnsi="Arial"/>
          <w:sz w:val="17"/>
          <w:szCs w:val="17"/>
          <w:color w:val="auto"/>
        </w:rPr>
        <w:t>After discrete tax expense of $24, the effective tax rate for the nine months ended September 30, 2014 was 40.4%. The discrete tax expense is primarily attributable to adjustments to prior-year research and development tax credits, offset by tax benefits of share-based compensation.</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Subsequent Events</w:t>
      </w:r>
    </w:p>
    <w:p>
      <w:pPr>
        <w:spacing w:after="0" w:line="229"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The Company evaluated its consolidated financial statements as of and for the nine months ended September 30, 2014 for subsequent events through the date the financial statements were issued. The Company is not aware of any subsequent event which would require recognition or disclosure in the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121" w:right="239" w:bottom="1440" w:gutter="0" w:footer="0" w:header="0"/>
        </w:sectPr>
      </w:pPr>
    </w:p>
    <w:bookmarkStart w:id="14" w:name="page15"/>
    <w:bookmarkEnd w:id="14"/>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3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229" w:lineRule="exact"/>
        <w:rPr>
          <w:sz w:val="20"/>
          <w:szCs w:val="20"/>
          <w:color w:val="auto"/>
        </w:rPr>
      </w:pPr>
    </w:p>
    <w:p>
      <w:pPr>
        <w:spacing w:after="0" w:line="267" w:lineRule="auto"/>
        <w:rPr>
          <w:sz w:val="20"/>
          <w:szCs w:val="20"/>
          <w:color w:val="auto"/>
        </w:rPr>
      </w:pPr>
      <w:r>
        <w:rPr>
          <w:rFonts w:ascii="Arial" w:cs="Arial" w:eastAsia="Arial" w:hAnsi="Arial"/>
          <w:sz w:val="17"/>
          <w:szCs w:val="17"/>
          <w:i w:val="1"/>
          <w:iCs w:val="1"/>
          <w:color w:val="auto"/>
        </w:rPr>
        <w:t>This report on Form 10-Q includes “forward-looking statements” within the meaning of Section 27A of the Securities Act of 1933, as amended, and Section 21E of the Securities Exchange Act of 1934, as amended (the “Exchange Act”). All statements in this report, other than statements of historical fact, are forward-looking statements for purposes of these provisions, including any projections of earnings, revenues or other financial items, any statements of the plans and objectives of management for future operations, any statements concerning proposed new products or services, any statements regarding future economic conditions or performance, and any statements of assumptions underlying any of the foregoing. All forward-looking statements included in this report are made as of the date hereof and are based on information available to us as of such date. We assume no obligation to update any forward-looking statement. In some cases, forward-looking statements can be identified by the use of terminology such as “may,” “will,” “expects,” “plans,” “anticipates,” “intends,” “believes,” “estimates,” “potential,” or “continue,” or the negative thereof or other comparable terminology. Although we believe that the expectations reflected in the forward-looking statements contained herein are reasonable, there can be no assurance that any such expectations or any forward-looking statement will prove to be correct. Our actual results will vary, and may vary materially, from those projected or assumed in the forward-looking statements. Future financial condition and results of operations, as well as any forward-looking statements, are subject to inherent risks and uncertainties, including, without limitation, product recalls and product liability claims; infringement of our technology or assertion that our technology infringes the rights of other parties; termination of supplier relationships, or failure of suppliers to perform; inability to successfully manage growth; delays in obtaining regulatory approvals or the failure to maintain such approvals; concentration of our revenue among a few customers, products or procedures; development of new products and technology that could render our products obsolete; market acceptance of new products; introduction of products in a timely fashion; price and product competition, availability of labor and materials, cost increases, and fluctuations in and obsolescence of inventory; volatility of the market price of our common stock; foreign currency fluctuations; changes in key personnel; work stoppage or transportation risks; and other factors referred to in our press releases and reports filed with the SEC, including our Annual Report on Form 10-K for the year ended December 31, 2013. All subsequent forward-looking statements attributable to us or persons acting on our behalf are expressly qualified in their entirety by these cautionary statements. Additional factors that may have a direct bearing on our operating results are discussed in Part I, Item 1A “Risk Factors” in our Annual Report on Form 10-K for the year ended December 31, 2013.</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OVERVIEW</w:t>
      </w:r>
    </w:p>
    <w:p>
      <w:pPr>
        <w:spacing w:after="0" w:line="229" w:lineRule="exact"/>
        <w:rPr>
          <w:sz w:val="20"/>
          <w:szCs w:val="20"/>
          <w:color w:val="auto"/>
        </w:rPr>
      </w:pPr>
    </w:p>
    <w:p>
      <w:pPr>
        <w:ind w:right="580"/>
        <w:spacing w:after="0" w:line="264" w:lineRule="auto"/>
        <w:rPr>
          <w:sz w:val="20"/>
          <w:szCs w:val="20"/>
          <w:color w:val="auto"/>
        </w:rPr>
      </w:pPr>
      <w:r>
        <w:rPr>
          <w:rFonts w:ascii="Arial" w:cs="Arial" w:eastAsia="Arial" w:hAnsi="Arial"/>
          <w:sz w:val="18"/>
          <w:szCs w:val="18"/>
          <w:color w:val="auto"/>
        </w:rPr>
        <w:t>We are a global company that designs, develops and sells conferencing, collaboration, streaming and digital signage solutions for voice and visual communications. The performance and simplicity of our advanced comprehensive solutions offer unprecedented levels of functionality, reliability and scalability.</w:t>
      </w:r>
    </w:p>
    <w:p>
      <w:pPr>
        <w:spacing w:after="0" w:line="181"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We design, develop, market, and service a comprehensive line of high-quality conferencing products for personal use, as well as traditional tabletop, mid-tier premium and higher-end professional products for both large and small businesses. We occupy the number one global market share position, with nearly 50% market share in the professional audio conferencing market for our products used by large businesses and organizations such as enterprise, healthcare, education and distance learning, government, legal and finance. Our solutions save organizations time and money by creating a natural environment for collaboration and communication.</w:t>
      </w:r>
    </w:p>
    <w:p>
      <w:pPr>
        <w:spacing w:after="0" w:line="175" w:lineRule="exact"/>
        <w:rPr>
          <w:sz w:val="20"/>
          <w:szCs w:val="20"/>
          <w:color w:val="auto"/>
        </w:rPr>
      </w:pPr>
    </w:p>
    <w:p>
      <w:pPr>
        <w:ind w:right="120"/>
        <w:spacing w:after="0" w:line="257" w:lineRule="auto"/>
        <w:rPr>
          <w:sz w:val="20"/>
          <w:szCs w:val="20"/>
          <w:color w:val="auto"/>
        </w:rPr>
      </w:pPr>
      <w:r>
        <w:rPr>
          <w:rFonts w:ascii="Arial" w:cs="Arial" w:eastAsia="Arial" w:hAnsi="Arial"/>
          <w:sz w:val="18"/>
          <w:szCs w:val="18"/>
          <w:color w:val="auto"/>
        </w:rPr>
        <w:t>We have an established history of product innovation and plan to continue to apply our expertise in audio, video and network engineering to develop and introduce innovative new products and enhance our existing products. Our end-users range from some of the world's largest and most prestigious companies and institutions to small and medium-sized businesses, higher education and government organizations, as well as individual consumers. We sell our commercial products to these end-users primarily through a global network of independent distributors who in turn sell our products to dealers, systems integrators and other value-added resellers.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Our business goals are to:</w:t>
      </w:r>
    </w:p>
    <w:p>
      <w:pPr>
        <w:spacing w:after="0" w:line="198" w:lineRule="exact"/>
        <w:rPr>
          <w:sz w:val="20"/>
          <w:szCs w:val="20"/>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Maintain our leading global market share in professional audio conferencing products for large businesses and organizations;</w:t>
      </w:r>
    </w:p>
    <w:p>
      <w:pPr>
        <w:spacing w:after="0" w:line="23" w:lineRule="exact"/>
        <w:rPr>
          <w:rFonts w:ascii="Arial" w:cs="Arial" w:eastAsia="Arial" w:hAnsi="Arial"/>
          <w:sz w:val="18"/>
          <w:szCs w:val="18"/>
          <w:color w:val="auto"/>
        </w:rPr>
      </w:pPr>
    </w:p>
    <w:p>
      <w:pPr>
        <w:ind w:left="660" w:right="560" w:hanging="328"/>
        <w:spacing w:after="0" w:line="250" w:lineRule="auto"/>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Leverage the media collaboration, enterprise streaming and digital signage technologies we have acquired over the years to enter new growth markets;</w:t>
      </w: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Focus on the small and medium business (SMB) market with scaled, lower cost and less complex products and solutions;</w:t>
      </w:r>
    </w:p>
    <w:p>
      <w:pPr>
        <w:spacing w:after="0" w:line="23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00"/>
          </w:cols>
          <w:pgMar w:left="240" w:top="122" w:right="259" w:bottom="1440" w:gutter="0" w:footer="0" w:header="0"/>
        </w:sectPr>
      </w:pPr>
    </w:p>
    <w:bookmarkStart w:id="15" w:name="page16"/>
    <w:bookmarkEnd w:id="15"/>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6"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MANAGEMENT’S DISCUSSION AND ANALYSIS OF FINANCIAL CONDITION AND RESULTS OF OPERATIONS</w:t>
      </w:r>
    </w:p>
    <w:p>
      <w:pPr>
        <w:spacing w:after="0" w:line="200" w:lineRule="exact"/>
        <w:rPr>
          <w:sz w:val="20"/>
          <w:szCs w:val="20"/>
          <w:color w:val="auto"/>
        </w:rPr>
      </w:pPr>
    </w:p>
    <w:p>
      <w:pPr>
        <w:spacing w:after="0" w:line="264" w:lineRule="exact"/>
        <w:rPr>
          <w:sz w:val="20"/>
          <w:szCs w:val="20"/>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Capitalize on the increasing adoption of unified communications and introduce new products through information technology channels;</w:t>
      </w:r>
    </w:p>
    <w:p>
      <w:pPr>
        <w:spacing w:after="0" w:line="23" w:lineRule="exact"/>
        <w:rPr>
          <w:rFonts w:ascii="Arial" w:cs="Arial" w:eastAsia="Arial" w:hAnsi="Arial"/>
          <w:sz w:val="18"/>
          <w:szCs w:val="18"/>
          <w:color w:val="auto"/>
        </w:rPr>
      </w:pPr>
    </w:p>
    <w:p>
      <w:pPr>
        <w:ind w:left="660" w:right="640" w:hanging="328"/>
        <w:spacing w:after="0" w:line="250" w:lineRule="auto"/>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Capitalize on emerging market opportunities as audio visual, information technology, unified communications and traditional digital signage converge to meet enterprise and commercial multimedia needs; and</w:t>
      </w: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Expand and strengthen our sales channels.</w:t>
      </w:r>
    </w:p>
    <w:p>
      <w:pPr>
        <w:spacing w:after="0" w:line="211"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We will continue to improve our existing high-quality products and develop new products for the burgeoning conferencing and collaboration and multimedia streaming markets and focus on strategic initiatives to achieve our business goals.</w:t>
      </w:r>
    </w:p>
    <w:p>
      <w:pPr>
        <w:spacing w:after="0" w:line="170" w:lineRule="exact"/>
        <w:rPr>
          <w:sz w:val="20"/>
          <w:szCs w:val="20"/>
          <w:color w:val="auto"/>
        </w:rPr>
      </w:pPr>
    </w:p>
    <w:p>
      <w:pPr>
        <w:ind w:right="140"/>
        <w:spacing w:after="0" w:line="255" w:lineRule="auto"/>
        <w:rPr>
          <w:sz w:val="20"/>
          <w:szCs w:val="20"/>
          <w:color w:val="auto"/>
        </w:rPr>
      </w:pPr>
      <w:r>
        <w:rPr>
          <w:rFonts w:ascii="Arial" w:cs="Arial" w:eastAsia="Arial" w:hAnsi="Arial"/>
          <w:sz w:val="18"/>
          <w:szCs w:val="18"/>
          <w:color w:val="auto"/>
        </w:rPr>
        <w:t>Our revenues were $15.7 million and $12.4 million during the three months ended September 30, 2014 and 2013, respectively. This revenue increase is primarily due to contributions from our acquisitions and from our flagship professional audio products. Our gross profit increased by $2.2 million during the three months ended September 30, 2014 compared to the three months ended September 30, 2013. Net income decreased by $17 thousand during the three months ended September 30, 2014 compared to the three months ended September 30, 2013, primarily due to increased tax expense resulting from both a higher taxable income and a higher effective tax rate and due to increased investments in sales and marketing and research and development activities in connection with acquisitions and internal investments.</w:t>
      </w:r>
    </w:p>
    <w:p>
      <w:pPr>
        <w:spacing w:after="0" w:line="193"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Our revenues were $42.6 million and $35.4 million during the nine months ended September 30, 2014 and 2013, respectively. This revenue increase is primarily due to increased sales of professional audio products. Our gross profit increased by $4.1 million during the nine months ended September 30, 2014 compared to the nine months ended September 30, 2013. Net income decreased by $368 thousand during the nine months ended September 30, 2014 compared to the nine months ended September 30, 2013, primarily due to increased investments in sales and marketing and research and development activities in connection with acquisitions and internal investments.</w:t>
      </w:r>
    </w:p>
    <w:p>
      <w:pPr>
        <w:spacing w:after="0" w:line="188" w:lineRule="exact"/>
        <w:rPr>
          <w:sz w:val="20"/>
          <w:szCs w:val="20"/>
          <w:color w:val="auto"/>
        </w:rPr>
      </w:pPr>
    </w:p>
    <w:p>
      <w:pPr>
        <w:jc w:val="both"/>
        <w:ind w:right="180"/>
        <w:spacing w:after="0" w:line="264" w:lineRule="auto"/>
        <w:rPr>
          <w:sz w:val="20"/>
          <w:szCs w:val="20"/>
          <w:color w:val="auto"/>
        </w:rPr>
      </w:pPr>
      <w:r>
        <w:rPr>
          <w:rFonts w:ascii="Arial" w:cs="Arial" w:eastAsia="Arial" w:hAnsi="Arial"/>
          <w:sz w:val="18"/>
          <w:szCs w:val="18"/>
          <w:color w:val="auto"/>
        </w:rPr>
        <w:t>We expect continued growth in revenue from our acquisitions and our professional audio products. However, the prospects of growth and related magnitude in both revenues and profits in the near future will depend on the strength of the global economy and the degree of market penetration of our new products, including products added through acquisitions.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A detailed discussion of our results of operations follows below.</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ANALYSIS OF RESULTS OF OPERATIONS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Results of Operations for the three and nine months ended September 30, 2014 and 2013</w:t>
      </w:r>
    </w:p>
    <w:p>
      <w:pPr>
        <w:spacing w:after="0" w:line="225" w:lineRule="exact"/>
        <w:rPr>
          <w:sz w:val="20"/>
          <w:szCs w:val="20"/>
          <w:color w:val="auto"/>
        </w:rPr>
      </w:pPr>
    </w:p>
    <w:p>
      <w:pPr>
        <w:ind w:right="140"/>
        <w:spacing w:after="0" w:line="308" w:lineRule="auto"/>
        <w:rPr>
          <w:sz w:val="20"/>
          <w:szCs w:val="20"/>
          <w:color w:val="auto"/>
        </w:rPr>
      </w:pPr>
      <w:r>
        <w:rPr>
          <w:rFonts w:ascii="Arial" w:cs="Arial" w:eastAsia="Arial" w:hAnsi="Arial"/>
          <w:sz w:val="17"/>
          <w:szCs w:val="17"/>
          <w:color w:val="auto"/>
        </w:rPr>
        <w:t>The following table sets forth certain items from our unaudited condensed consolidated statements of operations (dollars in thousands) for the three and nine months ended September 30, 2014 and 2013, respectively, together with the percentage of total revenue which each such item represents:</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04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spacing w:after="0"/>
              <w:rPr>
                <w:sz w:val="16"/>
                <w:szCs w:val="16"/>
                <w:color w:val="auto"/>
              </w:rPr>
            </w:pPr>
          </w:p>
        </w:tc>
        <w:tc>
          <w:tcPr>
            <w:tcW w:w="2260" w:type="dxa"/>
            <w:vAlign w:val="bottom"/>
            <w:tcBorders>
              <w:bottom w:val="single" w:sz="8" w:color="auto"/>
            </w:tcBorders>
            <w:gridSpan w:val="7"/>
          </w:tcPr>
          <w:p>
            <w:pPr>
              <w:ind w:left="80"/>
              <w:spacing w:after="0"/>
              <w:rPr>
                <w:sz w:val="20"/>
                <w:szCs w:val="20"/>
                <w:color w:val="auto"/>
              </w:rPr>
            </w:pPr>
            <w:r>
              <w:rPr>
                <w:rFonts w:ascii="Arial" w:cs="Arial" w:eastAsia="Arial" w:hAnsi="Arial"/>
                <w:sz w:val="14"/>
                <w:szCs w:val="14"/>
                <w:b w:val="1"/>
                <w:bCs w:val="1"/>
                <w:color w:val="auto"/>
                <w:w w:val="91"/>
              </w:rPr>
              <w:t>Three months ended September 30,</w:t>
            </w:r>
          </w:p>
        </w:tc>
        <w:tc>
          <w:tcPr>
            <w:tcW w:w="940" w:type="dxa"/>
            <w:vAlign w:val="bottom"/>
            <w:tcBorders>
              <w:bottom w:val="single" w:sz="8" w:color="auto"/>
            </w:tcBorders>
          </w:tcPr>
          <w:p>
            <w:pPr>
              <w:spacing w:after="0"/>
              <w:rPr>
                <w:sz w:val="16"/>
                <w:szCs w:val="16"/>
                <w:color w:val="auto"/>
              </w:rPr>
            </w:pPr>
          </w:p>
        </w:tc>
        <w:tc>
          <w:tcPr>
            <w:tcW w:w="2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spacing w:after="0"/>
              <w:rPr>
                <w:sz w:val="16"/>
                <w:szCs w:val="16"/>
                <w:color w:val="auto"/>
              </w:rPr>
            </w:pPr>
          </w:p>
        </w:tc>
        <w:tc>
          <w:tcPr>
            <w:tcW w:w="2220" w:type="dxa"/>
            <w:vAlign w:val="bottom"/>
            <w:tcBorders>
              <w:bottom w:val="single" w:sz="8" w:color="auto"/>
            </w:tcBorders>
            <w:gridSpan w:val="7"/>
          </w:tcPr>
          <w:p>
            <w:pPr>
              <w:ind w:left="100"/>
              <w:spacing w:after="0"/>
              <w:rPr>
                <w:sz w:val="20"/>
                <w:szCs w:val="20"/>
                <w:color w:val="auto"/>
              </w:rPr>
            </w:pPr>
            <w:r>
              <w:rPr>
                <w:rFonts w:ascii="Arial" w:cs="Arial" w:eastAsia="Arial" w:hAnsi="Arial"/>
                <w:sz w:val="14"/>
                <w:szCs w:val="14"/>
                <w:b w:val="1"/>
                <w:bCs w:val="1"/>
                <w:color w:val="auto"/>
                <w:w w:val="91"/>
              </w:rPr>
              <w:t>Nine months ended September 30,</w:t>
            </w:r>
          </w:p>
        </w:tc>
        <w:tc>
          <w:tcPr>
            <w:tcW w:w="960" w:type="dxa"/>
            <w:vAlign w:val="bottom"/>
            <w:tcBorders>
              <w:bottom w:val="single" w:sz="8" w:color="auto"/>
            </w:tcBorders>
          </w:tcPr>
          <w:p>
            <w:pPr>
              <w:spacing w:after="0"/>
              <w:rPr>
                <w:sz w:val="16"/>
                <w:szCs w:val="16"/>
                <w:color w:val="auto"/>
              </w:rPr>
            </w:pPr>
          </w:p>
        </w:tc>
      </w:tr>
      <w:tr>
        <w:trPr>
          <w:trHeight w:val="264"/>
        </w:trPr>
        <w:tc>
          <w:tcPr>
            <w:tcW w:w="304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680" w:type="dxa"/>
            <w:vAlign w:val="bottom"/>
            <w:tcBorders>
              <w:bottom w:val="single" w:sz="8" w:color="auto"/>
            </w:tcBorders>
          </w:tcPr>
          <w:p>
            <w:pPr>
              <w:jc w:val="right"/>
              <w:ind w:right="220"/>
              <w:spacing w:after="0"/>
              <w:rPr>
                <w:sz w:val="20"/>
                <w:szCs w:val="20"/>
                <w:color w:val="auto"/>
              </w:rPr>
            </w:pPr>
            <w:r>
              <w:rPr>
                <w:rFonts w:ascii="Arial" w:cs="Arial" w:eastAsia="Arial" w:hAnsi="Arial"/>
                <w:sz w:val="14"/>
                <w:szCs w:val="14"/>
                <w:b w:val="1"/>
                <w:bCs w:val="1"/>
                <w:color w:val="auto"/>
              </w:rPr>
              <w:t>2014</w:t>
            </w:r>
          </w:p>
        </w:tc>
        <w:tc>
          <w:tcPr>
            <w:tcW w:w="120" w:type="dxa"/>
            <w:vAlign w:val="bottom"/>
            <w:tcBorders>
              <w:bottom w:val="single" w:sz="8" w:color="CCEEFF"/>
            </w:tcBorders>
          </w:tcPr>
          <w:p>
            <w:pPr>
              <w:spacing w:after="0"/>
              <w:rPr>
                <w:sz w:val="22"/>
                <w:szCs w:val="22"/>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5"/>
              </w:rPr>
              <w:t>% of Revenue</w:t>
            </w:r>
          </w:p>
        </w:tc>
        <w:tc>
          <w:tcPr>
            <w:tcW w:w="10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680" w:type="dxa"/>
            <w:vAlign w:val="bottom"/>
            <w:tcBorders>
              <w:bottom w:val="single" w:sz="8" w:color="auto"/>
            </w:tcBorders>
          </w:tcPr>
          <w:p>
            <w:pPr>
              <w:jc w:val="right"/>
              <w:ind w:right="240"/>
              <w:spacing w:after="0"/>
              <w:rPr>
                <w:sz w:val="20"/>
                <w:szCs w:val="20"/>
                <w:color w:val="auto"/>
              </w:rPr>
            </w:pPr>
            <w:r>
              <w:rPr>
                <w:rFonts w:ascii="Arial" w:cs="Arial" w:eastAsia="Arial" w:hAnsi="Arial"/>
                <w:sz w:val="14"/>
                <w:szCs w:val="14"/>
                <w:b w:val="1"/>
                <w:bCs w:val="1"/>
                <w:color w:val="auto"/>
              </w:rPr>
              <w:t>2013</w:t>
            </w:r>
          </w:p>
        </w:tc>
        <w:tc>
          <w:tcPr>
            <w:tcW w:w="120" w:type="dxa"/>
            <w:vAlign w:val="bottom"/>
            <w:tcBorders>
              <w:bottom w:val="single" w:sz="8" w:color="CCEEFF"/>
            </w:tcBorders>
          </w:tcPr>
          <w:p>
            <w:pPr>
              <w:spacing w:after="0"/>
              <w:rPr>
                <w:sz w:val="22"/>
                <w:szCs w:val="22"/>
                <w:color w:val="auto"/>
              </w:rPr>
            </w:pPr>
          </w:p>
        </w:tc>
        <w:tc>
          <w:tcPr>
            <w:tcW w:w="6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1"/>
              </w:rPr>
              <w:t>% of Revenue</w:t>
            </w:r>
          </w:p>
        </w:tc>
        <w:tc>
          <w:tcPr>
            <w:tcW w:w="20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tcPr>
          <w:p>
            <w:pPr>
              <w:jc w:val="right"/>
              <w:ind w:right="240"/>
              <w:spacing w:after="0"/>
              <w:rPr>
                <w:sz w:val="20"/>
                <w:szCs w:val="20"/>
                <w:color w:val="auto"/>
              </w:rPr>
            </w:pPr>
            <w:r>
              <w:rPr>
                <w:rFonts w:ascii="Arial" w:cs="Arial" w:eastAsia="Arial" w:hAnsi="Arial"/>
                <w:sz w:val="14"/>
                <w:szCs w:val="14"/>
                <w:b w:val="1"/>
                <w:bCs w:val="1"/>
                <w:color w:val="auto"/>
              </w:rPr>
              <w:t>2014</w:t>
            </w:r>
          </w:p>
        </w:tc>
        <w:tc>
          <w:tcPr>
            <w:tcW w:w="100" w:type="dxa"/>
            <w:vAlign w:val="bottom"/>
            <w:tcBorders>
              <w:bottom w:val="single" w:sz="8" w:color="CCEEFF"/>
            </w:tcBorders>
          </w:tcPr>
          <w:p>
            <w:pPr>
              <w:spacing w:after="0"/>
              <w:rPr>
                <w:sz w:val="22"/>
                <w:szCs w:val="22"/>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5"/>
              </w:rPr>
              <w:t>% of Revenue</w:t>
            </w:r>
          </w:p>
        </w:tc>
        <w:tc>
          <w:tcPr>
            <w:tcW w:w="12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tcPr>
          <w:p>
            <w:pPr>
              <w:jc w:val="right"/>
              <w:ind w:right="240"/>
              <w:spacing w:after="0"/>
              <w:rPr>
                <w:sz w:val="20"/>
                <w:szCs w:val="20"/>
                <w:color w:val="auto"/>
              </w:rPr>
            </w:pPr>
            <w:r>
              <w:rPr>
                <w:rFonts w:ascii="Arial" w:cs="Arial" w:eastAsia="Arial" w:hAnsi="Arial"/>
                <w:sz w:val="14"/>
                <w:szCs w:val="14"/>
                <w:b w:val="1"/>
                <w:bCs w:val="1"/>
                <w:color w:val="auto"/>
              </w:rPr>
              <w:t>2013</w:t>
            </w:r>
          </w:p>
        </w:tc>
        <w:tc>
          <w:tcPr>
            <w:tcW w:w="100" w:type="dxa"/>
            <w:vAlign w:val="bottom"/>
            <w:tcBorders>
              <w:bottom w:val="single" w:sz="8" w:color="CCEEFF"/>
            </w:tcBorders>
          </w:tcPr>
          <w:p>
            <w:pPr>
              <w:spacing w:after="0"/>
              <w:rPr>
                <w:sz w:val="22"/>
                <w:szCs w:val="22"/>
                <w:color w:val="auto"/>
              </w:rPr>
            </w:pPr>
          </w:p>
        </w:tc>
        <w:tc>
          <w:tcPr>
            <w:tcW w:w="4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5"/>
              </w:rPr>
              <w:t>% of Revenue</w:t>
            </w:r>
          </w:p>
        </w:tc>
      </w:tr>
      <w:tr>
        <w:trPr>
          <w:trHeight w:val="236"/>
        </w:trPr>
        <w:tc>
          <w:tcPr>
            <w:tcW w:w="3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Revenue</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15,739</w:t>
            </w:r>
          </w:p>
        </w:tc>
        <w:tc>
          <w:tcPr>
            <w:tcW w:w="10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100%</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6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12,366</w:t>
            </w:r>
          </w:p>
        </w:tc>
        <w:tc>
          <w:tcPr>
            <w:tcW w:w="120" w:type="dxa"/>
            <w:vAlign w:val="bottom"/>
            <w:tcBorders>
              <w:bottom w:val="single" w:sz="8" w:color="CCEEFF"/>
            </w:tcBorders>
            <w:shd w:val="clear" w:color="auto" w:fill="CCEEFF"/>
          </w:tcPr>
          <w:p>
            <w:pPr>
              <w:spacing w:after="0"/>
              <w:rPr>
                <w:sz w:val="20"/>
                <w:szCs w:val="20"/>
                <w:color w:val="auto"/>
              </w:rPr>
            </w:pPr>
          </w:p>
        </w:tc>
        <w:tc>
          <w:tcPr>
            <w:tcW w:w="6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100 %</w:t>
            </w:r>
          </w:p>
        </w:tc>
        <w:tc>
          <w:tcPr>
            <w:tcW w:w="2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7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42,558</w:t>
            </w:r>
          </w:p>
        </w:tc>
        <w:tc>
          <w:tcPr>
            <w:tcW w:w="10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100%</w:t>
            </w: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7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35,362</w:t>
            </w:r>
          </w:p>
        </w:tc>
        <w:tc>
          <w:tcPr>
            <w:tcW w:w="100" w:type="dxa"/>
            <w:vAlign w:val="bottom"/>
            <w:tcBorders>
              <w:bottom w:val="single" w:sz="8" w:color="CCEEFF"/>
            </w:tcBorders>
            <w:shd w:val="clear" w:color="auto" w:fill="CCEEFF"/>
          </w:tcPr>
          <w:p>
            <w:pPr>
              <w:spacing w:after="0"/>
              <w:rPr>
                <w:sz w:val="20"/>
                <w:szCs w:val="20"/>
                <w:color w:val="auto"/>
              </w:rPr>
            </w:pPr>
          </w:p>
        </w:tc>
        <w:tc>
          <w:tcPr>
            <w:tcW w:w="4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100 %</w:t>
            </w:r>
          </w:p>
        </w:tc>
      </w:tr>
      <w:tr>
        <w:trPr>
          <w:trHeight w:val="237"/>
        </w:trPr>
        <w:tc>
          <w:tcPr>
            <w:tcW w:w="3040" w:type="dxa"/>
            <w:vAlign w:val="bottom"/>
          </w:tcPr>
          <w:p>
            <w:pPr>
              <w:ind w:left="40"/>
              <w:spacing w:after="0"/>
              <w:rPr>
                <w:sz w:val="20"/>
                <w:szCs w:val="20"/>
                <w:color w:val="auto"/>
              </w:rPr>
            </w:pPr>
            <w:r>
              <w:rPr>
                <w:rFonts w:ascii="Arial" w:cs="Arial" w:eastAsia="Arial" w:hAnsi="Arial"/>
                <w:sz w:val="16"/>
                <w:szCs w:val="16"/>
                <w:color w:val="auto"/>
              </w:rPr>
              <w:t>Cost of goods sold</w:t>
            </w:r>
          </w:p>
        </w:tc>
        <w:tc>
          <w:tcPr>
            <w:tcW w:w="200" w:type="dxa"/>
            <w:vAlign w:val="bottom"/>
          </w:tcPr>
          <w:p>
            <w:pPr>
              <w:spacing w:after="0"/>
              <w:rPr>
                <w:sz w:val="20"/>
                <w:szCs w:val="20"/>
                <w:color w:val="auto"/>
              </w:rPr>
            </w:pPr>
          </w:p>
        </w:tc>
        <w:tc>
          <w:tcPr>
            <w:tcW w:w="680" w:type="dxa"/>
            <w:vAlign w:val="bottom"/>
          </w:tcPr>
          <w:p>
            <w:pPr>
              <w:jc w:val="right"/>
              <w:ind w:right="20"/>
              <w:spacing w:after="0"/>
              <w:rPr>
                <w:sz w:val="20"/>
                <w:szCs w:val="20"/>
                <w:color w:val="auto"/>
              </w:rPr>
            </w:pPr>
            <w:r>
              <w:rPr>
                <w:rFonts w:ascii="Arial" w:cs="Arial" w:eastAsia="Arial" w:hAnsi="Arial"/>
                <w:sz w:val="16"/>
                <w:szCs w:val="16"/>
                <w:color w:val="auto"/>
              </w:rPr>
              <w:t>6,099</w:t>
            </w:r>
          </w:p>
        </w:tc>
        <w:tc>
          <w:tcPr>
            <w:tcW w:w="1060" w:type="dxa"/>
            <w:vAlign w:val="bottom"/>
            <w:gridSpan w:val="2"/>
          </w:tcPr>
          <w:p>
            <w:pPr>
              <w:jc w:val="right"/>
              <w:spacing w:after="0"/>
              <w:rPr>
                <w:sz w:val="20"/>
                <w:szCs w:val="20"/>
                <w:color w:val="auto"/>
              </w:rPr>
            </w:pPr>
            <w:r>
              <w:rPr>
                <w:rFonts w:ascii="Arial" w:cs="Arial" w:eastAsia="Arial" w:hAnsi="Arial"/>
                <w:sz w:val="16"/>
                <w:szCs w:val="16"/>
                <w:color w:val="auto"/>
              </w:rPr>
              <w:t>39%</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80" w:type="dxa"/>
            <w:vAlign w:val="bottom"/>
          </w:tcPr>
          <w:p>
            <w:pPr>
              <w:jc w:val="right"/>
              <w:ind w:right="20"/>
              <w:spacing w:after="0"/>
              <w:rPr>
                <w:sz w:val="20"/>
                <w:szCs w:val="20"/>
                <w:color w:val="auto"/>
              </w:rPr>
            </w:pPr>
            <w:r>
              <w:rPr>
                <w:rFonts w:ascii="Arial" w:cs="Arial" w:eastAsia="Arial" w:hAnsi="Arial"/>
                <w:sz w:val="16"/>
                <w:szCs w:val="16"/>
                <w:color w:val="auto"/>
              </w:rPr>
              <w:t>4,921</w:t>
            </w: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40 %</w:t>
            </w:r>
          </w:p>
        </w:tc>
        <w:tc>
          <w:tcPr>
            <w:tcW w:w="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00" w:type="dxa"/>
            <w:vAlign w:val="bottom"/>
          </w:tcPr>
          <w:p>
            <w:pPr>
              <w:jc w:val="right"/>
              <w:ind w:right="40"/>
              <w:spacing w:after="0"/>
              <w:rPr>
                <w:sz w:val="20"/>
                <w:szCs w:val="20"/>
                <w:color w:val="auto"/>
              </w:rPr>
            </w:pPr>
            <w:r>
              <w:rPr>
                <w:rFonts w:ascii="Arial" w:cs="Arial" w:eastAsia="Arial" w:hAnsi="Arial"/>
                <w:sz w:val="16"/>
                <w:szCs w:val="16"/>
                <w:color w:val="auto"/>
              </w:rPr>
              <w:t>17,152</w:t>
            </w:r>
          </w:p>
        </w:tc>
        <w:tc>
          <w:tcPr>
            <w:tcW w:w="1040" w:type="dxa"/>
            <w:vAlign w:val="bottom"/>
            <w:gridSpan w:val="2"/>
          </w:tcPr>
          <w:p>
            <w:pPr>
              <w:jc w:val="right"/>
              <w:spacing w:after="0"/>
              <w:rPr>
                <w:sz w:val="20"/>
                <w:szCs w:val="20"/>
                <w:color w:val="auto"/>
              </w:rPr>
            </w:pPr>
            <w:r>
              <w:rPr>
                <w:rFonts w:ascii="Arial" w:cs="Arial" w:eastAsia="Arial" w:hAnsi="Arial"/>
                <w:sz w:val="16"/>
                <w:szCs w:val="16"/>
                <w:color w:val="auto"/>
              </w:rPr>
              <w:t>40%</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00" w:type="dxa"/>
            <w:vAlign w:val="bottom"/>
          </w:tcPr>
          <w:p>
            <w:pPr>
              <w:jc w:val="right"/>
              <w:ind w:right="40"/>
              <w:spacing w:after="0"/>
              <w:rPr>
                <w:sz w:val="20"/>
                <w:szCs w:val="20"/>
                <w:color w:val="auto"/>
              </w:rPr>
            </w:pPr>
            <w:r>
              <w:rPr>
                <w:rFonts w:ascii="Arial" w:cs="Arial" w:eastAsia="Arial" w:hAnsi="Arial"/>
                <w:sz w:val="16"/>
                <w:szCs w:val="16"/>
                <w:color w:val="auto"/>
              </w:rPr>
              <w:t>14,054</w:t>
            </w: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40 %</w:t>
            </w:r>
          </w:p>
        </w:tc>
      </w:tr>
      <w:tr>
        <w:trPr>
          <w:trHeight w:val="33"/>
        </w:trPr>
        <w:tc>
          <w:tcPr>
            <w:tcW w:w="304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30"/>
        </w:trPr>
        <w:tc>
          <w:tcPr>
            <w:tcW w:w="304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6"/>
                <w:szCs w:val="16"/>
                <w:color w:val="auto"/>
              </w:rPr>
              <w:t>Gross profit</w:t>
            </w:r>
          </w:p>
        </w:tc>
        <w:tc>
          <w:tcPr>
            <w:tcW w:w="200" w:type="dxa"/>
            <w:vAlign w:val="bottom"/>
            <w:tcBorders>
              <w:bottom w:val="single" w:sz="8" w:color="CCEEFF"/>
            </w:tcBorders>
            <w:shd w:val="clear" w:color="auto" w:fill="CCEEFF"/>
          </w:tcPr>
          <w:p>
            <w:pPr>
              <w:spacing w:after="0"/>
              <w:rPr>
                <w:sz w:val="20"/>
                <w:szCs w:val="20"/>
                <w:color w:val="auto"/>
              </w:rPr>
            </w:pPr>
          </w:p>
        </w:tc>
        <w:tc>
          <w:tcPr>
            <w:tcW w:w="6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9,640</w:t>
            </w:r>
          </w:p>
        </w:tc>
        <w:tc>
          <w:tcPr>
            <w:tcW w:w="10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61%</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6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7,445</w:t>
            </w:r>
          </w:p>
        </w:tc>
        <w:tc>
          <w:tcPr>
            <w:tcW w:w="120" w:type="dxa"/>
            <w:vAlign w:val="bottom"/>
            <w:tcBorders>
              <w:bottom w:val="single" w:sz="8" w:color="CCEEFF"/>
            </w:tcBorders>
            <w:shd w:val="clear" w:color="auto" w:fill="CCEEFF"/>
          </w:tcPr>
          <w:p>
            <w:pPr>
              <w:spacing w:after="0"/>
              <w:rPr>
                <w:sz w:val="20"/>
                <w:szCs w:val="20"/>
                <w:color w:val="auto"/>
              </w:rPr>
            </w:pPr>
          </w:p>
        </w:tc>
        <w:tc>
          <w:tcPr>
            <w:tcW w:w="6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60 %</w:t>
            </w:r>
          </w:p>
        </w:tc>
        <w:tc>
          <w:tcPr>
            <w:tcW w:w="2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7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25,406</w:t>
            </w:r>
          </w:p>
        </w:tc>
        <w:tc>
          <w:tcPr>
            <w:tcW w:w="10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60%</w:t>
            </w: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7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21,308</w:t>
            </w:r>
          </w:p>
        </w:tc>
        <w:tc>
          <w:tcPr>
            <w:tcW w:w="100" w:type="dxa"/>
            <w:vAlign w:val="bottom"/>
            <w:tcBorders>
              <w:bottom w:val="single" w:sz="8" w:color="CCEEFF"/>
            </w:tcBorders>
            <w:shd w:val="clear" w:color="auto" w:fill="CCEEFF"/>
          </w:tcPr>
          <w:p>
            <w:pPr>
              <w:spacing w:after="0"/>
              <w:rPr>
                <w:sz w:val="20"/>
                <w:szCs w:val="20"/>
                <w:color w:val="auto"/>
              </w:rPr>
            </w:pPr>
          </w:p>
        </w:tc>
        <w:tc>
          <w:tcPr>
            <w:tcW w:w="4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60 %</w:t>
            </w:r>
          </w:p>
        </w:tc>
      </w:tr>
      <w:tr>
        <w:trPr>
          <w:trHeight w:val="237"/>
        </w:trPr>
        <w:tc>
          <w:tcPr>
            <w:tcW w:w="3040" w:type="dxa"/>
            <w:vAlign w:val="bottom"/>
          </w:tcPr>
          <w:p>
            <w:pPr>
              <w:ind w:left="40"/>
              <w:spacing w:after="0"/>
              <w:rPr>
                <w:sz w:val="20"/>
                <w:szCs w:val="20"/>
                <w:color w:val="auto"/>
              </w:rPr>
            </w:pPr>
            <w:r>
              <w:rPr>
                <w:rFonts w:ascii="Arial" w:cs="Arial" w:eastAsia="Arial" w:hAnsi="Arial"/>
                <w:sz w:val="16"/>
                <w:szCs w:val="16"/>
                <w:color w:val="auto"/>
              </w:rPr>
              <w:t>Sales and marketing</w:t>
            </w:r>
          </w:p>
        </w:tc>
        <w:tc>
          <w:tcPr>
            <w:tcW w:w="200" w:type="dxa"/>
            <w:vAlign w:val="bottom"/>
          </w:tcPr>
          <w:p>
            <w:pPr>
              <w:spacing w:after="0"/>
              <w:rPr>
                <w:sz w:val="20"/>
                <w:szCs w:val="20"/>
                <w:color w:val="auto"/>
              </w:rPr>
            </w:pPr>
          </w:p>
        </w:tc>
        <w:tc>
          <w:tcPr>
            <w:tcW w:w="680" w:type="dxa"/>
            <w:vAlign w:val="bottom"/>
          </w:tcPr>
          <w:p>
            <w:pPr>
              <w:jc w:val="right"/>
              <w:ind w:right="20"/>
              <w:spacing w:after="0"/>
              <w:rPr>
                <w:sz w:val="20"/>
                <w:szCs w:val="20"/>
                <w:color w:val="auto"/>
              </w:rPr>
            </w:pPr>
            <w:r>
              <w:rPr>
                <w:rFonts w:ascii="Arial" w:cs="Arial" w:eastAsia="Arial" w:hAnsi="Arial"/>
                <w:sz w:val="16"/>
                <w:szCs w:val="16"/>
                <w:color w:val="auto"/>
              </w:rPr>
              <w:t>2,791</w:t>
            </w:r>
          </w:p>
        </w:tc>
        <w:tc>
          <w:tcPr>
            <w:tcW w:w="1060" w:type="dxa"/>
            <w:vAlign w:val="bottom"/>
            <w:gridSpan w:val="2"/>
          </w:tcPr>
          <w:p>
            <w:pPr>
              <w:jc w:val="right"/>
              <w:spacing w:after="0"/>
              <w:rPr>
                <w:sz w:val="20"/>
                <w:szCs w:val="20"/>
                <w:color w:val="auto"/>
              </w:rPr>
            </w:pPr>
            <w:r>
              <w:rPr>
                <w:rFonts w:ascii="Arial" w:cs="Arial" w:eastAsia="Arial" w:hAnsi="Arial"/>
                <w:sz w:val="16"/>
                <w:szCs w:val="16"/>
                <w:color w:val="auto"/>
              </w:rPr>
              <w:t>18%</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80" w:type="dxa"/>
            <w:vAlign w:val="bottom"/>
          </w:tcPr>
          <w:p>
            <w:pPr>
              <w:jc w:val="right"/>
              <w:ind w:right="20"/>
              <w:spacing w:after="0"/>
              <w:rPr>
                <w:sz w:val="20"/>
                <w:szCs w:val="20"/>
                <w:color w:val="auto"/>
              </w:rPr>
            </w:pPr>
            <w:r>
              <w:rPr>
                <w:rFonts w:ascii="Arial" w:cs="Arial" w:eastAsia="Arial" w:hAnsi="Arial"/>
                <w:sz w:val="16"/>
                <w:szCs w:val="16"/>
                <w:color w:val="auto"/>
              </w:rPr>
              <w:t>2,220</w:t>
            </w: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18 %</w:t>
            </w:r>
          </w:p>
        </w:tc>
        <w:tc>
          <w:tcPr>
            <w:tcW w:w="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00" w:type="dxa"/>
            <w:vAlign w:val="bottom"/>
          </w:tcPr>
          <w:p>
            <w:pPr>
              <w:jc w:val="right"/>
              <w:ind w:right="40"/>
              <w:spacing w:after="0"/>
              <w:rPr>
                <w:sz w:val="20"/>
                <w:szCs w:val="20"/>
                <w:color w:val="auto"/>
              </w:rPr>
            </w:pPr>
            <w:r>
              <w:rPr>
                <w:rFonts w:ascii="Arial" w:cs="Arial" w:eastAsia="Arial" w:hAnsi="Arial"/>
                <w:sz w:val="16"/>
                <w:szCs w:val="16"/>
                <w:color w:val="auto"/>
              </w:rPr>
              <w:t>8,504</w:t>
            </w:r>
          </w:p>
        </w:tc>
        <w:tc>
          <w:tcPr>
            <w:tcW w:w="1040" w:type="dxa"/>
            <w:vAlign w:val="bottom"/>
            <w:gridSpan w:val="2"/>
          </w:tcPr>
          <w:p>
            <w:pPr>
              <w:jc w:val="right"/>
              <w:spacing w:after="0"/>
              <w:rPr>
                <w:sz w:val="20"/>
                <w:szCs w:val="20"/>
                <w:color w:val="auto"/>
              </w:rPr>
            </w:pPr>
            <w:r>
              <w:rPr>
                <w:rFonts w:ascii="Arial" w:cs="Arial" w:eastAsia="Arial" w:hAnsi="Arial"/>
                <w:sz w:val="16"/>
                <w:szCs w:val="16"/>
                <w:color w:val="auto"/>
              </w:rPr>
              <w:t>20%</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00" w:type="dxa"/>
            <w:vAlign w:val="bottom"/>
          </w:tcPr>
          <w:p>
            <w:pPr>
              <w:jc w:val="right"/>
              <w:ind w:right="40"/>
              <w:spacing w:after="0"/>
              <w:rPr>
                <w:sz w:val="20"/>
                <w:szCs w:val="20"/>
                <w:color w:val="auto"/>
              </w:rPr>
            </w:pPr>
            <w:r>
              <w:rPr>
                <w:rFonts w:ascii="Arial" w:cs="Arial" w:eastAsia="Arial" w:hAnsi="Arial"/>
                <w:sz w:val="16"/>
                <w:szCs w:val="16"/>
                <w:color w:val="auto"/>
              </w:rPr>
              <w:t>6,575</w:t>
            </w: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19 %</w:t>
            </w:r>
          </w:p>
        </w:tc>
      </w:tr>
      <w:tr>
        <w:trPr>
          <w:trHeight w:val="33"/>
        </w:trPr>
        <w:tc>
          <w:tcPr>
            <w:tcW w:w="3040" w:type="dxa"/>
            <w:vAlign w:val="bottom"/>
          </w:tcPr>
          <w:p>
            <w:pPr>
              <w:spacing w:after="0"/>
              <w:rPr>
                <w:sz w:val="2"/>
                <w:szCs w:val="2"/>
                <w:color w:val="auto"/>
              </w:rPr>
            </w:pPr>
          </w:p>
        </w:tc>
        <w:tc>
          <w:tcPr>
            <w:tcW w:w="2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 w:type="dxa"/>
            <w:vAlign w:val="bottom"/>
          </w:tcPr>
          <w:p>
            <w:pPr>
              <w:spacing w:after="0"/>
              <w:rPr>
                <w:sz w:val="2"/>
                <w:szCs w:val="2"/>
                <w:color w:val="auto"/>
              </w:rPr>
            </w:pPr>
          </w:p>
        </w:tc>
        <w:tc>
          <w:tcPr>
            <w:tcW w:w="940" w:type="dxa"/>
            <w:vAlign w:val="bottom"/>
          </w:tcPr>
          <w:p>
            <w:pPr>
              <w:spacing w:after="0"/>
              <w:rPr>
                <w:sz w:val="2"/>
                <w:szCs w:val="2"/>
                <w:color w:val="auto"/>
              </w:rPr>
            </w:pPr>
          </w:p>
        </w:tc>
        <w:tc>
          <w:tcPr>
            <w:tcW w:w="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3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Research and product development</w:t>
            </w:r>
          </w:p>
        </w:tc>
        <w:tc>
          <w:tcPr>
            <w:tcW w:w="20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2,315</w:t>
            </w:r>
          </w:p>
        </w:tc>
        <w:tc>
          <w:tcPr>
            <w:tcW w:w="10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15%</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1,788</w:t>
            </w:r>
          </w:p>
        </w:tc>
        <w:tc>
          <w:tcPr>
            <w:tcW w:w="12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14 %</w:t>
            </w:r>
          </w:p>
        </w:tc>
        <w:tc>
          <w:tcPr>
            <w:tcW w:w="2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6,886</w:t>
            </w:r>
          </w:p>
        </w:tc>
        <w:tc>
          <w:tcPr>
            <w:tcW w:w="10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16%</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5,497</w:t>
            </w:r>
          </w:p>
        </w:tc>
        <w:tc>
          <w:tcPr>
            <w:tcW w:w="10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16 %</w:t>
            </w:r>
          </w:p>
        </w:tc>
      </w:tr>
      <w:tr>
        <w:trPr>
          <w:trHeight w:val="237"/>
        </w:trPr>
        <w:tc>
          <w:tcPr>
            <w:tcW w:w="3040" w:type="dxa"/>
            <w:vAlign w:val="bottom"/>
          </w:tcPr>
          <w:p>
            <w:pPr>
              <w:ind w:left="40"/>
              <w:spacing w:after="0"/>
              <w:rPr>
                <w:sz w:val="20"/>
                <w:szCs w:val="20"/>
                <w:color w:val="auto"/>
              </w:rPr>
            </w:pPr>
            <w:r>
              <w:rPr>
                <w:rFonts w:ascii="Arial" w:cs="Arial" w:eastAsia="Arial" w:hAnsi="Arial"/>
                <w:sz w:val="16"/>
                <w:szCs w:val="16"/>
                <w:color w:val="auto"/>
              </w:rPr>
              <w:t>General and administrative</w:t>
            </w:r>
          </w:p>
        </w:tc>
        <w:tc>
          <w:tcPr>
            <w:tcW w:w="200" w:type="dxa"/>
            <w:vAlign w:val="bottom"/>
          </w:tcPr>
          <w:p>
            <w:pPr>
              <w:spacing w:after="0"/>
              <w:rPr>
                <w:sz w:val="20"/>
                <w:szCs w:val="20"/>
                <w:color w:val="auto"/>
              </w:rPr>
            </w:pPr>
          </w:p>
        </w:tc>
        <w:tc>
          <w:tcPr>
            <w:tcW w:w="680" w:type="dxa"/>
            <w:vAlign w:val="bottom"/>
          </w:tcPr>
          <w:p>
            <w:pPr>
              <w:jc w:val="right"/>
              <w:ind w:right="20"/>
              <w:spacing w:after="0"/>
              <w:rPr>
                <w:sz w:val="20"/>
                <w:szCs w:val="20"/>
                <w:color w:val="auto"/>
              </w:rPr>
            </w:pPr>
            <w:r>
              <w:rPr>
                <w:rFonts w:ascii="Arial" w:cs="Arial" w:eastAsia="Arial" w:hAnsi="Arial"/>
                <w:sz w:val="16"/>
                <w:szCs w:val="16"/>
                <w:color w:val="auto"/>
              </w:rPr>
              <w:t>1,487</w:t>
            </w:r>
          </w:p>
        </w:tc>
        <w:tc>
          <w:tcPr>
            <w:tcW w:w="1060" w:type="dxa"/>
            <w:vAlign w:val="bottom"/>
            <w:gridSpan w:val="2"/>
          </w:tcPr>
          <w:p>
            <w:pPr>
              <w:jc w:val="right"/>
              <w:spacing w:after="0"/>
              <w:rPr>
                <w:sz w:val="20"/>
                <w:szCs w:val="20"/>
                <w:color w:val="auto"/>
              </w:rPr>
            </w:pPr>
            <w:r>
              <w:rPr>
                <w:rFonts w:ascii="Arial" w:cs="Arial" w:eastAsia="Arial" w:hAnsi="Arial"/>
                <w:sz w:val="16"/>
                <w:szCs w:val="16"/>
                <w:color w:val="auto"/>
              </w:rPr>
              <w:t>9%</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80" w:type="dxa"/>
            <w:vAlign w:val="bottom"/>
          </w:tcPr>
          <w:p>
            <w:pPr>
              <w:jc w:val="right"/>
              <w:ind w:right="20"/>
              <w:spacing w:after="0"/>
              <w:rPr>
                <w:sz w:val="20"/>
                <w:szCs w:val="20"/>
                <w:color w:val="auto"/>
              </w:rPr>
            </w:pPr>
            <w:r>
              <w:rPr>
                <w:rFonts w:ascii="Arial" w:cs="Arial" w:eastAsia="Arial" w:hAnsi="Arial"/>
                <w:sz w:val="16"/>
                <w:szCs w:val="16"/>
                <w:color w:val="auto"/>
              </w:rPr>
              <w:t>1,405</w:t>
            </w: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11 %</w:t>
            </w:r>
          </w:p>
        </w:tc>
        <w:tc>
          <w:tcPr>
            <w:tcW w:w="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00" w:type="dxa"/>
            <w:vAlign w:val="bottom"/>
          </w:tcPr>
          <w:p>
            <w:pPr>
              <w:jc w:val="right"/>
              <w:ind w:right="40"/>
              <w:spacing w:after="0"/>
              <w:rPr>
                <w:sz w:val="20"/>
                <w:szCs w:val="20"/>
                <w:color w:val="auto"/>
              </w:rPr>
            </w:pPr>
            <w:r>
              <w:rPr>
                <w:rFonts w:ascii="Arial" w:cs="Arial" w:eastAsia="Arial" w:hAnsi="Arial"/>
                <w:sz w:val="16"/>
                <w:szCs w:val="16"/>
                <w:color w:val="auto"/>
              </w:rPr>
              <w:t>5,079</w:t>
            </w:r>
          </w:p>
        </w:tc>
        <w:tc>
          <w:tcPr>
            <w:tcW w:w="1040" w:type="dxa"/>
            <w:vAlign w:val="bottom"/>
            <w:gridSpan w:val="2"/>
          </w:tcPr>
          <w:p>
            <w:pPr>
              <w:jc w:val="right"/>
              <w:spacing w:after="0"/>
              <w:rPr>
                <w:sz w:val="20"/>
                <w:szCs w:val="20"/>
                <w:color w:val="auto"/>
              </w:rPr>
            </w:pPr>
            <w:r>
              <w:rPr>
                <w:rFonts w:ascii="Arial" w:cs="Arial" w:eastAsia="Arial" w:hAnsi="Arial"/>
                <w:sz w:val="16"/>
                <w:szCs w:val="16"/>
                <w:color w:val="auto"/>
              </w:rPr>
              <w:t>12%</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00" w:type="dxa"/>
            <w:vAlign w:val="bottom"/>
          </w:tcPr>
          <w:p>
            <w:pPr>
              <w:jc w:val="right"/>
              <w:ind w:right="40"/>
              <w:spacing w:after="0"/>
              <w:rPr>
                <w:sz w:val="20"/>
                <w:szCs w:val="20"/>
                <w:color w:val="auto"/>
              </w:rPr>
            </w:pPr>
            <w:r>
              <w:rPr>
                <w:rFonts w:ascii="Arial" w:cs="Arial" w:eastAsia="Arial" w:hAnsi="Arial"/>
                <w:sz w:val="16"/>
                <w:szCs w:val="16"/>
                <w:color w:val="auto"/>
              </w:rPr>
              <w:t>4,639</w:t>
            </w: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13 %</w:t>
            </w:r>
          </w:p>
        </w:tc>
      </w:tr>
      <w:tr>
        <w:trPr>
          <w:trHeight w:val="33"/>
        </w:trPr>
        <w:tc>
          <w:tcPr>
            <w:tcW w:w="3040" w:type="dxa"/>
            <w:vAlign w:val="bottom"/>
          </w:tcPr>
          <w:p>
            <w:pPr>
              <w:spacing w:after="0"/>
              <w:rPr>
                <w:sz w:val="2"/>
                <w:szCs w:val="2"/>
                <w:color w:val="auto"/>
              </w:rPr>
            </w:pPr>
          </w:p>
        </w:tc>
        <w:tc>
          <w:tcPr>
            <w:tcW w:w="2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 w:type="dxa"/>
            <w:vAlign w:val="bottom"/>
          </w:tcPr>
          <w:p>
            <w:pPr>
              <w:spacing w:after="0"/>
              <w:rPr>
                <w:sz w:val="2"/>
                <w:szCs w:val="2"/>
                <w:color w:val="auto"/>
              </w:rPr>
            </w:pPr>
          </w:p>
        </w:tc>
        <w:tc>
          <w:tcPr>
            <w:tcW w:w="940" w:type="dxa"/>
            <w:vAlign w:val="bottom"/>
          </w:tcPr>
          <w:p>
            <w:pPr>
              <w:spacing w:after="0"/>
              <w:rPr>
                <w:sz w:val="2"/>
                <w:szCs w:val="2"/>
                <w:color w:val="auto"/>
              </w:rPr>
            </w:pPr>
          </w:p>
        </w:tc>
        <w:tc>
          <w:tcPr>
            <w:tcW w:w="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70"/>
        </w:trPr>
        <w:tc>
          <w:tcPr>
            <w:tcW w:w="3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Proceeds from litigation</w:t>
            </w:r>
          </w:p>
        </w:tc>
        <w:tc>
          <w:tcPr>
            <w:tcW w:w="200" w:type="dxa"/>
            <w:vAlign w:val="bottom"/>
            <w:tcBorders>
              <w:bottom w:val="single" w:sz="8" w:color="CCEEFF"/>
            </w:tcBorders>
            <w:shd w:val="clear" w:color="auto" w:fill="CCEEFF"/>
          </w:tcPr>
          <w:p>
            <w:pPr>
              <w:spacing w:after="0"/>
              <w:rPr>
                <w:sz w:val="23"/>
                <w:szCs w:val="23"/>
                <w:color w:val="auto"/>
              </w:rPr>
            </w:pPr>
          </w:p>
        </w:tc>
        <w:tc>
          <w:tcPr>
            <w:tcW w:w="6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CCEEFF"/>
            </w:tcBorders>
            <w:shd w:val="clear" w:color="auto" w:fill="CCEEFF"/>
          </w:tcPr>
          <w:p>
            <w:pPr>
              <w:spacing w:after="0"/>
              <w:rPr>
                <w:sz w:val="23"/>
                <w:szCs w:val="23"/>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(272)</w:t>
            </w:r>
          </w:p>
        </w:tc>
        <w:tc>
          <w:tcPr>
            <w:tcW w:w="120" w:type="dxa"/>
            <w:vAlign w:val="bottom"/>
            <w:tcBorders>
              <w:bottom w:val="single" w:sz="8" w:color="CCEEFF"/>
            </w:tcBorders>
            <w:shd w:val="clear" w:color="auto" w:fill="CCEEFF"/>
          </w:tcPr>
          <w:p>
            <w:pPr>
              <w:spacing w:after="0"/>
              <w:rPr>
                <w:sz w:val="23"/>
                <w:szCs w:val="23"/>
                <w:color w:val="auto"/>
              </w:rPr>
            </w:pPr>
          </w:p>
        </w:tc>
        <w:tc>
          <w:tcPr>
            <w:tcW w:w="6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2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(272)</w:t>
            </w:r>
          </w:p>
        </w:tc>
        <w:tc>
          <w:tcPr>
            <w:tcW w:w="100" w:type="dxa"/>
            <w:vAlign w:val="bottom"/>
            <w:tcBorders>
              <w:bottom w:val="single" w:sz="8" w:color="CCEEFF"/>
            </w:tcBorders>
            <w:shd w:val="clear" w:color="auto" w:fill="CCEEFF"/>
          </w:tcPr>
          <w:p>
            <w:pPr>
              <w:spacing w:after="0"/>
              <w:rPr>
                <w:sz w:val="23"/>
                <w:szCs w:val="23"/>
                <w:color w:val="auto"/>
              </w:rPr>
            </w:pPr>
          </w:p>
        </w:tc>
        <w:tc>
          <w:tcPr>
            <w:tcW w:w="4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w:t>
            </w:r>
          </w:p>
        </w:tc>
      </w:tr>
      <w:tr>
        <w:trPr>
          <w:trHeight w:val="217"/>
        </w:trPr>
        <w:tc>
          <w:tcPr>
            <w:tcW w:w="3040" w:type="dxa"/>
            <w:vAlign w:val="bottom"/>
          </w:tcPr>
          <w:p>
            <w:pPr>
              <w:ind w:left="200"/>
              <w:spacing w:after="0"/>
              <w:rPr>
                <w:sz w:val="20"/>
                <w:szCs w:val="20"/>
                <w:color w:val="auto"/>
              </w:rPr>
            </w:pPr>
            <w:r>
              <w:rPr>
                <w:rFonts w:ascii="Arial" w:cs="Arial" w:eastAsia="Arial" w:hAnsi="Arial"/>
                <w:sz w:val="16"/>
                <w:szCs w:val="16"/>
                <w:color w:val="auto"/>
              </w:rPr>
              <w:t>Operating income</w:t>
            </w:r>
          </w:p>
        </w:tc>
        <w:tc>
          <w:tcPr>
            <w:tcW w:w="200" w:type="dxa"/>
            <w:vAlign w:val="bottom"/>
            <w:tcBorders>
              <w:top w:val="single" w:sz="8" w:color="auto"/>
            </w:tcBorders>
          </w:tcPr>
          <w:p>
            <w:pPr>
              <w:spacing w:after="0"/>
              <w:rPr>
                <w:sz w:val="18"/>
                <w:szCs w:val="18"/>
                <w:color w:val="auto"/>
              </w:rPr>
            </w:pPr>
          </w:p>
        </w:tc>
        <w:tc>
          <w:tcPr>
            <w:tcW w:w="68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3,047</w:t>
            </w:r>
          </w:p>
        </w:tc>
        <w:tc>
          <w:tcPr>
            <w:tcW w:w="120" w:type="dxa"/>
            <w:vAlign w:val="bottom"/>
          </w:tcPr>
          <w:p>
            <w:pPr>
              <w:spacing w:after="0"/>
              <w:rPr>
                <w:sz w:val="18"/>
                <w:szCs w:val="18"/>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19%</w:t>
            </w:r>
          </w:p>
        </w:tc>
        <w:tc>
          <w:tcPr>
            <w:tcW w:w="10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68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2,304</w:t>
            </w:r>
          </w:p>
        </w:tc>
        <w:tc>
          <w:tcPr>
            <w:tcW w:w="120" w:type="dxa"/>
            <w:vAlign w:val="bottom"/>
          </w:tcPr>
          <w:p>
            <w:pPr>
              <w:spacing w:after="0"/>
              <w:rPr>
                <w:sz w:val="18"/>
                <w:szCs w:val="18"/>
                <w:color w:val="auto"/>
              </w:rPr>
            </w:pPr>
          </w:p>
        </w:tc>
        <w:tc>
          <w:tcPr>
            <w:tcW w:w="6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19 %</w:t>
            </w:r>
          </w:p>
        </w:tc>
        <w:tc>
          <w:tcPr>
            <w:tcW w:w="20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jc w:val="right"/>
              <w:ind w:right="40"/>
              <w:spacing w:after="0"/>
              <w:rPr>
                <w:sz w:val="20"/>
                <w:szCs w:val="20"/>
                <w:color w:val="auto"/>
              </w:rPr>
            </w:pPr>
            <w:r>
              <w:rPr>
                <w:rFonts w:ascii="Arial" w:cs="Arial" w:eastAsia="Arial" w:hAnsi="Arial"/>
                <w:sz w:val="16"/>
                <w:szCs w:val="16"/>
                <w:color w:val="auto"/>
              </w:rPr>
              <w:t>4,937</w:t>
            </w:r>
          </w:p>
        </w:tc>
        <w:tc>
          <w:tcPr>
            <w:tcW w:w="100" w:type="dxa"/>
            <w:vAlign w:val="bottom"/>
          </w:tcPr>
          <w:p>
            <w:pPr>
              <w:spacing w:after="0"/>
              <w:rPr>
                <w:sz w:val="18"/>
                <w:szCs w:val="18"/>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12%</w:t>
            </w:r>
          </w:p>
        </w:tc>
        <w:tc>
          <w:tcPr>
            <w:tcW w:w="12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jc w:val="right"/>
              <w:ind w:right="40"/>
              <w:spacing w:after="0"/>
              <w:rPr>
                <w:sz w:val="20"/>
                <w:szCs w:val="20"/>
                <w:color w:val="auto"/>
              </w:rPr>
            </w:pPr>
            <w:r>
              <w:rPr>
                <w:rFonts w:ascii="Arial" w:cs="Arial" w:eastAsia="Arial" w:hAnsi="Arial"/>
                <w:sz w:val="16"/>
                <w:szCs w:val="16"/>
                <w:color w:val="auto"/>
              </w:rPr>
              <w:t>4,869</w:t>
            </w:r>
          </w:p>
        </w:tc>
        <w:tc>
          <w:tcPr>
            <w:tcW w:w="100" w:type="dxa"/>
            <w:vAlign w:val="bottom"/>
          </w:tcPr>
          <w:p>
            <w:pPr>
              <w:spacing w:after="0"/>
              <w:rPr>
                <w:sz w:val="18"/>
                <w:szCs w:val="18"/>
                <w:color w:val="auto"/>
              </w:rPr>
            </w:pPr>
          </w:p>
        </w:tc>
        <w:tc>
          <w:tcPr>
            <w:tcW w:w="4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14 %</w:t>
            </w:r>
          </w:p>
        </w:tc>
      </w:tr>
      <w:tr>
        <w:trPr>
          <w:trHeight w:val="33"/>
        </w:trPr>
        <w:tc>
          <w:tcPr>
            <w:tcW w:w="3040" w:type="dxa"/>
            <w:vAlign w:val="bottom"/>
          </w:tcPr>
          <w:p>
            <w:pPr>
              <w:spacing w:after="0"/>
              <w:rPr>
                <w:sz w:val="2"/>
                <w:szCs w:val="2"/>
                <w:color w:val="auto"/>
              </w:rPr>
            </w:pPr>
          </w:p>
        </w:tc>
        <w:tc>
          <w:tcPr>
            <w:tcW w:w="2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 w:type="dxa"/>
            <w:vAlign w:val="bottom"/>
          </w:tcPr>
          <w:p>
            <w:pPr>
              <w:spacing w:after="0"/>
              <w:rPr>
                <w:sz w:val="2"/>
                <w:szCs w:val="2"/>
                <w:color w:val="auto"/>
              </w:rPr>
            </w:pPr>
          </w:p>
        </w:tc>
        <w:tc>
          <w:tcPr>
            <w:tcW w:w="940" w:type="dxa"/>
            <w:vAlign w:val="bottom"/>
          </w:tcPr>
          <w:p>
            <w:pPr>
              <w:spacing w:after="0"/>
              <w:rPr>
                <w:sz w:val="2"/>
                <w:szCs w:val="2"/>
                <w:color w:val="auto"/>
              </w:rPr>
            </w:pPr>
          </w:p>
        </w:tc>
        <w:tc>
          <w:tcPr>
            <w:tcW w:w="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70"/>
        </w:trPr>
        <w:tc>
          <w:tcPr>
            <w:tcW w:w="3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Other income, net</w:t>
            </w:r>
          </w:p>
        </w:tc>
        <w:tc>
          <w:tcPr>
            <w:tcW w:w="200" w:type="dxa"/>
            <w:vAlign w:val="bottom"/>
            <w:tcBorders>
              <w:bottom w:val="single" w:sz="8" w:color="CCEEFF"/>
            </w:tcBorders>
            <w:shd w:val="clear" w:color="auto" w:fill="CCEEFF"/>
          </w:tcPr>
          <w:p>
            <w:pPr>
              <w:spacing w:after="0"/>
              <w:rPr>
                <w:sz w:val="23"/>
                <w:szCs w:val="23"/>
                <w:color w:val="auto"/>
              </w:rPr>
            </w:pPr>
          </w:p>
        </w:tc>
        <w:tc>
          <w:tcPr>
            <w:tcW w:w="6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70</w:t>
            </w:r>
          </w:p>
        </w:tc>
        <w:tc>
          <w:tcPr>
            <w:tcW w:w="10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0%</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6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85</w:t>
            </w:r>
          </w:p>
        </w:tc>
        <w:tc>
          <w:tcPr>
            <w:tcW w:w="120" w:type="dxa"/>
            <w:vAlign w:val="bottom"/>
            <w:tcBorders>
              <w:bottom w:val="single" w:sz="8" w:color="CCEEFF"/>
            </w:tcBorders>
            <w:shd w:val="clear" w:color="auto" w:fill="CCEEFF"/>
          </w:tcPr>
          <w:p>
            <w:pPr>
              <w:spacing w:after="0"/>
              <w:rPr>
                <w:sz w:val="23"/>
                <w:szCs w:val="23"/>
                <w:color w:val="auto"/>
              </w:rPr>
            </w:pPr>
          </w:p>
        </w:tc>
        <w:tc>
          <w:tcPr>
            <w:tcW w:w="6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1 %</w:t>
            </w:r>
          </w:p>
        </w:tc>
        <w:tc>
          <w:tcPr>
            <w:tcW w:w="2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215</w:t>
            </w:r>
          </w:p>
        </w:tc>
        <w:tc>
          <w:tcPr>
            <w:tcW w:w="10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117</w:t>
            </w:r>
          </w:p>
        </w:tc>
        <w:tc>
          <w:tcPr>
            <w:tcW w:w="100" w:type="dxa"/>
            <w:vAlign w:val="bottom"/>
            <w:tcBorders>
              <w:bottom w:val="single" w:sz="8" w:color="CCEEFF"/>
            </w:tcBorders>
            <w:shd w:val="clear" w:color="auto" w:fill="CCEEFF"/>
          </w:tcPr>
          <w:p>
            <w:pPr>
              <w:spacing w:after="0"/>
              <w:rPr>
                <w:sz w:val="23"/>
                <w:szCs w:val="23"/>
                <w:color w:val="auto"/>
              </w:rPr>
            </w:pPr>
          </w:p>
        </w:tc>
        <w:tc>
          <w:tcPr>
            <w:tcW w:w="4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0 %</w:t>
            </w:r>
          </w:p>
        </w:tc>
      </w:tr>
      <w:tr>
        <w:trPr>
          <w:trHeight w:val="217"/>
        </w:trPr>
        <w:tc>
          <w:tcPr>
            <w:tcW w:w="3040" w:type="dxa"/>
            <w:vAlign w:val="bottom"/>
          </w:tcPr>
          <w:p>
            <w:pPr>
              <w:ind w:left="200"/>
              <w:spacing w:after="0"/>
              <w:rPr>
                <w:sz w:val="20"/>
                <w:szCs w:val="20"/>
                <w:color w:val="auto"/>
              </w:rPr>
            </w:pPr>
            <w:r>
              <w:rPr>
                <w:rFonts w:ascii="Arial" w:cs="Arial" w:eastAsia="Arial" w:hAnsi="Arial"/>
                <w:sz w:val="16"/>
                <w:szCs w:val="16"/>
                <w:color w:val="auto"/>
              </w:rPr>
              <w:t>Income before income taxes</w:t>
            </w:r>
          </w:p>
        </w:tc>
        <w:tc>
          <w:tcPr>
            <w:tcW w:w="200" w:type="dxa"/>
            <w:vAlign w:val="bottom"/>
            <w:tcBorders>
              <w:top w:val="single" w:sz="8" w:color="auto"/>
            </w:tcBorders>
          </w:tcPr>
          <w:p>
            <w:pPr>
              <w:spacing w:after="0"/>
              <w:rPr>
                <w:sz w:val="18"/>
                <w:szCs w:val="18"/>
                <w:color w:val="auto"/>
              </w:rPr>
            </w:pPr>
          </w:p>
        </w:tc>
        <w:tc>
          <w:tcPr>
            <w:tcW w:w="68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3,117</w:t>
            </w:r>
          </w:p>
        </w:tc>
        <w:tc>
          <w:tcPr>
            <w:tcW w:w="120" w:type="dxa"/>
            <w:vAlign w:val="bottom"/>
          </w:tcPr>
          <w:p>
            <w:pPr>
              <w:spacing w:after="0"/>
              <w:rPr>
                <w:sz w:val="18"/>
                <w:szCs w:val="18"/>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20%</w:t>
            </w:r>
          </w:p>
        </w:tc>
        <w:tc>
          <w:tcPr>
            <w:tcW w:w="10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68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2,389</w:t>
            </w:r>
          </w:p>
        </w:tc>
        <w:tc>
          <w:tcPr>
            <w:tcW w:w="120" w:type="dxa"/>
            <w:vAlign w:val="bottom"/>
          </w:tcPr>
          <w:p>
            <w:pPr>
              <w:spacing w:after="0"/>
              <w:rPr>
                <w:sz w:val="18"/>
                <w:szCs w:val="18"/>
                <w:color w:val="auto"/>
              </w:rPr>
            </w:pPr>
          </w:p>
        </w:tc>
        <w:tc>
          <w:tcPr>
            <w:tcW w:w="6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19 %</w:t>
            </w:r>
          </w:p>
        </w:tc>
        <w:tc>
          <w:tcPr>
            <w:tcW w:w="20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jc w:val="right"/>
              <w:ind w:right="40"/>
              <w:spacing w:after="0"/>
              <w:rPr>
                <w:sz w:val="20"/>
                <w:szCs w:val="20"/>
                <w:color w:val="auto"/>
              </w:rPr>
            </w:pPr>
            <w:r>
              <w:rPr>
                <w:rFonts w:ascii="Arial" w:cs="Arial" w:eastAsia="Arial" w:hAnsi="Arial"/>
                <w:sz w:val="16"/>
                <w:szCs w:val="16"/>
                <w:color w:val="auto"/>
              </w:rPr>
              <w:t>5,152</w:t>
            </w:r>
          </w:p>
        </w:tc>
        <w:tc>
          <w:tcPr>
            <w:tcW w:w="100" w:type="dxa"/>
            <w:vAlign w:val="bottom"/>
          </w:tcPr>
          <w:p>
            <w:pPr>
              <w:spacing w:after="0"/>
              <w:rPr>
                <w:sz w:val="18"/>
                <w:szCs w:val="18"/>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12%</w:t>
            </w:r>
          </w:p>
        </w:tc>
        <w:tc>
          <w:tcPr>
            <w:tcW w:w="12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jc w:val="right"/>
              <w:ind w:right="40"/>
              <w:spacing w:after="0"/>
              <w:rPr>
                <w:sz w:val="20"/>
                <w:szCs w:val="20"/>
                <w:color w:val="auto"/>
              </w:rPr>
            </w:pPr>
            <w:r>
              <w:rPr>
                <w:rFonts w:ascii="Arial" w:cs="Arial" w:eastAsia="Arial" w:hAnsi="Arial"/>
                <w:sz w:val="16"/>
                <w:szCs w:val="16"/>
                <w:color w:val="auto"/>
              </w:rPr>
              <w:t>4,986</w:t>
            </w:r>
          </w:p>
        </w:tc>
        <w:tc>
          <w:tcPr>
            <w:tcW w:w="100" w:type="dxa"/>
            <w:vAlign w:val="bottom"/>
          </w:tcPr>
          <w:p>
            <w:pPr>
              <w:spacing w:after="0"/>
              <w:rPr>
                <w:sz w:val="18"/>
                <w:szCs w:val="18"/>
                <w:color w:val="auto"/>
              </w:rPr>
            </w:pPr>
          </w:p>
        </w:tc>
        <w:tc>
          <w:tcPr>
            <w:tcW w:w="4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14 %</w:t>
            </w:r>
          </w:p>
        </w:tc>
      </w:tr>
      <w:tr>
        <w:trPr>
          <w:trHeight w:val="33"/>
        </w:trPr>
        <w:tc>
          <w:tcPr>
            <w:tcW w:w="3040" w:type="dxa"/>
            <w:vAlign w:val="bottom"/>
          </w:tcPr>
          <w:p>
            <w:pPr>
              <w:spacing w:after="0"/>
              <w:rPr>
                <w:sz w:val="2"/>
                <w:szCs w:val="2"/>
                <w:color w:val="auto"/>
              </w:rPr>
            </w:pPr>
          </w:p>
        </w:tc>
        <w:tc>
          <w:tcPr>
            <w:tcW w:w="2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 w:type="dxa"/>
            <w:vAlign w:val="bottom"/>
          </w:tcPr>
          <w:p>
            <w:pPr>
              <w:spacing w:after="0"/>
              <w:rPr>
                <w:sz w:val="2"/>
                <w:szCs w:val="2"/>
                <w:color w:val="auto"/>
              </w:rPr>
            </w:pPr>
          </w:p>
        </w:tc>
        <w:tc>
          <w:tcPr>
            <w:tcW w:w="940" w:type="dxa"/>
            <w:vAlign w:val="bottom"/>
          </w:tcPr>
          <w:p>
            <w:pPr>
              <w:spacing w:after="0"/>
              <w:rPr>
                <w:sz w:val="2"/>
                <w:szCs w:val="2"/>
                <w:color w:val="auto"/>
              </w:rPr>
            </w:pPr>
          </w:p>
        </w:tc>
        <w:tc>
          <w:tcPr>
            <w:tcW w:w="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70"/>
        </w:trPr>
        <w:tc>
          <w:tcPr>
            <w:tcW w:w="3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Provision for income taxes</w:t>
            </w:r>
          </w:p>
        </w:tc>
        <w:tc>
          <w:tcPr>
            <w:tcW w:w="200" w:type="dxa"/>
            <w:vAlign w:val="bottom"/>
            <w:tcBorders>
              <w:bottom w:val="single" w:sz="8" w:color="CCEEFF"/>
            </w:tcBorders>
            <w:shd w:val="clear" w:color="auto" w:fill="CCEEFF"/>
          </w:tcPr>
          <w:p>
            <w:pPr>
              <w:spacing w:after="0"/>
              <w:rPr>
                <w:sz w:val="23"/>
                <w:szCs w:val="23"/>
                <w:color w:val="auto"/>
              </w:rPr>
            </w:pPr>
          </w:p>
        </w:tc>
        <w:tc>
          <w:tcPr>
            <w:tcW w:w="6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1,471</w:t>
            </w:r>
          </w:p>
        </w:tc>
        <w:tc>
          <w:tcPr>
            <w:tcW w:w="10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9%</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6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726</w:t>
            </w:r>
          </w:p>
        </w:tc>
        <w:tc>
          <w:tcPr>
            <w:tcW w:w="120" w:type="dxa"/>
            <w:vAlign w:val="bottom"/>
            <w:tcBorders>
              <w:bottom w:val="single" w:sz="8" w:color="CCEEFF"/>
            </w:tcBorders>
            <w:shd w:val="clear" w:color="auto" w:fill="CCEEFF"/>
          </w:tcPr>
          <w:p>
            <w:pPr>
              <w:spacing w:after="0"/>
              <w:rPr>
                <w:sz w:val="23"/>
                <w:szCs w:val="23"/>
                <w:color w:val="auto"/>
              </w:rPr>
            </w:pPr>
          </w:p>
        </w:tc>
        <w:tc>
          <w:tcPr>
            <w:tcW w:w="6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6 %</w:t>
            </w:r>
          </w:p>
        </w:tc>
        <w:tc>
          <w:tcPr>
            <w:tcW w:w="2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2,082</w:t>
            </w:r>
          </w:p>
        </w:tc>
        <w:tc>
          <w:tcPr>
            <w:tcW w:w="10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5%</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1,548</w:t>
            </w:r>
          </w:p>
        </w:tc>
        <w:tc>
          <w:tcPr>
            <w:tcW w:w="100" w:type="dxa"/>
            <w:vAlign w:val="bottom"/>
            <w:tcBorders>
              <w:bottom w:val="single" w:sz="8" w:color="CCEEFF"/>
            </w:tcBorders>
            <w:shd w:val="clear" w:color="auto" w:fill="CCEEFF"/>
          </w:tcPr>
          <w:p>
            <w:pPr>
              <w:spacing w:after="0"/>
              <w:rPr>
                <w:sz w:val="23"/>
                <w:szCs w:val="23"/>
                <w:color w:val="auto"/>
              </w:rPr>
            </w:pPr>
          </w:p>
        </w:tc>
        <w:tc>
          <w:tcPr>
            <w:tcW w:w="4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4 %</w:t>
            </w:r>
          </w:p>
        </w:tc>
      </w:tr>
      <w:tr>
        <w:trPr>
          <w:trHeight w:val="244"/>
        </w:trPr>
        <w:tc>
          <w:tcPr>
            <w:tcW w:w="3040" w:type="dxa"/>
            <w:vAlign w:val="bottom"/>
          </w:tcPr>
          <w:p>
            <w:pPr>
              <w:ind w:left="200"/>
              <w:spacing w:after="0"/>
              <w:rPr>
                <w:sz w:val="20"/>
                <w:szCs w:val="20"/>
                <w:color w:val="auto"/>
              </w:rPr>
            </w:pPr>
            <w:r>
              <w:rPr>
                <w:rFonts w:ascii="Arial" w:cs="Arial" w:eastAsia="Arial" w:hAnsi="Arial"/>
                <w:sz w:val="16"/>
                <w:szCs w:val="16"/>
                <w:color w:val="auto"/>
              </w:rPr>
              <w:t>Net income</w:t>
            </w: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680" w:type="dxa"/>
            <w:vAlign w:val="bottom"/>
            <w:tcBorders>
              <w:top w:val="single" w:sz="8" w:color="auto"/>
              <w:bottom w:val="single" w:sz="8" w:color="auto"/>
            </w:tcBorders>
          </w:tcPr>
          <w:p>
            <w:pPr>
              <w:jc w:val="right"/>
              <w:ind w:right="20"/>
              <w:spacing w:after="0"/>
              <w:rPr>
                <w:sz w:val="20"/>
                <w:szCs w:val="20"/>
                <w:color w:val="auto"/>
              </w:rPr>
            </w:pPr>
            <w:r>
              <w:rPr>
                <w:rFonts w:ascii="Arial" w:cs="Arial" w:eastAsia="Arial" w:hAnsi="Arial"/>
                <w:sz w:val="16"/>
                <w:szCs w:val="16"/>
                <w:color w:val="auto"/>
              </w:rPr>
              <w:t>1,646</w:t>
            </w:r>
          </w:p>
        </w:tc>
        <w:tc>
          <w:tcPr>
            <w:tcW w:w="120" w:type="dxa"/>
            <w:vAlign w:val="bottom"/>
          </w:tcPr>
          <w:p>
            <w:pPr>
              <w:spacing w:after="0"/>
              <w:rPr>
                <w:sz w:val="21"/>
                <w:szCs w:val="21"/>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10%</w:t>
            </w:r>
          </w:p>
        </w:tc>
        <w:tc>
          <w:tcPr>
            <w:tcW w:w="100" w:type="dxa"/>
            <w:vAlign w:val="bottom"/>
          </w:tcPr>
          <w:p>
            <w:pPr>
              <w:spacing w:after="0"/>
              <w:rPr>
                <w:sz w:val="21"/>
                <w:szCs w:val="21"/>
                <w:color w:val="auto"/>
              </w:rPr>
            </w:pPr>
          </w:p>
        </w:tc>
        <w:tc>
          <w:tcPr>
            <w:tcW w:w="24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680" w:type="dxa"/>
            <w:vAlign w:val="bottom"/>
            <w:tcBorders>
              <w:top w:val="single" w:sz="8" w:color="auto"/>
              <w:bottom w:val="single" w:sz="8" w:color="auto"/>
            </w:tcBorders>
          </w:tcPr>
          <w:p>
            <w:pPr>
              <w:jc w:val="right"/>
              <w:ind w:right="20"/>
              <w:spacing w:after="0"/>
              <w:rPr>
                <w:sz w:val="20"/>
                <w:szCs w:val="20"/>
                <w:color w:val="auto"/>
              </w:rPr>
            </w:pPr>
            <w:r>
              <w:rPr>
                <w:rFonts w:ascii="Arial" w:cs="Arial" w:eastAsia="Arial" w:hAnsi="Arial"/>
                <w:sz w:val="16"/>
                <w:szCs w:val="16"/>
                <w:color w:val="auto"/>
              </w:rPr>
              <w:t>1,663</w:t>
            </w:r>
          </w:p>
        </w:tc>
        <w:tc>
          <w:tcPr>
            <w:tcW w:w="120" w:type="dxa"/>
            <w:vAlign w:val="bottom"/>
          </w:tcPr>
          <w:p>
            <w:pPr>
              <w:spacing w:after="0"/>
              <w:rPr>
                <w:sz w:val="21"/>
                <w:szCs w:val="21"/>
                <w:color w:val="auto"/>
              </w:rPr>
            </w:pPr>
          </w:p>
        </w:tc>
        <w:tc>
          <w:tcPr>
            <w:tcW w:w="60" w:type="dxa"/>
            <w:vAlign w:val="bottom"/>
            <w:tcBorders>
              <w:top w:val="single" w:sz="8" w:color="auto"/>
              <w:bottom w:val="single" w:sz="8" w:color="auto"/>
            </w:tcBorders>
          </w:tcPr>
          <w:p>
            <w:pPr>
              <w:spacing w:after="0"/>
              <w:rPr>
                <w:sz w:val="21"/>
                <w:szCs w:val="21"/>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13 %</w:t>
            </w:r>
          </w:p>
        </w:tc>
        <w:tc>
          <w:tcPr>
            <w:tcW w:w="200" w:type="dxa"/>
            <w:vAlign w:val="bottom"/>
          </w:tcPr>
          <w:p>
            <w:pPr>
              <w:spacing w:after="0"/>
              <w:rPr>
                <w:sz w:val="21"/>
                <w:szCs w:val="21"/>
                <w:color w:val="auto"/>
              </w:rPr>
            </w:pPr>
          </w:p>
        </w:tc>
        <w:tc>
          <w:tcPr>
            <w:tcW w:w="22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700" w:type="dxa"/>
            <w:vAlign w:val="bottom"/>
            <w:tcBorders>
              <w:top w:val="single" w:sz="8" w:color="auto"/>
              <w:bottom w:val="single" w:sz="8" w:color="auto"/>
            </w:tcBorders>
          </w:tcPr>
          <w:p>
            <w:pPr>
              <w:jc w:val="right"/>
              <w:ind w:right="40"/>
              <w:spacing w:after="0"/>
              <w:rPr>
                <w:sz w:val="20"/>
                <w:szCs w:val="20"/>
                <w:color w:val="auto"/>
              </w:rPr>
            </w:pPr>
            <w:r>
              <w:rPr>
                <w:rFonts w:ascii="Arial" w:cs="Arial" w:eastAsia="Arial" w:hAnsi="Arial"/>
                <w:sz w:val="16"/>
                <w:szCs w:val="16"/>
                <w:color w:val="auto"/>
              </w:rPr>
              <w:t>3,070</w:t>
            </w:r>
          </w:p>
        </w:tc>
        <w:tc>
          <w:tcPr>
            <w:tcW w:w="100" w:type="dxa"/>
            <w:vAlign w:val="bottom"/>
          </w:tcPr>
          <w:p>
            <w:pPr>
              <w:spacing w:after="0"/>
              <w:rPr>
                <w:sz w:val="21"/>
                <w:szCs w:val="21"/>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7%</w:t>
            </w:r>
          </w:p>
        </w:tc>
        <w:tc>
          <w:tcPr>
            <w:tcW w:w="120" w:type="dxa"/>
            <w:vAlign w:val="bottom"/>
          </w:tcPr>
          <w:p>
            <w:pPr>
              <w:spacing w:after="0"/>
              <w:rPr>
                <w:sz w:val="21"/>
                <w:szCs w:val="21"/>
                <w:color w:val="auto"/>
              </w:rPr>
            </w:pPr>
          </w:p>
        </w:tc>
        <w:tc>
          <w:tcPr>
            <w:tcW w:w="22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700" w:type="dxa"/>
            <w:vAlign w:val="bottom"/>
            <w:tcBorders>
              <w:top w:val="single" w:sz="8" w:color="auto"/>
              <w:bottom w:val="single" w:sz="8" w:color="auto"/>
            </w:tcBorders>
          </w:tcPr>
          <w:p>
            <w:pPr>
              <w:jc w:val="right"/>
              <w:ind w:right="40"/>
              <w:spacing w:after="0"/>
              <w:rPr>
                <w:sz w:val="20"/>
                <w:szCs w:val="20"/>
                <w:color w:val="auto"/>
              </w:rPr>
            </w:pPr>
            <w:r>
              <w:rPr>
                <w:rFonts w:ascii="Arial" w:cs="Arial" w:eastAsia="Arial" w:hAnsi="Arial"/>
                <w:sz w:val="16"/>
                <w:szCs w:val="16"/>
                <w:color w:val="auto"/>
              </w:rPr>
              <w:t>3,438</w:t>
            </w:r>
          </w:p>
        </w:tc>
        <w:tc>
          <w:tcPr>
            <w:tcW w:w="100" w:type="dxa"/>
            <w:vAlign w:val="bottom"/>
          </w:tcPr>
          <w:p>
            <w:pPr>
              <w:spacing w:after="0"/>
              <w:rPr>
                <w:sz w:val="21"/>
                <w:szCs w:val="21"/>
                <w:color w:val="auto"/>
              </w:rPr>
            </w:pPr>
          </w:p>
        </w:tc>
        <w:tc>
          <w:tcPr>
            <w:tcW w:w="40" w:type="dxa"/>
            <w:vAlign w:val="bottom"/>
            <w:tcBorders>
              <w:top w:val="single" w:sz="8" w:color="auto"/>
              <w:bottom w:val="single" w:sz="8" w:color="auto"/>
            </w:tcBorders>
          </w:tcPr>
          <w:p>
            <w:pPr>
              <w:spacing w:after="0"/>
              <w:rPr>
                <w:sz w:val="21"/>
                <w:szCs w:val="21"/>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10 %</w:t>
            </w:r>
          </w:p>
        </w:tc>
      </w:tr>
      <w:tr>
        <w:trPr>
          <w:trHeight w:val="20"/>
        </w:trPr>
        <w:tc>
          <w:tcPr>
            <w:tcW w:w="30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125" w:right="239" w:bottom="1440" w:gutter="0" w:footer="0" w:header="0"/>
        </w:sectPr>
      </w:pPr>
    </w:p>
    <w:bookmarkStart w:id="16" w:name="page17"/>
    <w:bookmarkEnd w:id="16"/>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6"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MANAGEMENT’S DISCUSSION AND ANALYSIS OF FINANCIAL CONDITION AND RESULTS OF OPERATIONS</w:t>
      </w: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0000FF"/>
        </w:rPr>
        <w:t>Revenue</w:t>
      </w:r>
    </w:p>
    <w:p>
      <w:pPr>
        <w:spacing w:after="0" w:line="225" w:lineRule="exact"/>
        <w:rPr>
          <w:sz w:val="20"/>
          <w:szCs w:val="20"/>
          <w:color w:val="auto"/>
        </w:rPr>
      </w:pPr>
    </w:p>
    <w:p>
      <w:pPr>
        <w:ind w:right="40"/>
        <w:spacing w:after="0" w:line="302" w:lineRule="auto"/>
        <w:rPr>
          <w:sz w:val="20"/>
          <w:szCs w:val="20"/>
          <w:color w:val="auto"/>
        </w:rPr>
      </w:pPr>
      <w:r>
        <w:rPr>
          <w:rFonts w:ascii="Arial" w:cs="Arial" w:eastAsia="Arial" w:hAnsi="Arial"/>
          <w:sz w:val="16"/>
          <w:szCs w:val="16"/>
          <w:color w:val="auto"/>
        </w:rPr>
        <w:t>Revenue for the three months ended September 30, 2014 was approximately $15.7 million, an increase of 27% compared to revenue of approximately $12.4 million for the three months ended September 30, 2013. The increase in revenue was due to increased demand in all regions and especially in North America and EMEA (Europe, Middle East, and Africa). The increase is also attributable to contributions of products acquired through acquisitions and growth in demand for our microphone products and other professional audio products partially offset by decline in unified communications and video products revenue.</w:t>
      </w:r>
    </w:p>
    <w:p>
      <w:pPr>
        <w:spacing w:after="0" w:line="154" w:lineRule="exact"/>
        <w:rPr>
          <w:sz w:val="20"/>
          <w:szCs w:val="20"/>
          <w:color w:val="auto"/>
        </w:rPr>
      </w:pPr>
    </w:p>
    <w:p>
      <w:pPr>
        <w:ind w:right="200"/>
        <w:spacing w:after="0" w:line="302" w:lineRule="auto"/>
        <w:rPr>
          <w:sz w:val="20"/>
          <w:szCs w:val="20"/>
          <w:color w:val="auto"/>
        </w:rPr>
      </w:pPr>
      <w:r>
        <w:rPr>
          <w:rFonts w:ascii="Arial" w:cs="Arial" w:eastAsia="Arial" w:hAnsi="Arial"/>
          <w:sz w:val="16"/>
          <w:szCs w:val="16"/>
          <w:color w:val="auto"/>
        </w:rPr>
        <w:t>Revenue for the nine months ended September 30, 2014 was approximately $42.6 million, an increase of 20% compared to revenue of approximately $35.4 million for the nine months ended September 30, 2013. The revenue increase is primarily due to increased demand in North America and EMEA (Europe, Middle East, and Africa). The increase is also attributable to contributions of products acquired through acquisitions and growth in demand for our microphone products and other professional audio products partially offset by decline in unified communications and video products revenue.</w:t>
      </w:r>
    </w:p>
    <w:p>
      <w:pPr>
        <w:spacing w:after="0" w:line="154" w:lineRule="exact"/>
        <w:rPr>
          <w:sz w:val="20"/>
          <w:szCs w:val="20"/>
          <w:color w:val="auto"/>
        </w:rPr>
      </w:pPr>
    </w:p>
    <w:p>
      <w:pPr>
        <w:ind w:right="20"/>
        <w:spacing w:after="0" w:line="276" w:lineRule="auto"/>
        <w:rPr>
          <w:sz w:val="20"/>
          <w:szCs w:val="20"/>
          <w:color w:val="auto"/>
        </w:rPr>
      </w:pPr>
      <w:r>
        <w:rPr>
          <w:rFonts w:ascii="Arial" w:cs="Arial" w:eastAsia="Arial" w:hAnsi="Arial"/>
          <w:sz w:val="17"/>
          <w:szCs w:val="17"/>
          <w:color w:val="auto"/>
        </w:rPr>
        <w:t>The net change in deferred revenue for the three months ended September 30, 2014 and 2013 was a net decrease of deferred revenue of approximately $264 thousand and a net decrease of deferred revenue of approximately $195 thousand, respectively. The net change in deferred revenue for the nine months ended September 30, 2014 and 2013 was a net increase of deferred revenue of approximately $822 thousand and a net increase of deferred revenue of approximately $512 thousand, respectively. See “Critical Accounting Policies and Estimates” under “Revenue and Associated Allowance for Revenue Adjustments and Doubtful Accounts” below for a detailed discussion of deferred revenue.</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0000FF"/>
        </w:rPr>
        <w:t>Costs of Goods Sold and Gross Profit</w:t>
      </w:r>
    </w:p>
    <w:p>
      <w:pPr>
        <w:spacing w:after="0" w:line="225" w:lineRule="exact"/>
        <w:rPr>
          <w:sz w:val="20"/>
          <w:szCs w:val="20"/>
          <w:color w:val="auto"/>
        </w:rPr>
      </w:pPr>
    </w:p>
    <w:p>
      <w:pPr>
        <w:jc w:val="both"/>
        <w:ind w:right="100"/>
        <w:spacing w:after="0" w:line="264" w:lineRule="auto"/>
        <w:rPr>
          <w:sz w:val="20"/>
          <w:szCs w:val="20"/>
          <w:color w:val="auto"/>
        </w:rPr>
      </w:pPr>
      <w:r>
        <w:rPr>
          <w:rFonts w:ascii="Arial" w:cs="Arial" w:eastAsia="Arial" w:hAnsi="Arial"/>
          <w:sz w:val="18"/>
          <w:szCs w:val="18"/>
          <w:color w:val="auto"/>
        </w:rPr>
        <w:t>Costs of goods sold include expenses associated with finished goods purchased from electronic manufacturing services (EMS) providers, in addition to other operating expenses, which include material and direct labor, our manufacturing and operations organization, property and equipment depreciation, warranty expenses, freight expenses, royalty payments, and the allocation of overhead expenses.</w:t>
      </w:r>
    </w:p>
    <w:p>
      <w:pPr>
        <w:spacing w:after="0" w:line="181"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Our Gross Profit Margin (GPM), which is gross profit as a percentage of revenue, was 61% and 60% for the quarters ended September 30, 2014 and September 30, 2013, respectively. Our GPM was 60% and 60% for the nine months ended September 30, 2014 and 2013, respectively. The increase in gross margin for the quarter is primarily due to a reduction in costs of goods sold resulting from reduced overhead costs associated with such inventories sold, as well as increased performance of higher margin products.</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0000FF"/>
        </w:rPr>
        <w:t>Operating Expenses</w:t>
      </w:r>
    </w:p>
    <w:p>
      <w:pPr>
        <w:spacing w:after="0" w:line="185" w:lineRule="exact"/>
        <w:rPr>
          <w:sz w:val="20"/>
          <w:szCs w:val="20"/>
          <w:color w:val="auto"/>
        </w:rPr>
      </w:pPr>
    </w:p>
    <w:p>
      <w:pPr>
        <w:ind w:right="280"/>
        <w:spacing w:after="0" w:line="286" w:lineRule="auto"/>
        <w:rPr>
          <w:sz w:val="20"/>
          <w:szCs w:val="20"/>
          <w:color w:val="auto"/>
        </w:rPr>
      </w:pPr>
      <w:r>
        <w:rPr>
          <w:rFonts w:ascii="Arial" w:cs="Arial" w:eastAsia="Arial" w:hAnsi="Arial"/>
          <w:sz w:val="17"/>
          <w:szCs w:val="17"/>
          <w:color w:val="auto"/>
        </w:rPr>
        <w:t>Operating expenses, excluding proceeds from litigation, for the quarter ended September 30, 2014 increased by approximately $1.2 million to $6.6 million compared to $5.4 million for the quarter ended September 30, 2013. Operating expenses for the nine months ended September 30, 2014 increased by approximately $3.8 million to $20.5 million compared to $16.7 million for the nine months ended September 30, 2013.</w:t>
      </w:r>
    </w:p>
    <w:p>
      <w:pPr>
        <w:spacing w:after="0" w:line="166" w:lineRule="exact"/>
        <w:rPr>
          <w:sz w:val="20"/>
          <w:szCs w:val="20"/>
          <w:color w:val="auto"/>
        </w:rPr>
      </w:pPr>
    </w:p>
    <w:p>
      <w:pPr>
        <w:spacing w:after="0" w:line="277" w:lineRule="auto"/>
        <w:rPr>
          <w:sz w:val="20"/>
          <w:szCs w:val="20"/>
          <w:color w:val="auto"/>
        </w:rPr>
      </w:pPr>
      <w:r>
        <w:rPr>
          <w:rFonts w:ascii="Arial" w:cs="Arial" w:eastAsia="Arial" w:hAnsi="Arial"/>
          <w:sz w:val="18"/>
          <w:szCs w:val="18"/>
          <w:i w:val="1"/>
          <w:iCs w:val="1"/>
          <w:color w:val="auto"/>
        </w:rPr>
        <w:t xml:space="preserve">Sales and Marketing (“S&amp;M”) Expenses. </w:t>
      </w:r>
      <w:r>
        <w:rPr>
          <w:rFonts w:ascii="Arial" w:cs="Arial" w:eastAsia="Arial" w:hAnsi="Arial"/>
          <w:sz w:val="18"/>
          <w:szCs w:val="18"/>
          <w:color w:val="auto"/>
        </w:rPr>
        <w:t>S&amp;M expenses include sales, customer service, and marketing expenses, such as employee-related costs, allocations</w:t>
      </w:r>
      <w:r>
        <w:rPr>
          <w:rFonts w:ascii="Arial" w:cs="Arial" w:eastAsia="Arial" w:hAnsi="Arial"/>
          <w:sz w:val="18"/>
          <w:szCs w:val="18"/>
          <w:i w:val="1"/>
          <w:iCs w:val="1"/>
          <w:color w:val="auto"/>
        </w:rPr>
        <w:t xml:space="preserve"> </w:t>
      </w:r>
      <w:r>
        <w:rPr>
          <w:rFonts w:ascii="Arial" w:cs="Arial" w:eastAsia="Arial" w:hAnsi="Arial"/>
          <w:sz w:val="18"/>
          <w:szCs w:val="18"/>
          <w:color w:val="auto"/>
        </w:rPr>
        <w:t>of overhead expenses, trade shows, and other advertising and sales expenses.</w:t>
      </w:r>
    </w:p>
    <w:p>
      <w:pPr>
        <w:spacing w:after="0" w:line="170" w:lineRule="exact"/>
        <w:rPr>
          <w:sz w:val="20"/>
          <w:szCs w:val="20"/>
          <w:color w:val="auto"/>
        </w:rPr>
      </w:pPr>
    </w:p>
    <w:p>
      <w:pPr>
        <w:ind w:right="20"/>
        <w:spacing w:after="0" w:line="276" w:lineRule="auto"/>
        <w:rPr>
          <w:sz w:val="20"/>
          <w:szCs w:val="20"/>
          <w:color w:val="auto"/>
        </w:rPr>
      </w:pPr>
      <w:r>
        <w:rPr>
          <w:rFonts w:ascii="Arial" w:cs="Arial" w:eastAsia="Arial" w:hAnsi="Arial"/>
          <w:sz w:val="17"/>
          <w:szCs w:val="17"/>
          <w:color w:val="auto"/>
        </w:rPr>
        <w:t>S&amp;M expenses of approximately $2.8 million for the quarter ended September 30, 2014 increased $571 thousand, or 26%, when compared to S&amp;M expenses of approximately $2.2 million for the quarter ended September 30, 2013. S&amp;M expenses of approximately $8.5 million for the nine months ended September 30, 2014 increased $1.9 million, or 29%, when compared to S&amp;M expenses of approximately$6.6 million for the nine months ended September 30, 2013. The quarterly and year-to-date S&amp;M expenses increased mainly due to increased commissions to sales persons and independent reps, increased headcount, additional expenses due to acquired operations and increase in trade-show related expenses.</w:t>
      </w:r>
    </w:p>
    <w:p>
      <w:pPr>
        <w:spacing w:after="0" w:line="173"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i w:val="1"/>
          <w:iCs w:val="1"/>
          <w:color w:val="auto"/>
        </w:rPr>
        <w:t xml:space="preserve">Research and Development (“R&amp;D”) Expenses. </w:t>
      </w:r>
      <w:r>
        <w:rPr>
          <w:rFonts w:ascii="Arial" w:cs="Arial" w:eastAsia="Arial" w:hAnsi="Arial"/>
          <w:sz w:val="18"/>
          <w:szCs w:val="18"/>
          <w:color w:val="auto"/>
        </w:rPr>
        <w:t>R&amp;D expenses include research and development and product line management, including employee-related</w:t>
      </w:r>
      <w:r>
        <w:rPr>
          <w:rFonts w:ascii="Arial" w:cs="Arial" w:eastAsia="Arial" w:hAnsi="Arial"/>
          <w:sz w:val="18"/>
          <w:szCs w:val="18"/>
          <w:i w:val="1"/>
          <w:iCs w:val="1"/>
          <w:color w:val="auto"/>
        </w:rPr>
        <w:t xml:space="preserve"> </w:t>
      </w:r>
      <w:r>
        <w:rPr>
          <w:rFonts w:ascii="Arial" w:cs="Arial" w:eastAsia="Arial" w:hAnsi="Arial"/>
          <w:sz w:val="18"/>
          <w:szCs w:val="18"/>
          <w:color w:val="auto"/>
        </w:rPr>
        <w:t>costs, outside services, expensed materials and depreciation, and an allocation of overhead expenses.</w:t>
      </w:r>
    </w:p>
    <w:p>
      <w:pPr>
        <w:spacing w:after="0" w:line="170"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R&amp;D expenses of approximately $2.3 million for the quarter ended September 30, 2014 increased by $0.5 million, or 29%, when compared to R&amp;D expenses of approximately $1.8 million for the quarter ended September 30, 2013. R&amp;D expenses of</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125" w:right="239" w:bottom="1440" w:gutter="0" w:footer="0" w:header="0"/>
        </w:sectPr>
      </w:pPr>
    </w:p>
    <w:bookmarkStart w:id="17" w:name="page18"/>
    <w:bookmarkEnd w:id="17"/>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6" w:lineRule="exact"/>
        <w:rPr>
          <w:sz w:val="20"/>
          <w:szCs w:val="20"/>
          <w:color w:val="auto"/>
        </w:rPr>
      </w:pPr>
    </w:p>
    <w:p>
      <w:pPr>
        <w:jc w:val="center"/>
        <w:ind w:right="-39"/>
        <w:spacing w:after="0"/>
        <w:rPr>
          <w:sz w:val="20"/>
          <w:szCs w:val="20"/>
          <w:color w:val="auto"/>
        </w:rPr>
      </w:pPr>
      <w:r>
        <w:rPr>
          <w:rFonts w:ascii="Arial" w:cs="Arial" w:eastAsia="Arial" w:hAnsi="Arial"/>
          <w:sz w:val="16"/>
          <w:szCs w:val="16"/>
          <w:b w:val="1"/>
          <w:bCs w:val="1"/>
          <w:color w:val="auto"/>
        </w:rPr>
        <w:t>MANAGEMENT’S DISCUSSION AND ANALYSIS OF FINANCIAL CONDITION AND RESULTS OF OPERATIONS</w:t>
      </w:r>
    </w:p>
    <w:p>
      <w:pPr>
        <w:spacing w:after="0" w:line="200" w:lineRule="exact"/>
        <w:rPr>
          <w:sz w:val="20"/>
          <w:szCs w:val="20"/>
          <w:color w:val="auto"/>
        </w:rPr>
      </w:pPr>
    </w:p>
    <w:p>
      <w:pPr>
        <w:spacing w:after="0" w:line="264" w:lineRule="exact"/>
        <w:rPr>
          <w:sz w:val="20"/>
          <w:szCs w:val="20"/>
          <w:color w:val="auto"/>
        </w:rPr>
      </w:pPr>
    </w:p>
    <w:p>
      <w:pPr>
        <w:ind w:right="140"/>
        <w:spacing w:after="0" w:line="264" w:lineRule="auto"/>
        <w:rPr>
          <w:sz w:val="20"/>
          <w:szCs w:val="20"/>
          <w:color w:val="auto"/>
        </w:rPr>
      </w:pPr>
      <w:r>
        <w:rPr>
          <w:rFonts w:ascii="Arial" w:cs="Arial" w:eastAsia="Arial" w:hAnsi="Arial"/>
          <w:sz w:val="18"/>
          <w:szCs w:val="18"/>
          <w:color w:val="auto"/>
        </w:rPr>
        <w:t>approximately $6.9 million for the nine months ended September 30, 2014 increased by $1.4 million, or 25%, when compared to R&amp;D expenses of approximately $5.5 million for the nine months ended September 30, 2013. The changes in quarterly and year-to-date expenses were mainly due to increase in R&amp;D project costs and increased expenses related to acquired operations.</w:t>
      </w:r>
    </w:p>
    <w:p>
      <w:pPr>
        <w:spacing w:after="0" w:line="181" w:lineRule="exact"/>
        <w:rPr>
          <w:sz w:val="20"/>
          <w:szCs w:val="20"/>
          <w:color w:val="auto"/>
        </w:rPr>
      </w:pPr>
    </w:p>
    <w:p>
      <w:pPr>
        <w:ind w:right="80"/>
        <w:spacing w:after="0" w:line="308" w:lineRule="auto"/>
        <w:rPr>
          <w:sz w:val="20"/>
          <w:szCs w:val="20"/>
          <w:color w:val="auto"/>
        </w:rPr>
      </w:pPr>
      <w:r>
        <w:rPr>
          <w:rFonts w:ascii="Arial" w:cs="Arial" w:eastAsia="Arial" w:hAnsi="Arial"/>
          <w:sz w:val="17"/>
          <w:szCs w:val="17"/>
          <w:i w:val="1"/>
          <w:iCs w:val="1"/>
          <w:color w:val="auto"/>
        </w:rPr>
        <w:t xml:space="preserve">General and Administrative (“G&amp;A”) Expenses. </w:t>
      </w:r>
      <w:r>
        <w:rPr>
          <w:rFonts w:ascii="Arial" w:cs="Arial" w:eastAsia="Arial" w:hAnsi="Arial"/>
          <w:sz w:val="17"/>
          <w:szCs w:val="17"/>
          <w:color w:val="auto"/>
        </w:rPr>
        <w:t>G&amp;A expenses include employee-related costs, professional service fees, allocations of overhead expenses,</w:t>
      </w:r>
      <w:r>
        <w:rPr>
          <w:rFonts w:ascii="Arial" w:cs="Arial" w:eastAsia="Arial" w:hAnsi="Arial"/>
          <w:sz w:val="17"/>
          <w:szCs w:val="17"/>
          <w:i w:val="1"/>
          <w:iCs w:val="1"/>
          <w:color w:val="auto"/>
        </w:rPr>
        <w:t xml:space="preserve"> </w:t>
      </w:r>
      <w:r>
        <w:rPr>
          <w:rFonts w:ascii="Arial" w:cs="Arial" w:eastAsia="Arial" w:hAnsi="Arial"/>
          <w:sz w:val="17"/>
          <w:szCs w:val="17"/>
          <w:color w:val="auto"/>
        </w:rPr>
        <w:t>litigation costs, and corporate administrative costs, including finance, information technology and human resources costs.</w:t>
      </w:r>
    </w:p>
    <w:p>
      <w:pPr>
        <w:spacing w:after="0" w:line="147"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G&amp;A expenses of approximately $1.5 million for the quarter ended September 30, 2014 increased by $82 thousand, or 6%, when compared to G&amp;A expenses of approximately $1.4 million for the quarter ended September 30, 2013. G&amp;A expenses of approximately $5.1 million for the nine months ended September 30, 2014 increased by $440 thousand, or 9%, when compared to G&amp;A expenses of approximately $4.6 million for the nine months ended September 30, 2013. The quarterly and year-to-date G&amp;A expenses increased mainly due to increased amortization expenses on acquired intangible assets, expenses on acquired operations, acquisition related expenses and accounting and auditing expenses. These increases were partially offset by reduction in legal expenses and recruitment related expenses.</w:t>
      </w:r>
    </w:p>
    <w:p>
      <w:pPr>
        <w:spacing w:after="0" w:line="193"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During the nine months ended September 30, 2014, we continued to incur significant legal expenses due to various legal proceedings explained in detail in our Form 10-K for the year ended December 31, 2013.</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0000FF"/>
        </w:rPr>
        <w:t>Other income (expense), net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Other income (expense), net, includes interest income, interest expense, and currency gain (loss).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0000FF"/>
        </w:rPr>
        <w:t>Provision for income taxes</w:t>
      </w:r>
    </w:p>
    <w:p>
      <w:pPr>
        <w:spacing w:after="0" w:line="225" w:lineRule="exact"/>
        <w:rPr>
          <w:sz w:val="20"/>
          <w:szCs w:val="20"/>
          <w:color w:val="auto"/>
        </w:rPr>
      </w:pPr>
    </w:p>
    <w:p>
      <w:pPr>
        <w:ind w:right="20"/>
        <w:spacing w:after="0" w:line="276" w:lineRule="auto"/>
        <w:rPr>
          <w:sz w:val="20"/>
          <w:szCs w:val="20"/>
          <w:color w:val="auto"/>
        </w:rPr>
      </w:pPr>
      <w:r>
        <w:rPr>
          <w:rFonts w:ascii="Arial" w:cs="Arial" w:eastAsia="Arial" w:hAnsi="Arial"/>
          <w:sz w:val="17"/>
          <w:szCs w:val="17"/>
          <w:color w:val="auto"/>
        </w:rPr>
        <w:t>During the quarter ended September 30, 2014, we accrued income taxes at the expected annualized rate of 35.7% as compared to an annualized rate of 32.9% used for the accrual made for the quarter ended September 30, 2013. The 2.8% increase in the expected annualized rate was primarily due to the U.S. research and development tax credit, which was in effect for the quarter ended September 30, 2013, but has not been extended as of September 30, 2014. In addition, a discrete tax expense of $24 thousand related to adjustments to prior-year research and development tax credits, offset by tax benefits of share-based compensation, was recognized during the nine months ended September 30, 2014.</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29"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As of September 30, 2014, our cash, cash equivalents, and marketable securities were approximately $34.3 million, a decrease of $8.4 million compared to cash and cash equivalents of approximately $42.7 million as of December 31, 2013.</w:t>
      </w:r>
    </w:p>
    <w:p>
      <w:pPr>
        <w:spacing w:after="0" w:line="170" w:lineRule="exact"/>
        <w:rPr>
          <w:sz w:val="20"/>
          <w:szCs w:val="20"/>
          <w:color w:val="auto"/>
        </w:rPr>
      </w:pPr>
    </w:p>
    <w:p>
      <w:pPr>
        <w:ind w:right="20"/>
        <w:spacing w:after="0" w:line="276" w:lineRule="auto"/>
        <w:rPr>
          <w:sz w:val="20"/>
          <w:szCs w:val="20"/>
          <w:color w:val="auto"/>
        </w:rPr>
      </w:pPr>
      <w:r>
        <w:rPr>
          <w:rFonts w:ascii="Arial" w:cs="Arial" w:eastAsia="Arial" w:hAnsi="Arial"/>
          <w:sz w:val="17"/>
          <w:szCs w:val="17"/>
          <w:color w:val="auto"/>
        </w:rPr>
        <w:t>Net cash provided by operating activities was approximately $5.8 million during the nine months ended September 30, 2014, an increase of $15.3 million compared to approximately $9.5 million in cash used in operating activities during the nine months ended September 30, 2013. The increase in cash flow was primarily due to absence of a large tax payment in the first half of 2014. In the first quarter of 2013 we paid income taxes related to arbitration settlement proceeds received in the last quarter of 2012. The increase in cash flow was also due to the timing of receipts and payments of working capital, which include accounts receivable, accounts payable, accrued expenses, inventories, and prepaid expenses and other assets.</w:t>
      </w:r>
    </w:p>
    <w:p>
      <w:pPr>
        <w:spacing w:after="0" w:line="173"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Net cash used in investing activities during the nine months ended September 30, 2014 was approximately $13.5 million, which consisted of the payments for the acquisition of the business of Sabine of $8.0 million, payments related to the acquiring of the Spontania product line of $5.1 million and approximately $496 thousand in payments towards purchases of equipment. Net cash used in investing activities during the nine months ended September 30, 2013 was approximately $26.1 million, which includes proximately $25.4 million in payments towards the purchase of marketable securities and approximately $723 thousand towards the purchase of equipment.</w:t>
      </w:r>
    </w:p>
    <w:p>
      <w:pPr>
        <w:spacing w:after="0" w:line="188"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Net cash used in financing activities during the nine months ended September 30, 2014 was approximately $593 thousand, which consisted of the acquisition of outstanding stock totaling $1.9 million, offset by $1.3 million in proceeds received through exercise of stock options and a net $37 thousand in tax benefits from the exercise of stock options and stock registration costs. During the nine months ended September 30, 2013, net cash used in financing activities was $1,659 thousand, which consisted of the acquisition of outstanding stock totaling $2.2 million, offset by $532 thousand in proceeds and tax benefits received through the exercise of stock options.</w:t>
      </w:r>
    </w:p>
    <w:p>
      <w:pPr>
        <w:spacing w:after="0" w:line="21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380"/>
          </w:cols>
          <w:pgMar w:left="240" w:top="125" w:right="279" w:bottom="1440" w:gutter="0" w:footer="0" w:header="0"/>
        </w:sectPr>
      </w:pPr>
    </w:p>
    <w:bookmarkStart w:id="18" w:name="page19"/>
    <w:bookmarkEnd w:id="18"/>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6"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MANAGEMENT’S DISCUSSION AND ANALYSIS OF FINANCIAL CONDITION AND RESULTS OF OPERATIONS</w:t>
      </w: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color w:val="auto"/>
        </w:rPr>
        <w:t>As of September 30, 2014, our working capital was $32.0 million as compared to $39.4 million as of December 31, 2013.</w:t>
      </w:r>
    </w:p>
    <w:p>
      <w:pPr>
        <w:spacing w:after="0" w:line="225"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We believe that our current cash balance, future income from operations and effective management of working capital will provide the liquidity needed to meet our short-term and long-term operating requirements and finance our growth plans. We also believe that our strong financial position and sound business structure will enable us to raise additional capital when needed to meet our short and long-term financing needs. In addition to capital expenditures, we may use cash in the near future for selective infusions of technology, sales &amp; marketing, infrastructure, and other investments to fuel our growth, as well as acquisitions that may strategically fit our business and are accretive to our performance. We may also use cash to finance the repurchase of our outstanding stock.</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229"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Our discussion and analysis of our results of operations and financial position are based upon our consolidated financial statements, which have been prepared in accordance with U.S. generally accepted accounting principles. We review the accounting policies used in reporting our financial results on a regular basis. The preparation of these financial statements requires us to make estimates and assumptions that affect the reported amounts of assets and liabilities and the disclosure of contingent assets and liabilities at the date of the financial statements and the reported amounts of revenue and expenses during the reporting period. We evaluate our assumptions and estimates on an ongoing basis and may employ outside experts to assist in our evaluations. We believe that the estimates we use are reasonable; however, actual results could differ from those estimates.</w:t>
      </w:r>
    </w:p>
    <w:p>
      <w:pPr>
        <w:spacing w:after="0" w:line="178"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Our significant accounting policies are described in Note 2 of the Notes to the Consolidated Financial Statements included in our Annual Report on Form 10-K for the year ended December 31, 2013 and Note 1 to the Condensed Consolidated Financial Statements set forth in Part I, Item I herein. We believe the policies described below identify our most critical accounting policies, which are the policies that are both important to the representation of our financial condition and results and require our most difficult, subjective or complex judgments, often as a result of the need to make estimates about the effect of matters that are inherently uncertain.</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0000FF"/>
        </w:rPr>
        <w:t>Revenue and Associated Allowances for Revenue Adjustments and Doubtful Accounts</w:t>
      </w:r>
    </w:p>
    <w:p>
      <w:pPr>
        <w:spacing w:after="0" w:line="117" w:lineRule="exact"/>
        <w:rPr>
          <w:sz w:val="20"/>
          <w:szCs w:val="20"/>
          <w:color w:val="auto"/>
        </w:rPr>
      </w:pPr>
    </w:p>
    <w:p>
      <w:pPr>
        <w:spacing w:after="0"/>
        <w:rPr>
          <w:sz w:val="20"/>
          <w:szCs w:val="20"/>
          <w:color w:val="auto"/>
        </w:rPr>
      </w:pPr>
      <w:r>
        <w:rPr>
          <w:rFonts w:ascii="Arial" w:cs="Arial" w:eastAsia="Arial" w:hAnsi="Arial"/>
          <w:sz w:val="16"/>
          <w:szCs w:val="16"/>
          <w:color w:val="auto"/>
        </w:rPr>
        <w:t>Included in continuing operations is product revenue, primarily from product sales to distributors, dealers, and end-users. Product revenue is recognized when</w:t>
      </w:r>
    </w:p>
    <w:p>
      <w:pPr>
        <w:spacing w:after="0" w:line="46" w:lineRule="exact"/>
        <w:rPr>
          <w:sz w:val="20"/>
          <w:szCs w:val="20"/>
          <w:color w:val="auto"/>
        </w:rPr>
      </w:pPr>
    </w:p>
    <w:p>
      <w:pPr>
        <w:ind w:right="60" w:firstLine="8"/>
        <w:spacing w:after="0" w:line="261" w:lineRule="auto"/>
        <w:tabs>
          <w:tab w:leader="none" w:pos="215"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products are shipped and any right of return expires, (ii) persuasive evidence of an arrangement exists, (iii) the price is fixed and determinable, and (iv) collection is reasonably assured.</w:t>
      </w:r>
    </w:p>
    <w:p>
      <w:pPr>
        <w:spacing w:after="0" w:line="184" w:lineRule="exact"/>
        <w:rPr>
          <w:sz w:val="20"/>
          <w:szCs w:val="20"/>
          <w:color w:val="auto"/>
        </w:rPr>
      </w:pPr>
    </w:p>
    <w:p>
      <w:pPr>
        <w:ind w:right="260"/>
        <w:spacing w:after="0" w:line="255" w:lineRule="auto"/>
        <w:rPr>
          <w:sz w:val="20"/>
          <w:szCs w:val="20"/>
          <w:color w:val="auto"/>
        </w:rPr>
      </w:pPr>
      <w:r>
        <w:rPr>
          <w:rFonts w:ascii="Arial" w:cs="Arial" w:eastAsia="Arial" w:hAnsi="Arial"/>
          <w:sz w:val="18"/>
          <w:szCs w:val="18"/>
          <w:color w:val="auto"/>
        </w:rPr>
        <w:t>We provide a right of return on product sales to major distributors under a product rotation program. Under this seldom-used program, once a quarter, a distributor is allowed to return products purchased during the prior quarter for a total value generally not exceeding 15% of the distributor’s net purchases during the preceding quarter. The distributor is, however, required to place a new purchase order for an amount not less than the value of products returned under the product rotation program. When products are returned, the associated revenue, cost of goods sold, inventory and accounts receivable originally recorded are reversed. When the new order is placed, the revenue, associated cost of goods sold, inventory and accounts receivable are recorded and the product revenue is subject to the deferral analysis described below. In a small number of cases, the distributors are also permitted to return the products for other business reasons.</w:t>
      </w:r>
    </w:p>
    <w:p>
      <w:pPr>
        <w:spacing w:after="0" w:line="189"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color w:val="auto"/>
        </w:rPr>
        <w:t>Revenue from product sales to distributors is not recognized until the return privilege has expired or until it can be determined with reasonable certainty that the return privilege has expired, which approximates when the product is sold-through to customers of our distributors (dealers, system integrators, value-added resellers, and end-users), rather than when the product is initially shipped to a distributor. At each quarter-end, we evaluate the inventory in the distribution channel through information provided by our distributors. The level of inventory in the channel will fluctuate up or down each quarter based upon our distributors’ individual operations. Accordingly, each quarter-end deferral of revenue and associated cost of goods sold are calculated and recorded based upon the actual channel inventory reported at quarter-end. Further, with respect to distributors and other channel partners not reporting the channel inventory, the revenue and associated cost of goods sold are deferred until we receive payment for the product sales made to such distributors or channel partners.</w:t>
      </w:r>
    </w:p>
    <w:p>
      <w:pPr>
        <w:spacing w:after="0" w:line="167" w:lineRule="exact"/>
        <w:rPr>
          <w:sz w:val="20"/>
          <w:szCs w:val="20"/>
          <w:color w:val="auto"/>
        </w:rPr>
      </w:pPr>
    </w:p>
    <w:p>
      <w:pPr>
        <w:ind w:right="560"/>
        <w:spacing w:after="0" w:line="277" w:lineRule="auto"/>
        <w:rPr>
          <w:sz w:val="20"/>
          <w:szCs w:val="20"/>
          <w:color w:val="auto"/>
        </w:rPr>
      </w:pPr>
      <w:r>
        <w:rPr>
          <w:rFonts w:ascii="Arial" w:cs="Arial" w:eastAsia="Arial" w:hAnsi="Arial"/>
          <w:sz w:val="18"/>
          <w:szCs w:val="18"/>
          <w:color w:val="auto"/>
        </w:rPr>
        <w:t>The accuracy of the deferred revenue and costs depend to a large extent on the accuracy of the inventory reports provided by our distributors and other resellers and any material error in those reports would affect our revenue deferral. However, we</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125" w:right="239" w:bottom="1440" w:gutter="0" w:footer="0" w:header="0"/>
        </w:sectPr>
      </w:pPr>
    </w:p>
    <w:bookmarkStart w:id="19" w:name="page20"/>
    <w:bookmarkEnd w:id="19"/>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6"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MANAGEMENT’S DISCUSSION AND ANALYSIS OF FINANCIAL CONDITION AND RESULTS OF OPERATIONS</w:t>
      </w:r>
    </w:p>
    <w:p>
      <w:pPr>
        <w:spacing w:after="0" w:line="200" w:lineRule="exact"/>
        <w:rPr>
          <w:sz w:val="20"/>
          <w:szCs w:val="20"/>
          <w:color w:val="auto"/>
        </w:rPr>
      </w:pPr>
    </w:p>
    <w:p>
      <w:pPr>
        <w:spacing w:after="0" w:line="264"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believe that the controls we have in place, including periodic physical inventory verifications and analytical reviews, would help us identify and prevent any material errors in such reports.</w:t>
      </w:r>
    </w:p>
    <w:p>
      <w:pPr>
        <w:spacing w:after="0" w:line="170"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The amount of deferred cost of goods sold was included in consigned inventory. The following table details the amount of deferred revenue, cost of goods sold, and gross profit as of September 30, 2014 and December 31, 2013:</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65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80" w:type="dxa"/>
            <w:vAlign w:val="bottom"/>
            <w:gridSpan w:val="2"/>
          </w:tcPr>
          <w:p>
            <w:pPr>
              <w:ind w:left="100"/>
              <w:spacing w:after="0"/>
              <w:rPr>
                <w:sz w:val="20"/>
                <w:szCs w:val="20"/>
                <w:color w:val="auto"/>
              </w:rPr>
            </w:pPr>
            <w:r>
              <w:rPr>
                <w:rFonts w:ascii="Arial" w:cs="Arial" w:eastAsia="Arial" w:hAnsi="Arial"/>
                <w:sz w:val="16"/>
                <w:szCs w:val="16"/>
                <w:b w:val="1"/>
                <w:bCs w:val="1"/>
                <w:color w:val="auto"/>
              </w:rPr>
              <w:t>As of September 30, 2014</w:t>
            </w:r>
          </w:p>
        </w:tc>
        <w:tc>
          <w:tcPr>
            <w:tcW w:w="240" w:type="dxa"/>
            <w:vAlign w:val="bottom"/>
          </w:tcPr>
          <w:p>
            <w:pPr>
              <w:spacing w:after="0"/>
              <w:rPr>
                <w:sz w:val="18"/>
                <w:szCs w:val="18"/>
                <w:color w:val="auto"/>
              </w:rPr>
            </w:pPr>
          </w:p>
        </w:tc>
        <w:tc>
          <w:tcPr>
            <w:tcW w:w="2160" w:type="dxa"/>
            <w:vAlign w:val="bottom"/>
          </w:tcPr>
          <w:p>
            <w:pPr>
              <w:jc w:val="right"/>
              <w:ind w:right="252"/>
              <w:spacing w:after="0"/>
              <w:rPr>
                <w:sz w:val="20"/>
                <w:szCs w:val="20"/>
                <w:color w:val="auto"/>
              </w:rPr>
            </w:pPr>
            <w:r>
              <w:rPr>
                <w:rFonts w:ascii="Arial" w:cs="Arial" w:eastAsia="Arial" w:hAnsi="Arial"/>
                <w:sz w:val="16"/>
                <w:szCs w:val="16"/>
                <w:b w:val="1"/>
                <w:bCs w:val="1"/>
                <w:color w:val="auto"/>
                <w:w w:val="95"/>
              </w:rPr>
              <w:t>As of December 31, 2013</w:t>
            </w:r>
          </w:p>
        </w:tc>
      </w:tr>
      <w:tr>
        <w:trPr>
          <w:trHeight w:val="33"/>
        </w:trPr>
        <w:tc>
          <w:tcPr>
            <w:tcW w:w="65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2160" w:type="dxa"/>
            <w:vAlign w:val="bottom"/>
            <w:tcBorders>
              <w:bottom w:val="single" w:sz="8" w:color="auto"/>
            </w:tcBorders>
          </w:tcPr>
          <w:p>
            <w:pPr>
              <w:spacing w:after="0"/>
              <w:rPr>
                <w:sz w:val="2"/>
                <w:szCs w:val="2"/>
                <w:color w:val="auto"/>
              </w:rPr>
            </w:pPr>
          </w:p>
        </w:tc>
      </w:tr>
      <w:tr>
        <w:trPr>
          <w:trHeight w:val="244"/>
        </w:trPr>
        <w:tc>
          <w:tcPr>
            <w:tcW w:w="6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Deferred revenue</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21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4,980</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21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4,158</w:t>
            </w:r>
          </w:p>
        </w:tc>
      </w:tr>
      <w:tr>
        <w:trPr>
          <w:trHeight w:val="243"/>
        </w:trPr>
        <w:tc>
          <w:tcPr>
            <w:tcW w:w="6520" w:type="dxa"/>
            <w:vAlign w:val="bottom"/>
          </w:tcPr>
          <w:p>
            <w:pPr>
              <w:ind w:left="40"/>
              <w:spacing w:after="0"/>
              <w:rPr>
                <w:sz w:val="20"/>
                <w:szCs w:val="20"/>
                <w:color w:val="auto"/>
              </w:rPr>
            </w:pPr>
            <w:r>
              <w:rPr>
                <w:rFonts w:ascii="Arial" w:cs="Arial" w:eastAsia="Arial" w:hAnsi="Arial"/>
                <w:sz w:val="18"/>
                <w:szCs w:val="18"/>
                <w:color w:val="auto"/>
              </w:rPr>
              <w:t>Deferred cost of goods sold</w:t>
            </w:r>
          </w:p>
        </w:tc>
        <w:tc>
          <w:tcPr>
            <w:tcW w:w="220" w:type="dxa"/>
            <w:vAlign w:val="bottom"/>
          </w:tcPr>
          <w:p>
            <w:pPr>
              <w:spacing w:after="0"/>
              <w:rPr>
                <w:sz w:val="21"/>
                <w:szCs w:val="21"/>
                <w:color w:val="auto"/>
              </w:rPr>
            </w:pPr>
          </w:p>
        </w:tc>
        <w:tc>
          <w:tcPr>
            <w:tcW w:w="2180" w:type="dxa"/>
            <w:vAlign w:val="bottom"/>
          </w:tcPr>
          <w:p>
            <w:pPr>
              <w:jc w:val="right"/>
              <w:ind w:right="12"/>
              <w:spacing w:after="0"/>
              <w:rPr>
                <w:sz w:val="20"/>
                <w:szCs w:val="20"/>
                <w:color w:val="auto"/>
              </w:rPr>
            </w:pPr>
            <w:r>
              <w:rPr>
                <w:rFonts w:ascii="Arial" w:cs="Arial" w:eastAsia="Arial" w:hAnsi="Arial"/>
                <w:sz w:val="18"/>
                <w:szCs w:val="18"/>
                <w:color w:val="auto"/>
              </w:rPr>
              <w:t>1,607</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160" w:type="dxa"/>
            <w:vAlign w:val="bottom"/>
          </w:tcPr>
          <w:p>
            <w:pPr>
              <w:jc w:val="right"/>
              <w:ind w:right="12"/>
              <w:spacing w:after="0"/>
              <w:rPr>
                <w:sz w:val="20"/>
                <w:szCs w:val="20"/>
                <w:color w:val="auto"/>
              </w:rPr>
            </w:pPr>
            <w:r>
              <w:rPr>
                <w:rFonts w:ascii="Arial" w:cs="Arial" w:eastAsia="Arial" w:hAnsi="Arial"/>
                <w:sz w:val="18"/>
                <w:szCs w:val="18"/>
                <w:color w:val="auto"/>
              </w:rPr>
              <w:t>1,520</w:t>
            </w:r>
          </w:p>
        </w:tc>
      </w:tr>
      <w:tr>
        <w:trPr>
          <w:trHeight w:val="27"/>
        </w:trPr>
        <w:tc>
          <w:tcPr>
            <w:tcW w:w="65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2160" w:type="dxa"/>
            <w:vAlign w:val="bottom"/>
            <w:tcBorders>
              <w:bottom w:val="single" w:sz="8" w:color="auto"/>
            </w:tcBorders>
          </w:tcPr>
          <w:p>
            <w:pPr>
              <w:spacing w:after="0"/>
              <w:rPr>
                <w:sz w:val="2"/>
                <w:szCs w:val="2"/>
                <w:color w:val="auto"/>
              </w:rPr>
            </w:pPr>
          </w:p>
        </w:tc>
      </w:tr>
      <w:tr>
        <w:trPr>
          <w:trHeight w:val="257"/>
        </w:trPr>
        <w:tc>
          <w:tcPr>
            <w:tcW w:w="6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Deferred gross profit</w:t>
            </w: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218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3,373</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216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2,638</w:t>
            </w:r>
          </w:p>
        </w:tc>
      </w:tr>
      <w:tr>
        <w:trPr>
          <w:trHeight w:val="20"/>
        </w:trPr>
        <w:tc>
          <w:tcPr>
            <w:tcW w:w="65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216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color w:val="auto"/>
        </w:rPr>
        <w:t>We offer rebates and market development funds to certain of our distributors, dealers/resellers, and end-users based upon volume of product purchased by them. We record rebates as a reduction of revenue in accordance with GAAP.</w:t>
      </w:r>
    </w:p>
    <w:p>
      <w:pPr>
        <w:spacing w:after="0" w:line="170" w:lineRule="exact"/>
        <w:rPr>
          <w:sz w:val="20"/>
          <w:szCs w:val="20"/>
          <w:color w:val="auto"/>
        </w:rPr>
      </w:pPr>
    </w:p>
    <w:p>
      <w:pPr>
        <w:ind w:right="60"/>
        <w:spacing w:after="0" w:line="302" w:lineRule="auto"/>
        <w:rPr>
          <w:sz w:val="20"/>
          <w:szCs w:val="20"/>
          <w:color w:val="auto"/>
        </w:rPr>
      </w:pPr>
      <w:r>
        <w:rPr>
          <w:rFonts w:ascii="Arial" w:cs="Arial" w:eastAsia="Arial" w:hAnsi="Arial"/>
          <w:sz w:val="16"/>
          <w:szCs w:val="16"/>
          <w:color w:val="auto"/>
        </w:rPr>
        <w:t>We offer credit terms on the sale of our products to a majority of our customers and perform ongoing credit evaluations of our customers’ financial condition. We maintain an allowance for doubtful accounts for estimated losses resulting from the inability or unwillingness of our customers to make required payments based upon our historical collection experience and expected collectability of all accounts receivable. Our actual bad debts in future periods may differ from our current estimates and the differences may be material, which may have an adverse impact on our future accounts receivable and cash position.</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0000FF"/>
        </w:rPr>
        <w:t>Impairment of Goodwill and Intangible Assets</w:t>
      </w:r>
    </w:p>
    <w:p>
      <w:pPr>
        <w:spacing w:after="0" w:line="117" w:lineRule="exact"/>
        <w:rPr>
          <w:sz w:val="20"/>
          <w:szCs w:val="20"/>
          <w:color w:val="auto"/>
        </w:rPr>
      </w:pPr>
    </w:p>
    <w:p>
      <w:pPr>
        <w:jc w:val="both"/>
        <w:ind w:right="80"/>
        <w:spacing w:after="0" w:line="297" w:lineRule="auto"/>
        <w:rPr>
          <w:sz w:val="20"/>
          <w:szCs w:val="20"/>
          <w:color w:val="auto"/>
        </w:rPr>
      </w:pPr>
      <w:r>
        <w:rPr>
          <w:rFonts w:ascii="Arial" w:cs="Arial" w:eastAsia="Arial" w:hAnsi="Arial"/>
          <w:sz w:val="16"/>
          <w:szCs w:val="16"/>
          <w:color w:val="auto"/>
        </w:rPr>
        <w:t>Goodwill is measured as the excess of the cost of acquisition over the sum of the amounts assigned to tangible and identifiable intangible assets acquired less liabilities assumed. We perform impairment tests of goodwill and intangible assets with indefinite useful lives on an annual basis in the fourth fiscal quarter, or sooner if a triggering event occurs suggesting possible impairment of the values of these assets. There were no impairments recorded in 2014 and 2013 as no impairment indicators existed. However, due to uncertainty in the industrial, technological, and competitive environments in which we operate, we might be required to exit or dispose of the assets acquired through our acquisitions, which could result in an impairment of goodwill and intangible assets.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0000FF"/>
        </w:rPr>
        <w:t>Impairment of Long-Lived Assets</w:t>
      </w:r>
    </w:p>
    <w:p>
      <w:pPr>
        <w:spacing w:after="0" w:line="117" w:lineRule="exact"/>
        <w:rPr>
          <w:sz w:val="20"/>
          <w:szCs w:val="20"/>
          <w:color w:val="auto"/>
        </w:rPr>
      </w:pPr>
    </w:p>
    <w:p>
      <w:pPr>
        <w:ind w:right="80"/>
        <w:spacing w:after="0" w:line="254" w:lineRule="auto"/>
        <w:rPr>
          <w:sz w:val="20"/>
          <w:szCs w:val="20"/>
          <w:color w:val="auto"/>
        </w:rPr>
      </w:pPr>
      <w:r>
        <w:rPr>
          <w:rFonts w:ascii="Arial" w:cs="Arial" w:eastAsia="Arial" w:hAnsi="Arial"/>
          <w:sz w:val="18"/>
          <w:szCs w:val="18"/>
          <w:color w:val="auto"/>
        </w:rPr>
        <w:t>We assess the impairment of long-lived assets, such as property and equipment and definite-lived intangibles subject to amortization, annually or whenever events or changes in circumstances indicate that the carrying value of an asset may not be recoverable. Recoverability of assets to be held and used is measured by a comparison of the carrying amount of an asset or asset group to estimated future undiscounted net cash flows of the related asset or group of assets over their remaining lives. If the carrying amount of an asset exceeds its estimated future undiscounted cash flows, an impairment charge is recognized for the amount by which the carrying amount exceeds the estimated fair value of the asset. Impairment of long-lived assets is assessed at the lowest levels for which there are identifiable cash flows that are independent of other groups of assets. The impairment of long-lived assets requires judgments and estimates. If circumstances change, such estimates could also change. Assets held for sale are reported at the lower of the carrying amount or fair value, less the estimated costs to sell.</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0000FF"/>
        </w:rPr>
        <w:t>Accounting for Income Taxes</w:t>
      </w:r>
    </w:p>
    <w:p>
      <w:pPr>
        <w:spacing w:after="0" w:line="117" w:lineRule="exact"/>
        <w:rPr>
          <w:sz w:val="20"/>
          <w:szCs w:val="20"/>
          <w:color w:val="auto"/>
        </w:rPr>
      </w:pPr>
    </w:p>
    <w:p>
      <w:pPr>
        <w:ind w:right="80"/>
        <w:spacing w:after="0" w:line="293" w:lineRule="auto"/>
        <w:rPr>
          <w:sz w:val="20"/>
          <w:szCs w:val="20"/>
          <w:color w:val="auto"/>
        </w:rPr>
      </w:pPr>
      <w:r>
        <w:rPr>
          <w:rFonts w:ascii="Arial" w:cs="Arial" w:eastAsia="Arial" w:hAnsi="Arial"/>
          <w:sz w:val="16"/>
          <w:szCs w:val="16"/>
          <w:color w:val="auto"/>
        </w:rPr>
        <w:t>We are subject to income taxes in both the United States and in certain foreign jurisdictions. We estimate our current tax position together with our future tax consequences attributable to temporary differences resulting from differing treatment of items, such as deferred revenue, depreciation, and other reserves for tax and accounting purposes. These temporary differences result in deferred tax assets and liabilities. We must then assess the likelihood that our deferred tax assets will be recovered from future taxable income, prior-year carryback, or future reversals of existing taxable temporary differences. To the extent we believe that recovery is not more likely than not, we establish a valuation allowance against these deferred tax assets. Significant judgment is required in determining our provision for income taxes, our deferred tax assets and liabilities, and any valuation allowance recorded against our deferred tax assets.</w:t>
      </w:r>
    </w:p>
    <w:p>
      <w:pPr>
        <w:spacing w:after="0" w:line="165"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To the extent we establish a valuation allowance in a period, we must include and expense the allowance within the tax provision in the consolidated statement of operations. In accordance with ASC Topic 740, "Accounting for Income Taxes", we analyzed our valuation allowance at December 31, 2013 and determined that based upon available evidence it is more likely than not that certain of our deferred tax assets related to capital loss carryovers, state research and development credits, and</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125" w:right="239" w:bottom="1440" w:gutter="0" w:footer="0" w:header="0"/>
        </w:sectPr>
      </w:pPr>
    </w:p>
    <w:bookmarkStart w:id="20" w:name="page21"/>
    <w:bookmarkEnd w:id="20"/>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6"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MANAGEMENT’S DISCUSSION AND ANALYSIS OF FINANCIAL CONDITION AND RESULTS OF OPERATIONS</w:t>
      </w:r>
    </w:p>
    <w:p>
      <w:pPr>
        <w:spacing w:after="0" w:line="200" w:lineRule="exact"/>
        <w:rPr>
          <w:sz w:val="20"/>
          <w:szCs w:val="20"/>
          <w:color w:val="auto"/>
        </w:rPr>
      </w:pPr>
    </w:p>
    <w:p>
      <w:pPr>
        <w:spacing w:after="0" w:line="264"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color w:val="auto"/>
        </w:rPr>
        <w:t>foreign net operating loss carryovers will not be realized and, accordingly, we have recorded a valuation allowance against these deferred tax assets in the amount of $378 thousand.</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0000FF"/>
        </w:rPr>
        <w:t>Lower-of-Cost or Market Adjustments and Reserves for Excess and Obsolete Inventory</w:t>
      </w:r>
    </w:p>
    <w:p>
      <w:pPr>
        <w:spacing w:after="0" w:line="117" w:lineRule="exact"/>
        <w:rPr>
          <w:sz w:val="20"/>
          <w:szCs w:val="20"/>
          <w:color w:val="auto"/>
        </w:rPr>
      </w:pPr>
    </w:p>
    <w:p>
      <w:pPr>
        <w:ind w:right="200"/>
        <w:spacing w:after="0" w:line="264" w:lineRule="auto"/>
        <w:rPr>
          <w:sz w:val="20"/>
          <w:szCs w:val="20"/>
          <w:color w:val="auto"/>
        </w:rPr>
      </w:pPr>
      <w:r>
        <w:rPr>
          <w:rFonts w:ascii="Arial" w:cs="Arial" w:eastAsia="Arial" w:hAnsi="Arial"/>
          <w:sz w:val="18"/>
          <w:szCs w:val="18"/>
          <w:color w:val="auto"/>
        </w:rPr>
        <w:t>We account for our inventory on a first-in, first-out basis, and make appropriate adjustments on a quarterly basis to write down the value of inventory to the lower-of-cost or market. In addition to the price of the product purchased, the cost of inventory includes our internal manufacturing costs, including warehousing, material purchasing, quality and product planning expenses.</w:t>
      </w:r>
    </w:p>
    <w:p>
      <w:pPr>
        <w:spacing w:after="0" w:line="181" w:lineRule="exact"/>
        <w:rPr>
          <w:sz w:val="20"/>
          <w:szCs w:val="20"/>
          <w:color w:val="auto"/>
        </w:rPr>
      </w:pPr>
    </w:p>
    <w:p>
      <w:pPr>
        <w:spacing w:after="0" w:line="288" w:lineRule="auto"/>
        <w:rPr>
          <w:sz w:val="20"/>
          <w:szCs w:val="20"/>
          <w:color w:val="auto"/>
        </w:rPr>
      </w:pPr>
      <w:r>
        <w:rPr>
          <w:rFonts w:ascii="Arial" w:cs="Arial" w:eastAsia="Arial" w:hAnsi="Arial"/>
          <w:sz w:val="16"/>
          <w:szCs w:val="16"/>
          <w:color w:val="auto"/>
        </w:rPr>
        <w:t>We perform a quarterly analysis of obsolete and slow-moving inventory to determine if any inventory needs to be written down. In general, we write down our excess and obsolete inventory by an amount that is equal to the difference between the cost of the inventory and its estimated market value if market value is less than cost, based upon assumptions about future product life-cycles, product demand, shelf life of the product, inter-changeability of the product and market conditions. Those items that are found to have a supply in excess of our estimated current demand are considered to be slow-moving or obsolete and classified as long-term. An appropriate reserve is made to write down the value of that inventory to its expected realizable value. These charges are recorded in cost of goods sold. The reserve against slow-moving or obsolete inventory is increased or reduced based on several factors which, among other things, require us to make an estimate of a product’s life-cycle, potential demand and our ability to sell these products at estimated price levels. While we make considerable efforts to calculate reasonable estimates of these variables, actual results may vary. If there were to be a sudden and significant decrease in demand for our products, or if there were a higher incidence of inventory obsolescence because of changing technology and customer requirements, we could be required to increase our inventory allowances and our gross profit could be adversely affected.</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0000FF"/>
        </w:rPr>
        <w:t>Share-Based Compensation</w:t>
      </w:r>
    </w:p>
    <w:p>
      <w:pPr>
        <w:spacing w:after="0" w:line="117" w:lineRule="exact"/>
        <w:rPr>
          <w:sz w:val="20"/>
          <w:szCs w:val="20"/>
          <w:color w:val="auto"/>
        </w:rPr>
      </w:pPr>
    </w:p>
    <w:p>
      <w:pPr>
        <w:ind w:right="140"/>
        <w:spacing w:after="0" w:line="257" w:lineRule="auto"/>
        <w:rPr>
          <w:sz w:val="20"/>
          <w:szCs w:val="20"/>
          <w:color w:val="auto"/>
        </w:rPr>
      </w:pPr>
      <w:r>
        <w:rPr>
          <w:rFonts w:ascii="Arial" w:cs="Arial" w:eastAsia="Arial" w:hAnsi="Arial"/>
          <w:sz w:val="18"/>
          <w:szCs w:val="18"/>
          <w:color w:val="auto"/>
        </w:rPr>
        <w:t>In December 2004, the FASB issued guidelines now contained under FASB ASC Topic 718, "Compensation – Stock Compensation". ASC Topic 718 establishes standards for the accounting for transactions in which an entity exchanges its equity instruments for goods or services. Primarily, ASC Topic 718 focuses on accounting for transactions in which an entity obtains employee services in share-based payment transactions. It also addresses transactions in which an entity incurs liabilities in exchange for goods or services that are based on the fair value of the entity’s equity instruments or that may be settled by the issuance of those equity instruments.</w:t>
      </w:r>
    </w:p>
    <w:p>
      <w:pPr>
        <w:spacing w:after="0" w:line="188"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Under ASC Topic 718, we measure the cost of employee services received in exchange for an award of equity instruments based on the grant date fair value of the award (with limited exceptions). That cost will be recognized over the period during which an employee is required to provide services in exchange for the awards – the requisite service period (usually the vesting period). No compensation cost is recognized for equity instruments for which employees do not render the requisite service. Therefore, if an employee does not ultimately render the requisite service, the costs associated with the unvested options will not be recognized cumulatively.</w:t>
      </w:r>
    </w:p>
    <w:p>
      <w:pPr>
        <w:spacing w:after="0" w:line="188" w:lineRule="exact"/>
        <w:rPr>
          <w:sz w:val="20"/>
          <w:szCs w:val="20"/>
          <w:color w:val="auto"/>
        </w:rPr>
      </w:pPr>
    </w:p>
    <w:p>
      <w:pPr>
        <w:ind w:right="20"/>
        <w:spacing w:after="0" w:line="272" w:lineRule="auto"/>
        <w:rPr>
          <w:sz w:val="20"/>
          <w:szCs w:val="20"/>
          <w:color w:val="auto"/>
        </w:rPr>
      </w:pPr>
      <w:r>
        <w:rPr>
          <w:rFonts w:ascii="Arial" w:cs="Arial" w:eastAsia="Arial" w:hAnsi="Arial"/>
          <w:sz w:val="17"/>
          <w:szCs w:val="17"/>
          <w:color w:val="auto"/>
        </w:rPr>
        <w:t>Under ASC Topic 718, we recognize compensation cost net of an anticipated forfeiture rate and recognize the associated compensation cost for those awards expected to vest on a straight-line basis over the requisite service period. We use judgment in determining the fair value of the share-based payments on the date of grant using an option-pricing model with assumptions regarding a number of highly complex and subjective variables. These variables include, but are not limited to, the risk-free interest rate of the awards, the expected life of the awards, the expected volatility over the term of the awards, the expected dividends of the awards, and an estimate of the amount of awards that are expected to be forfeited. If assumptions change in the application of ASC Topic 718 and its fair value recognition provisions in future periods, the stock-based compensation cost ultimately recorded under the guidelines of ASC Topic 718 may differ significantly from what was recorded in the current period.</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229"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An evaluation of the effectiveness of our disclosure controls and procedures (as defined in Rules 13a-15(e) and 15d-15(e) of the Exchange Act) as of September 30, 2014 was performed under the supervision and with the participation of our management, including our Chief Executive Officer and our Chief Financial Officer. Based on this evaluation, our management, including our Chief Executive Officer and Chief Financial Officer, concluded that our disclosure controls and procedures are effective as</w:t>
      </w: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20"/>
          </w:cols>
          <w:pgMar w:left="240" w:top="125" w:right="239" w:bottom="1440" w:gutter="0" w:footer="0" w:header="0"/>
        </w:sectPr>
      </w:pPr>
    </w:p>
    <w:bookmarkStart w:id="21" w:name="page22"/>
    <w:bookmarkEnd w:id="21"/>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21"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CLEARONE, INC.</w:t>
      </w:r>
    </w:p>
    <w:p>
      <w:pPr>
        <w:spacing w:after="0" w:line="236"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of September 30, 2014 to ensure that information required to be disclosed by us in reports we file or submit under the Exchange Act is recorded, processed, summarized and reported as specified in the SEC’s rules and forms.</w:t>
      </w:r>
    </w:p>
    <w:p>
      <w:pPr>
        <w:spacing w:after="0" w:line="170"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There was no change in our internal control over financial reporting during the quarter ended September 30, 2014 that materially affected, or that we believe is reasonably likely to materially affect, our internal control over financial reporting.</w:t>
      </w:r>
    </w:p>
    <w:p>
      <w:pPr>
        <w:spacing w:after="0" w:line="200" w:lineRule="exact"/>
        <w:rPr>
          <w:sz w:val="20"/>
          <w:szCs w:val="20"/>
          <w:color w:val="auto"/>
        </w:rPr>
      </w:pPr>
    </w:p>
    <w:p>
      <w:pPr>
        <w:spacing w:after="0" w:line="214"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280"/>
          </w:cols>
          <w:pgMar w:left="240" w:top="121" w:right="379" w:bottom="1440" w:gutter="0" w:footer="0" w:header="0"/>
        </w:sectPr>
      </w:pPr>
    </w:p>
    <w:bookmarkStart w:id="22" w:name="page23"/>
    <w:bookmarkEnd w:id="22"/>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CLEARONE, INC.</w:t>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 - OTHER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229" w:lineRule="exact"/>
        <w:rPr>
          <w:sz w:val="20"/>
          <w:szCs w:val="20"/>
          <w:color w:val="auto"/>
        </w:rPr>
      </w:pPr>
    </w:p>
    <w:p>
      <w:pPr>
        <w:ind w:right="220"/>
        <w:spacing w:after="0" w:line="264" w:lineRule="auto"/>
        <w:rPr>
          <w:sz w:val="20"/>
          <w:szCs w:val="20"/>
          <w:color w:val="auto"/>
        </w:rPr>
      </w:pPr>
      <w:r>
        <w:rPr>
          <w:rFonts w:ascii="Arial" w:cs="Arial" w:eastAsia="Arial" w:hAnsi="Arial"/>
          <w:sz w:val="18"/>
          <w:szCs w:val="18"/>
          <w:color w:val="auto"/>
        </w:rPr>
        <w:t>For the quarter ending September 30, 2014, there were no new updates to the status of legal proceedings or commitments and contingencies reported in our Form 10-K for the year ended December 31, 2013 under Part I, Item 3 Legal Proceedings and Note 8 - Commitments and Contingencies of the Notes to Consolidated Financial Statements (Part II, Item 8) since the last reported update.</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Issuer Purchases of Equity Securities</w:t>
      </w:r>
    </w:p>
    <w:p>
      <w:pPr>
        <w:spacing w:after="0" w:line="229" w:lineRule="exact"/>
        <w:rPr>
          <w:sz w:val="20"/>
          <w:szCs w:val="20"/>
          <w:color w:val="auto"/>
        </w:rPr>
      </w:pPr>
    </w:p>
    <w:p>
      <w:pPr>
        <w:ind w:right="500"/>
        <w:spacing w:after="0" w:line="277" w:lineRule="auto"/>
        <w:rPr>
          <w:sz w:val="20"/>
          <w:szCs w:val="20"/>
          <w:color w:val="auto"/>
        </w:rPr>
      </w:pPr>
      <w:r>
        <w:rPr>
          <w:rFonts w:ascii="Arial" w:cs="Arial" w:eastAsia="Arial" w:hAnsi="Arial"/>
          <w:sz w:val="18"/>
          <w:szCs w:val="18"/>
          <w:color w:val="auto"/>
        </w:rPr>
        <w:t>The table below summarizes information about our purchases of our equity securities registered pursuant to Section 12 of the Exchange Act of 1934, as amended, during the quarterly period ended September 30, 2014.</w:t>
      </w:r>
    </w:p>
    <w:p>
      <w:pPr>
        <w:spacing w:after="0" w:line="9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8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93"/>
              </w:rPr>
              <w:t>(c)</w:t>
            </w:r>
          </w:p>
        </w:tc>
        <w:tc>
          <w:tcPr>
            <w:tcW w:w="160" w:type="dxa"/>
            <w:vAlign w:val="bottom"/>
          </w:tcPr>
          <w:p>
            <w:pPr>
              <w:spacing w:after="0"/>
              <w:rPr>
                <w:sz w:val="14"/>
                <w:szCs w:val="14"/>
                <w:color w:val="auto"/>
              </w:rPr>
            </w:pPr>
          </w:p>
        </w:tc>
        <w:tc>
          <w:tcPr>
            <w:tcW w:w="1440" w:type="dxa"/>
            <w:vAlign w:val="bottom"/>
          </w:tcPr>
          <w:p>
            <w:pPr>
              <w:jc w:val="center"/>
              <w:ind w:right="60"/>
              <w:spacing w:after="0"/>
              <w:rPr>
                <w:sz w:val="20"/>
                <w:szCs w:val="20"/>
                <w:color w:val="auto"/>
              </w:rPr>
            </w:pPr>
            <w:r>
              <w:rPr>
                <w:rFonts w:ascii="Arial" w:cs="Arial" w:eastAsia="Arial" w:hAnsi="Arial"/>
                <w:sz w:val="14"/>
                <w:szCs w:val="14"/>
                <w:b w:val="1"/>
                <w:bCs w:val="1"/>
                <w:color w:val="auto"/>
              </w:rPr>
              <w:t>(d)</w:t>
            </w:r>
          </w:p>
        </w:tc>
        <w:tc>
          <w:tcPr>
            <w:tcW w:w="0" w:type="dxa"/>
            <w:vAlign w:val="bottom"/>
          </w:tcPr>
          <w:p>
            <w:pPr>
              <w:spacing w:after="0"/>
              <w:rPr>
                <w:sz w:val="1"/>
                <w:szCs w:val="1"/>
                <w:color w:val="auto"/>
              </w:rPr>
            </w:pPr>
          </w:p>
        </w:tc>
      </w:tr>
      <w:tr>
        <w:trPr>
          <w:trHeight w:val="149"/>
        </w:trPr>
        <w:tc>
          <w:tcPr>
            <w:tcW w:w="4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8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1440" w:type="dxa"/>
            <w:vAlign w:val="bottom"/>
          </w:tcPr>
          <w:p>
            <w:pPr>
              <w:jc w:val="center"/>
              <w:ind w:right="80"/>
              <w:spacing w:after="0" w:line="149" w:lineRule="exact"/>
              <w:rPr>
                <w:sz w:val="20"/>
                <w:szCs w:val="20"/>
                <w:color w:val="auto"/>
              </w:rPr>
            </w:pPr>
            <w:r>
              <w:rPr>
                <w:rFonts w:ascii="Arial" w:cs="Arial" w:eastAsia="Arial" w:hAnsi="Arial"/>
                <w:sz w:val="14"/>
                <w:szCs w:val="14"/>
                <w:b w:val="1"/>
                <w:bCs w:val="1"/>
                <w:color w:val="auto"/>
                <w:w w:val="95"/>
              </w:rPr>
              <w:t>Approximate Dollar</w:t>
            </w:r>
          </w:p>
        </w:tc>
        <w:tc>
          <w:tcPr>
            <w:tcW w:w="0" w:type="dxa"/>
            <w:vAlign w:val="bottom"/>
          </w:tcPr>
          <w:p>
            <w:pPr>
              <w:spacing w:after="0"/>
              <w:rPr>
                <w:sz w:val="1"/>
                <w:szCs w:val="1"/>
                <w:color w:val="auto"/>
              </w:rPr>
            </w:pPr>
          </w:p>
        </w:tc>
      </w:tr>
      <w:tr>
        <w:trPr>
          <w:trHeight w:val="149"/>
        </w:trPr>
        <w:tc>
          <w:tcPr>
            <w:tcW w:w="4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2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rPr>
              <w:t>(a)</w:t>
            </w:r>
          </w:p>
        </w:tc>
        <w:tc>
          <w:tcPr>
            <w:tcW w:w="300" w:type="dxa"/>
            <w:vAlign w:val="bottom"/>
          </w:tcPr>
          <w:p>
            <w:pPr>
              <w:spacing w:after="0"/>
              <w:rPr>
                <w:sz w:val="12"/>
                <w:szCs w:val="12"/>
                <w:color w:val="auto"/>
              </w:rPr>
            </w:pPr>
          </w:p>
        </w:tc>
        <w:tc>
          <w:tcPr>
            <w:tcW w:w="1300" w:type="dxa"/>
            <w:vAlign w:val="bottom"/>
            <w:gridSpan w:val="2"/>
            <w:vMerge w:val="restart"/>
          </w:tcPr>
          <w:p>
            <w:pPr>
              <w:ind w:left="360"/>
              <w:spacing w:after="0"/>
              <w:rPr>
                <w:sz w:val="20"/>
                <w:szCs w:val="20"/>
                <w:color w:val="auto"/>
              </w:rPr>
            </w:pPr>
            <w:r>
              <w:rPr>
                <w:rFonts w:ascii="Arial" w:cs="Arial" w:eastAsia="Arial" w:hAnsi="Arial"/>
                <w:sz w:val="14"/>
                <w:szCs w:val="14"/>
                <w:b w:val="1"/>
                <w:bCs w:val="1"/>
                <w:color w:val="auto"/>
              </w:rPr>
              <w:t>(b)</w:t>
            </w:r>
          </w:p>
        </w:tc>
        <w:tc>
          <w:tcPr>
            <w:tcW w:w="168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2"/>
              </w:rPr>
              <w:t>Total Number of Shares</w:t>
            </w:r>
          </w:p>
        </w:tc>
        <w:tc>
          <w:tcPr>
            <w:tcW w:w="160" w:type="dxa"/>
            <w:vAlign w:val="bottom"/>
          </w:tcPr>
          <w:p>
            <w:pPr>
              <w:spacing w:after="0"/>
              <w:rPr>
                <w:sz w:val="12"/>
                <w:szCs w:val="12"/>
                <w:color w:val="auto"/>
              </w:rPr>
            </w:pPr>
          </w:p>
        </w:tc>
        <w:tc>
          <w:tcPr>
            <w:tcW w:w="1440" w:type="dxa"/>
            <w:vAlign w:val="bottom"/>
          </w:tcPr>
          <w:p>
            <w:pPr>
              <w:jc w:val="center"/>
              <w:ind w:right="80"/>
              <w:spacing w:after="0" w:line="149" w:lineRule="exact"/>
              <w:rPr>
                <w:sz w:val="20"/>
                <w:szCs w:val="20"/>
                <w:color w:val="auto"/>
              </w:rPr>
            </w:pPr>
            <w:r>
              <w:rPr>
                <w:rFonts w:ascii="Arial" w:cs="Arial" w:eastAsia="Arial" w:hAnsi="Arial"/>
                <w:sz w:val="14"/>
                <w:szCs w:val="14"/>
                <w:b w:val="1"/>
                <w:bCs w:val="1"/>
                <w:color w:val="auto"/>
                <w:w w:val="92"/>
              </w:rPr>
              <w:t>Value of Shares that</w:t>
            </w:r>
          </w:p>
        </w:tc>
        <w:tc>
          <w:tcPr>
            <w:tcW w:w="0" w:type="dxa"/>
            <w:vAlign w:val="bottom"/>
          </w:tcPr>
          <w:p>
            <w:pPr>
              <w:spacing w:after="0"/>
              <w:rPr>
                <w:sz w:val="1"/>
                <w:szCs w:val="1"/>
                <w:color w:val="auto"/>
              </w:rPr>
            </w:pPr>
          </w:p>
        </w:tc>
      </w:tr>
      <w:tr>
        <w:trPr>
          <w:trHeight w:val="149"/>
        </w:trPr>
        <w:tc>
          <w:tcPr>
            <w:tcW w:w="4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20" w:type="dxa"/>
            <w:vAlign w:val="bottom"/>
            <w:gridSpan w:val="2"/>
            <w:vMerge w:val="continue"/>
          </w:tcPr>
          <w:p>
            <w:pPr>
              <w:spacing w:after="0"/>
              <w:rPr>
                <w:sz w:val="12"/>
                <w:szCs w:val="12"/>
                <w:color w:val="auto"/>
              </w:rPr>
            </w:pPr>
          </w:p>
        </w:tc>
        <w:tc>
          <w:tcPr>
            <w:tcW w:w="300" w:type="dxa"/>
            <w:vAlign w:val="bottom"/>
          </w:tcPr>
          <w:p>
            <w:pPr>
              <w:spacing w:after="0"/>
              <w:rPr>
                <w:sz w:val="12"/>
                <w:szCs w:val="12"/>
                <w:color w:val="auto"/>
              </w:rPr>
            </w:pPr>
          </w:p>
        </w:tc>
        <w:tc>
          <w:tcPr>
            <w:tcW w:w="1300" w:type="dxa"/>
            <w:vAlign w:val="bottom"/>
            <w:gridSpan w:val="2"/>
            <w:vMerge w:val="continue"/>
          </w:tcPr>
          <w:p>
            <w:pPr>
              <w:spacing w:after="0"/>
              <w:rPr>
                <w:sz w:val="12"/>
                <w:szCs w:val="12"/>
                <w:color w:val="auto"/>
              </w:rPr>
            </w:pPr>
          </w:p>
        </w:tc>
        <w:tc>
          <w:tcPr>
            <w:tcW w:w="168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0"/>
              </w:rPr>
              <w:t>Purchased as Part of</w:t>
            </w:r>
          </w:p>
        </w:tc>
        <w:tc>
          <w:tcPr>
            <w:tcW w:w="160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2"/>
              </w:rPr>
              <w:t>May Yet be Purchased</w:t>
            </w:r>
          </w:p>
        </w:tc>
        <w:tc>
          <w:tcPr>
            <w:tcW w:w="0" w:type="dxa"/>
            <w:vAlign w:val="bottom"/>
          </w:tcPr>
          <w:p>
            <w:pPr>
              <w:spacing w:after="0"/>
              <w:rPr>
                <w:sz w:val="1"/>
                <w:szCs w:val="1"/>
                <w:color w:val="auto"/>
              </w:rPr>
            </w:pPr>
          </w:p>
        </w:tc>
      </w:tr>
      <w:tr>
        <w:trPr>
          <w:trHeight w:val="149"/>
        </w:trPr>
        <w:tc>
          <w:tcPr>
            <w:tcW w:w="480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Period</w:t>
            </w:r>
          </w:p>
        </w:tc>
        <w:tc>
          <w:tcPr>
            <w:tcW w:w="120" w:type="dxa"/>
            <w:vAlign w:val="bottom"/>
            <w:vMerge w:val="restart"/>
          </w:tcPr>
          <w:p>
            <w:pPr>
              <w:spacing w:after="0"/>
              <w:rPr>
                <w:sz w:val="12"/>
                <w:szCs w:val="12"/>
                <w:color w:val="auto"/>
              </w:rPr>
            </w:pPr>
          </w:p>
        </w:tc>
        <w:tc>
          <w:tcPr>
            <w:tcW w:w="162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4"/>
              </w:rPr>
              <w:t>Total Number of</w:t>
            </w:r>
          </w:p>
        </w:tc>
        <w:tc>
          <w:tcPr>
            <w:tcW w:w="1600" w:type="dxa"/>
            <w:vAlign w:val="bottom"/>
            <w:gridSpan w:val="3"/>
          </w:tcPr>
          <w:p>
            <w:pPr>
              <w:ind w:left="40"/>
              <w:spacing w:after="0" w:line="149" w:lineRule="exact"/>
              <w:rPr>
                <w:sz w:val="20"/>
                <w:szCs w:val="20"/>
                <w:color w:val="auto"/>
              </w:rPr>
            </w:pPr>
            <w:r>
              <w:rPr>
                <w:rFonts w:ascii="Arial" w:cs="Arial" w:eastAsia="Arial" w:hAnsi="Arial"/>
                <w:sz w:val="14"/>
                <w:szCs w:val="14"/>
                <w:b w:val="1"/>
                <w:bCs w:val="1"/>
                <w:color w:val="auto"/>
              </w:rPr>
              <w:t>Average Price Paid per</w:t>
            </w:r>
          </w:p>
        </w:tc>
        <w:tc>
          <w:tcPr>
            <w:tcW w:w="168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3"/>
              </w:rPr>
              <w:t>Publicly Announced</w:t>
            </w:r>
          </w:p>
        </w:tc>
        <w:tc>
          <w:tcPr>
            <w:tcW w:w="160" w:type="dxa"/>
            <w:vAlign w:val="bottom"/>
          </w:tcPr>
          <w:p>
            <w:pPr>
              <w:spacing w:after="0"/>
              <w:rPr>
                <w:sz w:val="12"/>
                <w:szCs w:val="12"/>
                <w:color w:val="auto"/>
              </w:rPr>
            </w:pPr>
          </w:p>
        </w:tc>
        <w:tc>
          <w:tcPr>
            <w:tcW w:w="1440" w:type="dxa"/>
            <w:vAlign w:val="bottom"/>
          </w:tcPr>
          <w:p>
            <w:pPr>
              <w:jc w:val="center"/>
              <w:ind w:right="80"/>
              <w:spacing w:after="0" w:line="149" w:lineRule="exact"/>
              <w:rPr>
                <w:sz w:val="20"/>
                <w:szCs w:val="20"/>
                <w:color w:val="auto"/>
              </w:rPr>
            </w:pPr>
            <w:r>
              <w:rPr>
                <w:rFonts w:ascii="Arial" w:cs="Arial" w:eastAsia="Arial" w:hAnsi="Arial"/>
                <w:sz w:val="14"/>
                <w:szCs w:val="14"/>
                <w:b w:val="1"/>
                <w:bCs w:val="1"/>
                <w:color w:val="auto"/>
                <w:w w:val="93"/>
              </w:rPr>
              <w:t>Under the Plans or</w:t>
            </w:r>
          </w:p>
        </w:tc>
        <w:tc>
          <w:tcPr>
            <w:tcW w:w="0" w:type="dxa"/>
            <w:vAlign w:val="bottom"/>
          </w:tcPr>
          <w:p>
            <w:pPr>
              <w:spacing w:after="0"/>
              <w:rPr>
                <w:sz w:val="1"/>
                <w:szCs w:val="1"/>
                <w:color w:val="auto"/>
              </w:rPr>
            </w:pPr>
          </w:p>
        </w:tc>
      </w:tr>
      <w:tr>
        <w:trPr>
          <w:trHeight w:val="192"/>
        </w:trPr>
        <w:tc>
          <w:tcPr>
            <w:tcW w:w="4800" w:type="dxa"/>
            <w:vAlign w:val="bottom"/>
            <w:tcBorders>
              <w:bottom w:val="single" w:sz="8" w:color="auto"/>
            </w:tcBorders>
            <w:vMerge w:val="continue"/>
          </w:tcPr>
          <w:p>
            <w:pPr>
              <w:spacing w:after="0"/>
              <w:rPr>
                <w:sz w:val="16"/>
                <w:szCs w:val="16"/>
                <w:color w:val="auto"/>
              </w:rPr>
            </w:pPr>
          </w:p>
        </w:tc>
        <w:tc>
          <w:tcPr>
            <w:tcW w:w="120" w:type="dxa"/>
            <w:vAlign w:val="bottom"/>
            <w:vMerge w:val="continue"/>
          </w:tcPr>
          <w:p>
            <w:pPr>
              <w:spacing w:after="0"/>
              <w:rPr>
                <w:sz w:val="16"/>
                <w:szCs w:val="16"/>
                <w:color w:val="auto"/>
              </w:rPr>
            </w:pPr>
          </w:p>
        </w:tc>
        <w:tc>
          <w:tcPr>
            <w:tcW w:w="15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Shares Purchased (1)</w:t>
            </w:r>
          </w:p>
        </w:tc>
        <w:tc>
          <w:tcPr>
            <w:tcW w:w="12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396"/>
              <w:spacing w:after="0"/>
              <w:rPr>
                <w:sz w:val="20"/>
                <w:szCs w:val="20"/>
                <w:color w:val="auto"/>
              </w:rPr>
            </w:pPr>
            <w:r>
              <w:rPr>
                <w:rFonts w:ascii="Arial" w:cs="Arial" w:eastAsia="Arial" w:hAnsi="Arial"/>
                <w:sz w:val="14"/>
                <w:szCs w:val="14"/>
                <w:b w:val="1"/>
                <w:bCs w:val="1"/>
                <w:color w:val="auto"/>
              </w:rPr>
              <w:t>Share (2)</w:t>
            </w:r>
          </w:p>
        </w:tc>
        <w:tc>
          <w:tcPr>
            <w:tcW w:w="100" w:type="dxa"/>
            <w:vAlign w:val="bottom"/>
          </w:tcPr>
          <w:p>
            <w:pPr>
              <w:spacing w:after="0"/>
              <w:rPr>
                <w:sz w:val="16"/>
                <w:szCs w:val="16"/>
                <w:color w:val="auto"/>
              </w:rPr>
            </w:pPr>
          </w:p>
        </w:tc>
        <w:tc>
          <w:tcPr>
            <w:tcW w:w="1580" w:type="dxa"/>
            <w:vAlign w:val="bottom"/>
            <w:tcBorders>
              <w:bottom w:val="single" w:sz="8" w:color="auto"/>
            </w:tcBorders>
          </w:tcPr>
          <w:p>
            <w:pPr>
              <w:jc w:val="right"/>
              <w:ind w:right="40"/>
              <w:spacing w:after="0"/>
              <w:rPr>
                <w:sz w:val="20"/>
                <w:szCs w:val="20"/>
                <w:color w:val="auto"/>
              </w:rPr>
            </w:pPr>
            <w:r>
              <w:rPr>
                <w:rFonts w:ascii="Arial" w:cs="Arial" w:eastAsia="Arial" w:hAnsi="Arial"/>
                <w:sz w:val="14"/>
                <w:szCs w:val="14"/>
                <w:b w:val="1"/>
                <w:bCs w:val="1"/>
                <w:color w:val="auto"/>
                <w:w w:val="98"/>
              </w:rPr>
              <w:t>Plans or Programs (1)</w:t>
            </w:r>
          </w:p>
        </w:tc>
        <w:tc>
          <w:tcPr>
            <w:tcW w:w="1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tcPr>
          <w:p>
            <w:pPr>
              <w:jc w:val="center"/>
              <w:ind w:right="80"/>
              <w:spacing w:after="0"/>
              <w:rPr>
                <w:sz w:val="20"/>
                <w:szCs w:val="20"/>
                <w:color w:val="auto"/>
              </w:rPr>
            </w:pPr>
            <w:r>
              <w:rPr>
                <w:rFonts w:ascii="Arial" w:cs="Arial" w:eastAsia="Arial" w:hAnsi="Arial"/>
                <w:sz w:val="14"/>
                <w:szCs w:val="14"/>
                <w:b w:val="1"/>
                <w:bCs w:val="1"/>
                <w:color w:val="auto"/>
                <w:w w:val="97"/>
              </w:rPr>
              <w:t>Program</w:t>
            </w:r>
          </w:p>
        </w:tc>
        <w:tc>
          <w:tcPr>
            <w:tcW w:w="0" w:type="dxa"/>
            <w:vAlign w:val="bottom"/>
          </w:tcPr>
          <w:p>
            <w:pPr>
              <w:spacing w:after="0"/>
              <w:rPr>
                <w:sz w:val="1"/>
                <w:szCs w:val="1"/>
                <w:color w:val="auto"/>
              </w:rPr>
            </w:pPr>
          </w:p>
        </w:tc>
      </w:tr>
      <w:tr>
        <w:trPr>
          <w:trHeight w:val="243"/>
        </w:trPr>
        <w:tc>
          <w:tcPr>
            <w:tcW w:w="4920" w:type="dxa"/>
            <w:vAlign w:val="bottom"/>
            <w:gridSpan w:val="2"/>
          </w:tcPr>
          <w:p>
            <w:pPr>
              <w:ind w:left="40"/>
              <w:spacing w:after="0"/>
              <w:rPr>
                <w:sz w:val="20"/>
                <w:szCs w:val="20"/>
                <w:color w:val="auto"/>
              </w:rPr>
            </w:pPr>
            <w:r>
              <w:rPr>
                <w:rFonts w:ascii="Arial" w:cs="Arial" w:eastAsia="Arial" w:hAnsi="Arial"/>
                <w:sz w:val="18"/>
                <w:szCs w:val="18"/>
                <w:color w:val="auto"/>
              </w:rPr>
              <w:t>July 1, 2014 through July 31, 2014</w:t>
            </w:r>
          </w:p>
        </w:tc>
        <w:tc>
          <w:tcPr>
            <w:tcW w:w="1500" w:type="dxa"/>
            <w:vAlign w:val="bottom"/>
          </w:tcPr>
          <w:p>
            <w:pPr>
              <w:jc w:val="right"/>
              <w:ind w:right="38"/>
              <w:spacing w:after="0"/>
              <w:rPr>
                <w:sz w:val="20"/>
                <w:szCs w:val="20"/>
                <w:color w:val="auto"/>
              </w:rPr>
            </w:pPr>
            <w:r>
              <w:rPr>
                <w:rFonts w:ascii="Arial" w:cs="Arial" w:eastAsia="Arial" w:hAnsi="Arial"/>
                <w:sz w:val="18"/>
                <w:szCs w:val="18"/>
                <w:color w:val="auto"/>
              </w:rPr>
              <w:t>20,660</w:t>
            </w:r>
          </w:p>
        </w:tc>
        <w:tc>
          <w:tcPr>
            <w:tcW w:w="120" w:type="dxa"/>
            <w:vAlign w:val="bottom"/>
          </w:tcPr>
          <w:p>
            <w:pPr>
              <w:spacing w:after="0"/>
              <w:rPr>
                <w:sz w:val="21"/>
                <w:szCs w:val="21"/>
                <w:color w:val="auto"/>
              </w:rPr>
            </w:pPr>
          </w:p>
        </w:tc>
        <w:tc>
          <w:tcPr>
            <w:tcW w:w="300" w:type="dxa"/>
            <w:vAlign w:val="bottom"/>
          </w:tcPr>
          <w:p>
            <w:pPr>
              <w:ind w:left="40"/>
              <w:spacing w:after="0"/>
              <w:rPr>
                <w:sz w:val="20"/>
                <w:szCs w:val="20"/>
                <w:color w:val="auto"/>
              </w:rPr>
            </w:pPr>
            <w:r>
              <w:rPr>
                <w:rFonts w:ascii="Arial" w:cs="Arial" w:eastAsia="Arial" w:hAnsi="Arial"/>
                <w:sz w:val="18"/>
                <w:szCs w:val="18"/>
                <w:color w:val="auto"/>
              </w:rPr>
              <w:t>$</w:t>
            </w:r>
          </w:p>
        </w:tc>
        <w:tc>
          <w:tcPr>
            <w:tcW w:w="1200" w:type="dxa"/>
            <w:vAlign w:val="bottom"/>
          </w:tcPr>
          <w:p>
            <w:pPr>
              <w:jc w:val="right"/>
              <w:ind w:right="36"/>
              <w:spacing w:after="0"/>
              <w:rPr>
                <w:sz w:val="20"/>
                <w:szCs w:val="20"/>
                <w:color w:val="auto"/>
              </w:rPr>
            </w:pPr>
            <w:r>
              <w:rPr>
                <w:rFonts w:ascii="Arial" w:cs="Arial" w:eastAsia="Arial" w:hAnsi="Arial"/>
                <w:sz w:val="18"/>
                <w:szCs w:val="18"/>
                <w:color w:val="auto"/>
              </w:rPr>
              <w:t>9.87</w:t>
            </w:r>
          </w:p>
        </w:tc>
        <w:tc>
          <w:tcPr>
            <w:tcW w:w="100" w:type="dxa"/>
            <w:vAlign w:val="bottom"/>
          </w:tcPr>
          <w:p>
            <w:pPr>
              <w:spacing w:after="0"/>
              <w:rPr>
                <w:sz w:val="21"/>
                <w:szCs w:val="21"/>
                <w:color w:val="auto"/>
              </w:rPr>
            </w:pPr>
          </w:p>
        </w:tc>
        <w:tc>
          <w:tcPr>
            <w:tcW w:w="1580" w:type="dxa"/>
            <w:vAlign w:val="bottom"/>
          </w:tcPr>
          <w:p>
            <w:pPr>
              <w:jc w:val="right"/>
              <w:ind w:right="20"/>
              <w:spacing w:after="0"/>
              <w:rPr>
                <w:sz w:val="20"/>
                <w:szCs w:val="20"/>
                <w:color w:val="auto"/>
              </w:rPr>
            </w:pPr>
            <w:r>
              <w:rPr>
                <w:rFonts w:ascii="Arial" w:cs="Arial" w:eastAsia="Arial" w:hAnsi="Arial"/>
                <w:sz w:val="18"/>
                <w:szCs w:val="18"/>
                <w:color w:val="auto"/>
              </w:rPr>
              <w:t>20,660</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Pr>
          <w:p>
            <w:pPr>
              <w:jc w:val="right"/>
              <w:ind w:right="20"/>
              <w:spacing w:after="0"/>
              <w:rPr>
                <w:sz w:val="20"/>
                <w:szCs w:val="20"/>
                <w:color w:val="auto"/>
              </w:rPr>
            </w:pPr>
            <w:r>
              <w:rPr>
                <w:rFonts w:ascii="Arial" w:cs="Arial" w:eastAsia="Arial" w:hAnsi="Arial"/>
                <w:sz w:val="18"/>
                <w:szCs w:val="18"/>
                <w:color w:val="auto"/>
              </w:rPr>
              <w:t>5,824,759</w:t>
            </w:r>
          </w:p>
        </w:tc>
        <w:tc>
          <w:tcPr>
            <w:tcW w:w="0" w:type="dxa"/>
            <w:vAlign w:val="bottom"/>
          </w:tcPr>
          <w:p>
            <w:pPr>
              <w:spacing w:after="0"/>
              <w:rPr>
                <w:sz w:val="1"/>
                <w:szCs w:val="1"/>
                <w:color w:val="auto"/>
              </w:rPr>
            </w:pPr>
          </w:p>
        </w:tc>
      </w:tr>
      <w:tr>
        <w:trPr>
          <w:trHeight w:val="270"/>
        </w:trPr>
        <w:tc>
          <w:tcPr>
            <w:tcW w:w="4920" w:type="dxa"/>
            <w:vAlign w:val="bottom"/>
            <w:gridSpan w:val="2"/>
          </w:tcPr>
          <w:p>
            <w:pPr>
              <w:ind w:left="40"/>
              <w:spacing w:after="0"/>
              <w:rPr>
                <w:sz w:val="20"/>
                <w:szCs w:val="20"/>
                <w:color w:val="auto"/>
              </w:rPr>
            </w:pPr>
            <w:r>
              <w:rPr>
                <w:rFonts w:ascii="Arial" w:cs="Arial" w:eastAsia="Arial" w:hAnsi="Arial"/>
                <w:sz w:val="18"/>
                <w:szCs w:val="18"/>
                <w:color w:val="auto"/>
              </w:rPr>
              <w:t>August 1, 2014 through August 31, 2014</w:t>
            </w:r>
          </w:p>
        </w:tc>
        <w:tc>
          <w:tcPr>
            <w:tcW w:w="1500" w:type="dxa"/>
            <w:vAlign w:val="bottom"/>
          </w:tcPr>
          <w:p>
            <w:pPr>
              <w:jc w:val="right"/>
              <w:ind w:right="38"/>
              <w:spacing w:after="0"/>
              <w:rPr>
                <w:sz w:val="20"/>
                <w:szCs w:val="20"/>
                <w:color w:val="auto"/>
              </w:rPr>
            </w:pPr>
            <w:r>
              <w:rPr>
                <w:rFonts w:ascii="Arial" w:cs="Arial" w:eastAsia="Arial" w:hAnsi="Arial"/>
                <w:sz w:val="18"/>
                <w:szCs w:val="18"/>
                <w:color w:val="auto"/>
              </w:rPr>
              <w:t>38,047</w:t>
            </w: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200" w:type="dxa"/>
            <w:vAlign w:val="bottom"/>
          </w:tcPr>
          <w:p>
            <w:pPr>
              <w:jc w:val="right"/>
              <w:ind w:right="36"/>
              <w:spacing w:after="0"/>
              <w:rPr>
                <w:sz w:val="20"/>
                <w:szCs w:val="20"/>
                <w:color w:val="auto"/>
              </w:rPr>
            </w:pPr>
            <w:r>
              <w:rPr>
                <w:rFonts w:ascii="Arial" w:cs="Arial" w:eastAsia="Arial" w:hAnsi="Arial"/>
                <w:sz w:val="18"/>
                <w:szCs w:val="18"/>
                <w:color w:val="auto"/>
              </w:rPr>
              <w:t>9.52</w:t>
            </w:r>
          </w:p>
        </w:tc>
        <w:tc>
          <w:tcPr>
            <w:tcW w:w="100" w:type="dxa"/>
            <w:vAlign w:val="bottom"/>
          </w:tcPr>
          <w:p>
            <w:pPr>
              <w:spacing w:after="0"/>
              <w:rPr>
                <w:sz w:val="23"/>
                <w:szCs w:val="23"/>
                <w:color w:val="auto"/>
              </w:rPr>
            </w:pPr>
          </w:p>
        </w:tc>
        <w:tc>
          <w:tcPr>
            <w:tcW w:w="1580" w:type="dxa"/>
            <w:vAlign w:val="bottom"/>
          </w:tcPr>
          <w:p>
            <w:pPr>
              <w:jc w:val="right"/>
              <w:ind w:right="20"/>
              <w:spacing w:after="0"/>
              <w:rPr>
                <w:sz w:val="20"/>
                <w:szCs w:val="20"/>
                <w:color w:val="auto"/>
              </w:rPr>
            </w:pPr>
            <w:r>
              <w:rPr>
                <w:rFonts w:ascii="Arial" w:cs="Arial" w:eastAsia="Arial" w:hAnsi="Arial"/>
                <w:sz w:val="18"/>
                <w:szCs w:val="18"/>
                <w:color w:val="auto"/>
              </w:rPr>
              <w:t>38,047</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440" w:type="dxa"/>
            <w:vAlign w:val="bottom"/>
          </w:tcPr>
          <w:p>
            <w:pPr>
              <w:jc w:val="right"/>
              <w:ind w:right="20"/>
              <w:spacing w:after="0"/>
              <w:rPr>
                <w:sz w:val="20"/>
                <w:szCs w:val="20"/>
                <w:color w:val="auto"/>
              </w:rPr>
            </w:pPr>
            <w:r>
              <w:rPr>
                <w:rFonts w:ascii="Arial" w:cs="Arial" w:eastAsia="Arial" w:hAnsi="Arial"/>
                <w:sz w:val="18"/>
                <w:szCs w:val="18"/>
                <w:color w:val="auto"/>
              </w:rPr>
              <w:t>5,462,460</w:t>
            </w:r>
          </w:p>
        </w:tc>
        <w:tc>
          <w:tcPr>
            <w:tcW w:w="0" w:type="dxa"/>
            <w:vAlign w:val="bottom"/>
          </w:tcPr>
          <w:p>
            <w:pPr>
              <w:spacing w:after="0"/>
              <w:rPr>
                <w:sz w:val="1"/>
                <w:szCs w:val="1"/>
                <w:color w:val="auto"/>
              </w:rPr>
            </w:pPr>
          </w:p>
        </w:tc>
      </w:tr>
      <w:tr>
        <w:trPr>
          <w:trHeight w:val="270"/>
        </w:trPr>
        <w:tc>
          <w:tcPr>
            <w:tcW w:w="4920" w:type="dxa"/>
            <w:vAlign w:val="bottom"/>
            <w:gridSpan w:val="2"/>
          </w:tcPr>
          <w:p>
            <w:pPr>
              <w:ind w:left="40"/>
              <w:spacing w:after="0"/>
              <w:rPr>
                <w:sz w:val="20"/>
                <w:szCs w:val="20"/>
                <w:color w:val="auto"/>
              </w:rPr>
            </w:pPr>
            <w:r>
              <w:rPr>
                <w:rFonts w:ascii="Arial" w:cs="Arial" w:eastAsia="Arial" w:hAnsi="Arial"/>
                <w:sz w:val="18"/>
                <w:szCs w:val="18"/>
                <w:color w:val="auto"/>
              </w:rPr>
              <w:t>September 1, 2014 through September 30, 2014</w:t>
            </w:r>
          </w:p>
        </w:tc>
        <w:tc>
          <w:tcPr>
            <w:tcW w:w="1500" w:type="dxa"/>
            <w:vAlign w:val="bottom"/>
          </w:tcPr>
          <w:p>
            <w:pPr>
              <w:jc w:val="right"/>
              <w:ind w:right="38"/>
              <w:spacing w:after="0"/>
              <w:rPr>
                <w:sz w:val="20"/>
                <w:szCs w:val="20"/>
                <w:color w:val="auto"/>
              </w:rPr>
            </w:pPr>
            <w:r>
              <w:rPr>
                <w:rFonts w:ascii="Arial" w:cs="Arial" w:eastAsia="Arial" w:hAnsi="Arial"/>
                <w:sz w:val="18"/>
                <w:szCs w:val="18"/>
                <w:color w:val="auto"/>
              </w:rPr>
              <w:t>22,152</w:t>
            </w: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200" w:type="dxa"/>
            <w:vAlign w:val="bottom"/>
          </w:tcPr>
          <w:p>
            <w:pPr>
              <w:jc w:val="right"/>
              <w:ind w:right="36"/>
              <w:spacing w:after="0"/>
              <w:rPr>
                <w:sz w:val="20"/>
                <w:szCs w:val="20"/>
                <w:color w:val="auto"/>
              </w:rPr>
            </w:pPr>
            <w:r>
              <w:rPr>
                <w:rFonts w:ascii="Arial" w:cs="Arial" w:eastAsia="Arial" w:hAnsi="Arial"/>
                <w:sz w:val="18"/>
                <w:szCs w:val="18"/>
                <w:color w:val="auto"/>
              </w:rPr>
              <w:t>8.66</w:t>
            </w:r>
          </w:p>
        </w:tc>
        <w:tc>
          <w:tcPr>
            <w:tcW w:w="100" w:type="dxa"/>
            <w:vAlign w:val="bottom"/>
          </w:tcPr>
          <w:p>
            <w:pPr>
              <w:spacing w:after="0"/>
              <w:rPr>
                <w:sz w:val="23"/>
                <w:szCs w:val="23"/>
                <w:color w:val="auto"/>
              </w:rPr>
            </w:pPr>
          </w:p>
        </w:tc>
        <w:tc>
          <w:tcPr>
            <w:tcW w:w="1580" w:type="dxa"/>
            <w:vAlign w:val="bottom"/>
          </w:tcPr>
          <w:p>
            <w:pPr>
              <w:jc w:val="right"/>
              <w:ind w:right="20"/>
              <w:spacing w:after="0"/>
              <w:rPr>
                <w:sz w:val="20"/>
                <w:szCs w:val="20"/>
                <w:color w:val="auto"/>
              </w:rPr>
            </w:pPr>
            <w:r>
              <w:rPr>
                <w:rFonts w:ascii="Arial" w:cs="Arial" w:eastAsia="Arial" w:hAnsi="Arial"/>
                <w:sz w:val="18"/>
                <w:szCs w:val="18"/>
                <w:color w:val="auto"/>
              </w:rPr>
              <w:t>22,152</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440" w:type="dxa"/>
            <w:vAlign w:val="bottom"/>
          </w:tcPr>
          <w:p>
            <w:pPr>
              <w:jc w:val="right"/>
              <w:ind w:right="20"/>
              <w:spacing w:after="0"/>
              <w:rPr>
                <w:sz w:val="20"/>
                <w:szCs w:val="20"/>
                <w:color w:val="auto"/>
              </w:rPr>
            </w:pPr>
            <w:r>
              <w:rPr>
                <w:rFonts w:ascii="Arial" w:cs="Arial" w:eastAsia="Arial" w:hAnsi="Arial"/>
                <w:sz w:val="18"/>
                <w:szCs w:val="18"/>
                <w:color w:val="auto"/>
              </w:rPr>
              <w:t>5,270,661</w:t>
            </w:r>
          </w:p>
        </w:tc>
        <w:tc>
          <w:tcPr>
            <w:tcW w:w="0" w:type="dxa"/>
            <w:vAlign w:val="bottom"/>
          </w:tcPr>
          <w:p>
            <w:pPr>
              <w:spacing w:after="0"/>
              <w:rPr>
                <w:sz w:val="1"/>
                <w:szCs w:val="1"/>
                <w:color w:val="auto"/>
              </w:rPr>
            </w:pPr>
          </w:p>
        </w:tc>
      </w:tr>
      <w:tr>
        <w:trPr>
          <w:trHeight w:val="27"/>
        </w:trPr>
        <w:tc>
          <w:tcPr>
            <w:tcW w:w="48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920" w:type="dxa"/>
            <w:vAlign w:val="bottom"/>
            <w:gridSpan w:val="2"/>
          </w:tcPr>
          <w:p>
            <w:pPr>
              <w:ind w:left="2200"/>
              <w:spacing w:after="0"/>
              <w:rPr>
                <w:sz w:val="20"/>
                <w:szCs w:val="20"/>
                <w:color w:val="auto"/>
              </w:rPr>
            </w:pPr>
            <w:r>
              <w:rPr>
                <w:rFonts w:ascii="Arial" w:cs="Arial" w:eastAsia="Arial" w:hAnsi="Arial"/>
                <w:sz w:val="18"/>
                <w:szCs w:val="18"/>
                <w:b w:val="1"/>
                <w:bCs w:val="1"/>
                <w:color w:val="auto"/>
              </w:rPr>
              <w:t>Total</w:t>
            </w:r>
          </w:p>
        </w:tc>
        <w:tc>
          <w:tcPr>
            <w:tcW w:w="1500" w:type="dxa"/>
            <w:vAlign w:val="bottom"/>
          </w:tcPr>
          <w:p>
            <w:pPr>
              <w:jc w:val="right"/>
              <w:ind w:right="38"/>
              <w:spacing w:after="0"/>
              <w:rPr>
                <w:sz w:val="20"/>
                <w:szCs w:val="20"/>
                <w:color w:val="auto"/>
              </w:rPr>
            </w:pPr>
            <w:r>
              <w:rPr>
                <w:rFonts w:ascii="Arial" w:cs="Arial" w:eastAsia="Arial" w:hAnsi="Arial"/>
                <w:sz w:val="18"/>
                <w:szCs w:val="18"/>
                <w:b w:val="1"/>
                <w:bCs w:val="1"/>
                <w:color w:val="auto"/>
              </w:rPr>
              <w:t>80,859</w:t>
            </w:r>
          </w:p>
        </w:tc>
        <w:tc>
          <w:tcPr>
            <w:tcW w:w="120" w:type="dxa"/>
            <w:vAlign w:val="bottom"/>
          </w:tcPr>
          <w:p>
            <w:pPr>
              <w:spacing w:after="0"/>
              <w:rPr>
                <w:sz w:val="20"/>
                <w:szCs w:val="20"/>
                <w:color w:val="auto"/>
              </w:rPr>
            </w:pPr>
          </w:p>
        </w:tc>
        <w:tc>
          <w:tcPr>
            <w:tcW w:w="300" w:type="dxa"/>
            <w:vAlign w:val="bottom"/>
          </w:tcPr>
          <w:p>
            <w:pPr>
              <w:ind w:left="40"/>
              <w:spacing w:after="0"/>
              <w:rPr>
                <w:sz w:val="20"/>
                <w:szCs w:val="20"/>
                <w:color w:val="auto"/>
              </w:rPr>
            </w:pPr>
            <w:r>
              <w:rPr>
                <w:rFonts w:ascii="Arial" w:cs="Arial" w:eastAsia="Arial" w:hAnsi="Arial"/>
                <w:sz w:val="18"/>
                <w:szCs w:val="18"/>
                <w:b w:val="1"/>
                <w:bCs w:val="1"/>
                <w:color w:val="auto"/>
              </w:rPr>
              <w:t>$</w:t>
            </w:r>
          </w:p>
        </w:tc>
        <w:tc>
          <w:tcPr>
            <w:tcW w:w="1200" w:type="dxa"/>
            <w:vAlign w:val="bottom"/>
          </w:tcPr>
          <w:p>
            <w:pPr>
              <w:jc w:val="right"/>
              <w:ind w:right="36"/>
              <w:spacing w:after="0"/>
              <w:rPr>
                <w:sz w:val="20"/>
                <w:szCs w:val="20"/>
                <w:color w:val="auto"/>
              </w:rPr>
            </w:pPr>
            <w:r>
              <w:rPr>
                <w:rFonts w:ascii="Arial" w:cs="Arial" w:eastAsia="Arial" w:hAnsi="Arial"/>
                <w:sz w:val="18"/>
                <w:szCs w:val="18"/>
                <w:b w:val="1"/>
                <w:bCs w:val="1"/>
                <w:color w:val="auto"/>
              </w:rPr>
              <w:t>9.37</w:t>
            </w:r>
          </w:p>
        </w:tc>
        <w:tc>
          <w:tcPr>
            <w:tcW w:w="100" w:type="dxa"/>
            <w:vAlign w:val="bottom"/>
          </w:tcPr>
          <w:p>
            <w:pPr>
              <w:spacing w:after="0"/>
              <w:rPr>
                <w:sz w:val="20"/>
                <w:szCs w:val="20"/>
                <w:color w:val="auto"/>
              </w:rPr>
            </w:pPr>
          </w:p>
        </w:tc>
        <w:tc>
          <w:tcPr>
            <w:tcW w:w="1580" w:type="dxa"/>
            <w:vAlign w:val="bottom"/>
          </w:tcPr>
          <w:p>
            <w:pPr>
              <w:jc w:val="right"/>
              <w:ind w:right="20"/>
              <w:spacing w:after="0"/>
              <w:rPr>
                <w:sz w:val="20"/>
                <w:szCs w:val="20"/>
                <w:color w:val="auto"/>
              </w:rPr>
            </w:pPr>
            <w:r>
              <w:rPr>
                <w:rFonts w:ascii="Arial" w:cs="Arial" w:eastAsia="Arial" w:hAnsi="Arial"/>
                <w:sz w:val="18"/>
                <w:szCs w:val="18"/>
                <w:b w:val="1"/>
                <w:bCs w:val="1"/>
                <w:color w:val="auto"/>
              </w:rPr>
              <w:t>80,859</w:t>
            </w:r>
          </w:p>
        </w:tc>
        <w:tc>
          <w:tcPr>
            <w:tcW w:w="10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8"/>
                <w:szCs w:val="18"/>
                <w:b w:val="1"/>
                <w:bCs w:val="1"/>
                <w:color w:val="auto"/>
                <w:w w:val="99"/>
              </w:rPr>
              <w:t>$</w:t>
            </w:r>
          </w:p>
        </w:tc>
        <w:tc>
          <w:tcPr>
            <w:tcW w:w="1440" w:type="dxa"/>
            <w:vAlign w:val="bottom"/>
          </w:tcPr>
          <w:p>
            <w:pPr>
              <w:jc w:val="right"/>
              <w:ind w:right="20"/>
              <w:spacing w:after="0"/>
              <w:rPr>
                <w:sz w:val="20"/>
                <w:szCs w:val="20"/>
                <w:color w:val="auto"/>
              </w:rPr>
            </w:pPr>
            <w:r>
              <w:rPr>
                <w:rFonts w:ascii="Arial" w:cs="Arial" w:eastAsia="Arial" w:hAnsi="Arial"/>
                <w:sz w:val="18"/>
                <w:szCs w:val="18"/>
                <w:b w:val="1"/>
                <w:bCs w:val="1"/>
                <w:color w:val="auto"/>
              </w:rPr>
              <w:t>5,270,661</w:t>
            </w:r>
          </w:p>
        </w:tc>
        <w:tc>
          <w:tcPr>
            <w:tcW w:w="0" w:type="dxa"/>
            <w:vAlign w:val="bottom"/>
          </w:tcPr>
          <w:p>
            <w:pPr>
              <w:spacing w:after="0"/>
              <w:rPr>
                <w:sz w:val="1"/>
                <w:szCs w:val="1"/>
                <w:color w:val="auto"/>
              </w:rPr>
            </w:pPr>
          </w:p>
        </w:tc>
      </w:tr>
      <w:tr>
        <w:trPr>
          <w:trHeight w:val="27"/>
        </w:trPr>
        <w:tc>
          <w:tcPr>
            <w:tcW w:w="48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4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340" w:hanging="332"/>
        <w:spacing w:after="0" w:line="271" w:lineRule="auto"/>
        <w:tabs>
          <w:tab w:leader="none" w:pos="340" w:val="left"/>
        </w:tabs>
        <w:numPr>
          <w:ilvl w:val="0"/>
          <w:numId w:val="10"/>
        </w:numPr>
        <w:rPr>
          <w:rFonts w:ascii="Arial" w:cs="Arial" w:eastAsia="Arial" w:hAnsi="Arial"/>
          <w:sz w:val="17"/>
          <w:szCs w:val="17"/>
          <w:color w:val="auto"/>
        </w:rPr>
      </w:pPr>
      <w:r>
        <w:rPr>
          <w:rFonts w:ascii="Arial" w:cs="Arial" w:eastAsia="Arial" w:hAnsi="Arial"/>
          <w:sz w:val="17"/>
          <w:szCs w:val="17"/>
          <w:color w:val="auto"/>
        </w:rPr>
        <w:t>In May 2012, our Board of Directors authorized a stock repurchase program. Under the program, we were originally authorized to repurchase up to $2 million of our outstanding common stock from time to time over the following 12 months. Any stock repurchases may be made through open market and privately negotiated transactions, at times and in such amounts as management deems appropriate, including pursuant to one or more Rule 10b5-1 trading plans. Rule 10b5-1 permits us to establish, while not in possession of material nonpublic information, prearranged plans to buy stock at a specific price in the future, regardless of any subsequent possession of material nonpublic information. The timing and actual number of shares repurchased will depend on a variety of factors, including market conditions and other factors. The stock repurchase program may be suspended or discontinued at any time without prior notice. On July 30, 2012, the Board of Directors increased the repurchase amount to $3 million from the original $2 million. On February 20, 2013, the Board of Directors increased the repurchase amount to $10 million from $3 million.</w:t>
      </w:r>
    </w:p>
    <w:p>
      <w:pPr>
        <w:spacing w:after="0" w:line="178" w:lineRule="exact"/>
        <w:rPr>
          <w:rFonts w:ascii="Arial" w:cs="Arial" w:eastAsia="Arial" w:hAnsi="Arial"/>
          <w:sz w:val="17"/>
          <w:szCs w:val="17"/>
          <w:color w:val="auto"/>
        </w:rPr>
      </w:pPr>
    </w:p>
    <w:p>
      <w:pPr>
        <w:ind w:left="340" w:hanging="332"/>
        <w:spacing w:after="0"/>
        <w:tabs>
          <w:tab w:leader="none" w:pos="3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price paid per share of common stock includes the related transaction costs.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INFORMATION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EXHIBITS</w:t>
      </w:r>
    </w:p>
    <w:p>
      <w:pPr>
        <w:spacing w:after="0" w:line="374" w:lineRule="exact"/>
        <w:rPr>
          <w:sz w:val="20"/>
          <w:szCs w:val="20"/>
          <w:color w:val="auto"/>
        </w:rPr>
      </w:pPr>
    </w:p>
    <w:tbl>
      <w:tblPr>
        <w:tblLayout w:type="fixed"/>
        <w:tblInd w:w="40" w:type="dxa"/>
        <w:tblCellMar>
          <w:top w:w="0" w:type="dxa"/>
          <w:left w:w="0" w:type="dxa"/>
          <w:bottom w:w="0" w:type="dxa"/>
          <w:right w:w="0" w:type="dxa"/>
        </w:tblCellMar>
      </w:tblPr>
      <w:tr>
        <w:trPr>
          <w:trHeight w:val="207"/>
        </w:trPr>
        <w:tc>
          <w:tcPr>
            <w:tcW w:w="880" w:type="dxa"/>
            <w:vAlign w:val="bottom"/>
          </w:tcPr>
          <w:p>
            <w:pPr>
              <w:spacing w:after="0"/>
              <w:rPr>
                <w:sz w:val="20"/>
                <w:szCs w:val="20"/>
                <w:color w:val="auto"/>
              </w:rPr>
            </w:pPr>
            <w:r>
              <w:rPr>
                <w:rFonts w:ascii="Arial" w:cs="Arial" w:eastAsia="Arial" w:hAnsi="Arial"/>
                <w:sz w:val="18"/>
                <w:szCs w:val="18"/>
                <w:b w:val="1"/>
                <w:bCs w:val="1"/>
                <w:color w:val="auto"/>
                <w:w w:val="91"/>
              </w:rPr>
              <w:t>Exhibit No.</w:t>
            </w:r>
          </w:p>
        </w:tc>
        <w:tc>
          <w:tcPr>
            <w:tcW w:w="720" w:type="dxa"/>
            <w:vAlign w:val="bottom"/>
          </w:tcPr>
          <w:p>
            <w:pPr>
              <w:spacing w:after="0"/>
              <w:rPr>
                <w:sz w:val="18"/>
                <w:szCs w:val="18"/>
                <w:color w:val="auto"/>
              </w:rPr>
            </w:pPr>
          </w:p>
        </w:tc>
        <w:tc>
          <w:tcPr>
            <w:tcW w:w="3980" w:type="dxa"/>
            <w:vAlign w:val="bottom"/>
            <w:gridSpan w:val="3"/>
          </w:tcPr>
          <w:p>
            <w:pPr>
              <w:spacing w:after="0"/>
              <w:rPr>
                <w:sz w:val="20"/>
                <w:szCs w:val="20"/>
                <w:color w:val="auto"/>
              </w:rPr>
            </w:pPr>
            <w:r>
              <w:rPr>
                <w:rFonts w:ascii="Arial" w:cs="Arial" w:eastAsia="Arial" w:hAnsi="Arial"/>
                <w:sz w:val="18"/>
                <w:szCs w:val="18"/>
                <w:b w:val="1"/>
                <w:bCs w:val="1"/>
                <w:color w:val="auto"/>
              </w:rPr>
              <w:t>Title of Document</w:t>
            </w:r>
          </w:p>
        </w:tc>
      </w:tr>
      <w:tr>
        <w:trPr>
          <w:trHeight w:val="20"/>
        </w:trPr>
        <w:tc>
          <w:tcPr>
            <w:tcW w:w="880" w:type="dxa"/>
            <w:vAlign w:val="bottom"/>
            <w:shd w:val="clear" w:color="auto" w:fill="000000"/>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600" w:type="dxa"/>
            <w:vAlign w:val="bottom"/>
          </w:tcPr>
          <w:p>
            <w:pPr>
              <w:spacing w:after="0" w:line="20" w:lineRule="exact"/>
              <w:rPr>
                <w:sz w:val="1"/>
                <w:szCs w:val="1"/>
                <w:color w:val="auto"/>
              </w:rPr>
            </w:pPr>
          </w:p>
        </w:tc>
      </w:tr>
      <w:tr>
        <w:trPr>
          <w:trHeight w:val="291"/>
        </w:trPr>
        <w:tc>
          <w:tcPr>
            <w:tcW w:w="880" w:type="dxa"/>
            <w:vAlign w:val="bottom"/>
          </w:tcPr>
          <w:p>
            <w:pPr>
              <w:spacing w:after="0"/>
              <w:rPr>
                <w:sz w:val="20"/>
                <w:szCs w:val="20"/>
                <w:color w:val="auto"/>
              </w:rPr>
            </w:pPr>
            <w:r>
              <w:rPr>
                <w:rFonts w:ascii="Arial" w:cs="Arial" w:eastAsia="Arial" w:hAnsi="Arial"/>
                <w:sz w:val="18"/>
                <w:szCs w:val="18"/>
                <w:color w:val="auto"/>
              </w:rPr>
              <w:t>31.1</w:t>
            </w:r>
          </w:p>
        </w:tc>
        <w:tc>
          <w:tcPr>
            <w:tcW w:w="720" w:type="dxa"/>
            <w:vAlign w:val="bottom"/>
          </w:tcPr>
          <w:p>
            <w:pPr>
              <w:spacing w:after="0"/>
              <w:rPr>
                <w:sz w:val="24"/>
                <w:szCs w:val="24"/>
                <w:color w:val="auto"/>
              </w:rPr>
            </w:pPr>
          </w:p>
        </w:tc>
        <w:tc>
          <w:tcPr>
            <w:tcW w:w="880" w:type="dxa"/>
            <w:vAlign w:val="bottom"/>
          </w:tcPr>
          <w:p>
            <w:pPr>
              <w:spacing w:after="0"/>
              <w:rPr>
                <w:sz w:val="20"/>
                <w:szCs w:val="20"/>
                <w:color w:val="auto"/>
              </w:rPr>
            </w:pPr>
            <w:r>
              <w:rPr>
                <w:rFonts w:ascii="Arial" w:cs="Arial" w:eastAsia="Arial" w:hAnsi="Arial"/>
                <w:sz w:val="18"/>
                <w:szCs w:val="18"/>
                <w:color w:val="auto"/>
                <w:w w:val="90"/>
              </w:rPr>
              <w:t>Section 302</w:t>
            </w:r>
          </w:p>
        </w:tc>
        <w:tc>
          <w:tcPr>
            <w:tcW w:w="3100" w:type="dxa"/>
            <w:vAlign w:val="bottom"/>
            <w:gridSpan w:val="2"/>
          </w:tcPr>
          <w:p>
            <w:pPr>
              <w:ind w:left="20"/>
              <w:spacing w:after="0"/>
              <w:rPr>
                <w:sz w:val="20"/>
                <w:szCs w:val="20"/>
                <w:color w:val="auto"/>
              </w:rPr>
            </w:pPr>
            <w:r>
              <w:rPr>
                <w:rFonts w:ascii="Arial" w:cs="Arial" w:eastAsia="Arial" w:hAnsi="Arial"/>
                <w:sz w:val="18"/>
                <w:szCs w:val="18"/>
                <w:color w:val="auto"/>
              </w:rPr>
              <w:t>Certification of Chief Executive Officer</w:t>
            </w:r>
          </w:p>
        </w:tc>
      </w:tr>
      <w:tr>
        <w:trPr>
          <w:trHeight w:val="459"/>
        </w:trPr>
        <w:tc>
          <w:tcPr>
            <w:tcW w:w="880" w:type="dxa"/>
            <w:vAlign w:val="bottom"/>
          </w:tcPr>
          <w:p>
            <w:pPr>
              <w:spacing w:after="0"/>
              <w:rPr>
                <w:sz w:val="20"/>
                <w:szCs w:val="20"/>
                <w:color w:val="auto"/>
              </w:rPr>
            </w:pPr>
            <w:r>
              <w:rPr>
                <w:rFonts w:ascii="Arial" w:cs="Arial" w:eastAsia="Arial" w:hAnsi="Arial"/>
                <w:sz w:val="18"/>
                <w:szCs w:val="18"/>
                <w:color w:val="auto"/>
              </w:rPr>
              <w:t>31.2</w:t>
            </w:r>
          </w:p>
        </w:tc>
        <w:tc>
          <w:tcPr>
            <w:tcW w:w="720" w:type="dxa"/>
            <w:vAlign w:val="bottom"/>
          </w:tcPr>
          <w:p>
            <w:pPr>
              <w:spacing w:after="0"/>
              <w:rPr>
                <w:sz w:val="24"/>
                <w:szCs w:val="24"/>
                <w:color w:val="auto"/>
              </w:rPr>
            </w:pPr>
          </w:p>
        </w:tc>
        <w:tc>
          <w:tcPr>
            <w:tcW w:w="880" w:type="dxa"/>
            <w:vAlign w:val="bottom"/>
          </w:tcPr>
          <w:p>
            <w:pPr>
              <w:spacing w:after="0"/>
              <w:rPr>
                <w:sz w:val="20"/>
                <w:szCs w:val="20"/>
                <w:color w:val="auto"/>
              </w:rPr>
            </w:pPr>
            <w:r>
              <w:rPr>
                <w:rFonts w:ascii="Arial" w:cs="Arial" w:eastAsia="Arial" w:hAnsi="Arial"/>
                <w:sz w:val="18"/>
                <w:szCs w:val="18"/>
                <w:color w:val="auto"/>
                <w:w w:val="90"/>
              </w:rPr>
              <w:t>Section 302</w:t>
            </w:r>
          </w:p>
        </w:tc>
        <w:tc>
          <w:tcPr>
            <w:tcW w:w="3100" w:type="dxa"/>
            <w:vAlign w:val="bottom"/>
            <w:gridSpan w:val="2"/>
          </w:tcPr>
          <w:p>
            <w:pPr>
              <w:ind w:left="20"/>
              <w:spacing w:after="0"/>
              <w:rPr>
                <w:sz w:val="20"/>
                <w:szCs w:val="20"/>
                <w:color w:val="auto"/>
              </w:rPr>
            </w:pPr>
            <w:r>
              <w:rPr>
                <w:rFonts w:ascii="Arial" w:cs="Arial" w:eastAsia="Arial" w:hAnsi="Arial"/>
                <w:sz w:val="18"/>
                <w:szCs w:val="18"/>
                <w:color w:val="auto"/>
                <w:w w:val="94"/>
              </w:rPr>
              <w:t>Certification of Principal Financial Officer</w:t>
            </w:r>
          </w:p>
        </w:tc>
      </w:tr>
      <w:tr>
        <w:trPr>
          <w:trHeight w:val="459"/>
        </w:trPr>
        <w:tc>
          <w:tcPr>
            <w:tcW w:w="880" w:type="dxa"/>
            <w:vAlign w:val="bottom"/>
          </w:tcPr>
          <w:p>
            <w:pPr>
              <w:spacing w:after="0"/>
              <w:rPr>
                <w:sz w:val="20"/>
                <w:szCs w:val="20"/>
                <w:color w:val="auto"/>
              </w:rPr>
            </w:pPr>
            <w:r>
              <w:rPr>
                <w:rFonts w:ascii="Arial" w:cs="Arial" w:eastAsia="Arial" w:hAnsi="Arial"/>
                <w:sz w:val="18"/>
                <w:szCs w:val="18"/>
                <w:color w:val="auto"/>
              </w:rPr>
              <w:t>32.1</w:t>
            </w:r>
          </w:p>
        </w:tc>
        <w:tc>
          <w:tcPr>
            <w:tcW w:w="720" w:type="dxa"/>
            <w:vAlign w:val="bottom"/>
          </w:tcPr>
          <w:p>
            <w:pPr>
              <w:spacing w:after="0"/>
              <w:rPr>
                <w:sz w:val="24"/>
                <w:szCs w:val="24"/>
                <w:color w:val="auto"/>
              </w:rPr>
            </w:pPr>
          </w:p>
        </w:tc>
        <w:tc>
          <w:tcPr>
            <w:tcW w:w="880" w:type="dxa"/>
            <w:vAlign w:val="bottom"/>
          </w:tcPr>
          <w:p>
            <w:pPr>
              <w:spacing w:after="0"/>
              <w:rPr>
                <w:sz w:val="20"/>
                <w:szCs w:val="20"/>
                <w:color w:val="auto"/>
              </w:rPr>
            </w:pPr>
            <w:r>
              <w:rPr>
                <w:rFonts w:ascii="Arial" w:cs="Arial" w:eastAsia="Arial" w:hAnsi="Arial"/>
                <w:sz w:val="18"/>
                <w:szCs w:val="18"/>
                <w:color w:val="auto"/>
                <w:w w:val="90"/>
              </w:rPr>
              <w:t>Section 906</w:t>
            </w:r>
          </w:p>
        </w:tc>
        <w:tc>
          <w:tcPr>
            <w:tcW w:w="3100" w:type="dxa"/>
            <w:vAlign w:val="bottom"/>
            <w:gridSpan w:val="2"/>
          </w:tcPr>
          <w:p>
            <w:pPr>
              <w:ind w:left="20"/>
              <w:spacing w:after="0"/>
              <w:rPr>
                <w:sz w:val="20"/>
                <w:szCs w:val="20"/>
                <w:color w:val="auto"/>
              </w:rPr>
            </w:pPr>
            <w:r>
              <w:rPr>
                <w:rFonts w:ascii="Arial" w:cs="Arial" w:eastAsia="Arial" w:hAnsi="Arial"/>
                <w:sz w:val="18"/>
                <w:szCs w:val="18"/>
                <w:color w:val="auto"/>
              </w:rPr>
              <w:t>Certification of Chief Executive Officer</w:t>
            </w:r>
          </w:p>
        </w:tc>
      </w:tr>
      <w:tr>
        <w:trPr>
          <w:trHeight w:val="459"/>
        </w:trPr>
        <w:tc>
          <w:tcPr>
            <w:tcW w:w="880" w:type="dxa"/>
            <w:vAlign w:val="bottom"/>
          </w:tcPr>
          <w:p>
            <w:pPr>
              <w:spacing w:after="0"/>
              <w:rPr>
                <w:sz w:val="20"/>
                <w:szCs w:val="20"/>
                <w:color w:val="auto"/>
              </w:rPr>
            </w:pPr>
            <w:r>
              <w:rPr>
                <w:rFonts w:ascii="Arial" w:cs="Arial" w:eastAsia="Arial" w:hAnsi="Arial"/>
                <w:sz w:val="18"/>
                <w:szCs w:val="18"/>
                <w:color w:val="auto"/>
              </w:rPr>
              <w:t>32.2</w:t>
            </w:r>
          </w:p>
        </w:tc>
        <w:tc>
          <w:tcPr>
            <w:tcW w:w="720" w:type="dxa"/>
            <w:vAlign w:val="bottom"/>
          </w:tcPr>
          <w:p>
            <w:pPr>
              <w:spacing w:after="0"/>
              <w:rPr>
                <w:sz w:val="24"/>
                <w:szCs w:val="24"/>
                <w:color w:val="auto"/>
              </w:rPr>
            </w:pPr>
          </w:p>
        </w:tc>
        <w:tc>
          <w:tcPr>
            <w:tcW w:w="880" w:type="dxa"/>
            <w:vAlign w:val="bottom"/>
          </w:tcPr>
          <w:p>
            <w:pPr>
              <w:spacing w:after="0"/>
              <w:rPr>
                <w:sz w:val="20"/>
                <w:szCs w:val="20"/>
                <w:color w:val="auto"/>
              </w:rPr>
            </w:pPr>
            <w:r>
              <w:rPr>
                <w:rFonts w:ascii="Arial" w:cs="Arial" w:eastAsia="Arial" w:hAnsi="Arial"/>
                <w:sz w:val="18"/>
                <w:szCs w:val="18"/>
                <w:color w:val="auto"/>
                <w:w w:val="90"/>
              </w:rPr>
              <w:t>Section 906</w:t>
            </w:r>
          </w:p>
        </w:tc>
        <w:tc>
          <w:tcPr>
            <w:tcW w:w="3100" w:type="dxa"/>
            <w:vAlign w:val="bottom"/>
            <w:gridSpan w:val="2"/>
          </w:tcPr>
          <w:p>
            <w:pPr>
              <w:ind w:left="20"/>
              <w:spacing w:after="0"/>
              <w:rPr>
                <w:sz w:val="20"/>
                <w:szCs w:val="20"/>
                <w:color w:val="auto"/>
              </w:rPr>
            </w:pPr>
            <w:r>
              <w:rPr>
                <w:rFonts w:ascii="Arial" w:cs="Arial" w:eastAsia="Arial" w:hAnsi="Arial"/>
                <w:sz w:val="18"/>
                <w:szCs w:val="18"/>
                <w:color w:val="auto"/>
                <w:w w:val="94"/>
              </w:rPr>
              <w:t>Certification of Principal Financial Officer</w:t>
            </w:r>
          </w:p>
        </w:tc>
      </w:tr>
      <w:tr>
        <w:trPr>
          <w:trHeight w:val="459"/>
        </w:trPr>
        <w:tc>
          <w:tcPr>
            <w:tcW w:w="880" w:type="dxa"/>
            <w:vAlign w:val="bottom"/>
          </w:tcPr>
          <w:p>
            <w:pPr>
              <w:spacing w:after="0"/>
              <w:rPr>
                <w:sz w:val="20"/>
                <w:szCs w:val="20"/>
                <w:color w:val="auto"/>
              </w:rPr>
            </w:pPr>
            <w:r>
              <w:rPr>
                <w:rFonts w:ascii="Arial" w:cs="Arial" w:eastAsia="Arial" w:hAnsi="Arial"/>
                <w:sz w:val="18"/>
                <w:szCs w:val="18"/>
                <w:color w:val="auto"/>
              </w:rPr>
              <w:t>101.INS</w:t>
            </w:r>
          </w:p>
        </w:tc>
        <w:tc>
          <w:tcPr>
            <w:tcW w:w="720" w:type="dxa"/>
            <w:vAlign w:val="bottom"/>
          </w:tcPr>
          <w:p>
            <w:pPr>
              <w:spacing w:after="0"/>
              <w:rPr>
                <w:sz w:val="24"/>
                <w:szCs w:val="24"/>
                <w:color w:val="auto"/>
              </w:rPr>
            </w:pPr>
          </w:p>
        </w:tc>
        <w:tc>
          <w:tcPr>
            <w:tcW w:w="3980" w:type="dxa"/>
            <w:vAlign w:val="bottom"/>
            <w:gridSpan w:val="3"/>
          </w:tcPr>
          <w:p>
            <w:pPr>
              <w:spacing w:after="0"/>
              <w:rPr>
                <w:sz w:val="20"/>
                <w:szCs w:val="20"/>
                <w:color w:val="auto"/>
              </w:rPr>
            </w:pPr>
            <w:r>
              <w:rPr>
                <w:rFonts w:ascii="Arial" w:cs="Arial" w:eastAsia="Arial" w:hAnsi="Arial"/>
                <w:sz w:val="18"/>
                <w:szCs w:val="18"/>
                <w:color w:val="auto"/>
              </w:rPr>
              <w:t>XBRL Instance Document</w:t>
            </w:r>
          </w:p>
        </w:tc>
      </w:tr>
      <w:tr>
        <w:trPr>
          <w:trHeight w:val="459"/>
        </w:trPr>
        <w:tc>
          <w:tcPr>
            <w:tcW w:w="880" w:type="dxa"/>
            <w:vAlign w:val="bottom"/>
          </w:tcPr>
          <w:p>
            <w:pPr>
              <w:spacing w:after="0"/>
              <w:rPr>
                <w:sz w:val="20"/>
                <w:szCs w:val="20"/>
                <w:color w:val="auto"/>
              </w:rPr>
            </w:pPr>
            <w:r>
              <w:rPr>
                <w:rFonts w:ascii="Arial" w:cs="Arial" w:eastAsia="Arial" w:hAnsi="Arial"/>
                <w:sz w:val="18"/>
                <w:szCs w:val="18"/>
                <w:color w:val="auto"/>
              </w:rPr>
              <w:t>101.SCH</w:t>
            </w:r>
          </w:p>
        </w:tc>
        <w:tc>
          <w:tcPr>
            <w:tcW w:w="720" w:type="dxa"/>
            <w:vAlign w:val="bottom"/>
          </w:tcPr>
          <w:p>
            <w:pPr>
              <w:spacing w:after="0"/>
              <w:rPr>
                <w:sz w:val="24"/>
                <w:szCs w:val="24"/>
                <w:color w:val="auto"/>
              </w:rPr>
            </w:pPr>
          </w:p>
        </w:tc>
        <w:tc>
          <w:tcPr>
            <w:tcW w:w="3980" w:type="dxa"/>
            <w:vAlign w:val="bottom"/>
            <w:gridSpan w:val="3"/>
          </w:tcPr>
          <w:p>
            <w:pPr>
              <w:spacing w:after="0"/>
              <w:rPr>
                <w:sz w:val="20"/>
                <w:szCs w:val="20"/>
                <w:color w:val="auto"/>
              </w:rPr>
            </w:pPr>
            <w:r>
              <w:rPr>
                <w:rFonts w:ascii="Arial" w:cs="Arial" w:eastAsia="Arial" w:hAnsi="Arial"/>
                <w:sz w:val="18"/>
                <w:szCs w:val="18"/>
                <w:color w:val="auto"/>
              </w:rPr>
              <w:t>XBRL Taxonomy Extension Schema</w:t>
            </w:r>
          </w:p>
        </w:tc>
      </w:tr>
      <w:tr>
        <w:trPr>
          <w:trHeight w:val="459"/>
        </w:trPr>
        <w:tc>
          <w:tcPr>
            <w:tcW w:w="880" w:type="dxa"/>
            <w:vAlign w:val="bottom"/>
          </w:tcPr>
          <w:p>
            <w:pPr>
              <w:spacing w:after="0"/>
              <w:rPr>
                <w:sz w:val="20"/>
                <w:szCs w:val="20"/>
                <w:color w:val="auto"/>
              </w:rPr>
            </w:pPr>
            <w:r>
              <w:rPr>
                <w:rFonts w:ascii="Arial" w:cs="Arial" w:eastAsia="Arial" w:hAnsi="Arial"/>
                <w:sz w:val="18"/>
                <w:szCs w:val="18"/>
                <w:color w:val="auto"/>
              </w:rPr>
              <w:t>101.CAL</w:t>
            </w:r>
          </w:p>
        </w:tc>
        <w:tc>
          <w:tcPr>
            <w:tcW w:w="720" w:type="dxa"/>
            <w:vAlign w:val="bottom"/>
          </w:tcPr>
          <w:p>
            <w:pPr>
              <w:spacing w:after="0"/>
              <w:rPr>
                <w:sz w:val="24"/>
                <w:szCs w:val="24"/>
                <w:color w:val="auto"/>
              </w:rPr>
            </w:pPr>
          </w:p>
        </w:tc>
        <w:tc>
          <w:tcPr>
            <w:tcW w:w="3980" w:type="dxa"/>
            <w:vAlign w:val="bottom"/>
            <w:gridSpan w:val="3"/>
          </w:tcPr>
          <w:p>
            <w:pPr>
              <w:spacing w:after="0"/>
              <w:rPr>
                <w:sz w:val="20"/>
                <w:szCs w:val="20"/>
                <w:color w:val="auto"/>
              </w:rPr>
            </w:pPr>
            <w:r>
              <w:rPr>
                <w:rFonts w:ascii="Arial" w:cs="Arial" w:eastAsia="Arial" w:hAnsi="Arial"/>
                <w:sz w:val="18"/>
                <w:szCs w:val="18"/>
                <w:color w:val="auto"/>
              </w:rPr>
              <w:t>XBRL Taxonomy Extension Calculation Linkbase</w:t>
            </w:r>
          </w:p>
        </w:tc>
      </w:tr>
      <w:tr>
        <w:trPr>
          <w:trHeight w:val="459"/>
        </w:trPr>
        <w:tc>
          <w:tcPr>
            <w:tcW w:w="880" w:type="dxa"/>
            <w:vAlign w:val="bottom"/>
          </w:tcPr>
          <w:p>
            <w:pPr>
              <w:spacing w:after="0"/>
              <w:rPr>
                <w:sz w:val="20"/>
                <w:szCs w:val="20"/>
                <w:color w:val="auto"/>
              </w:rPr>
            </w:pPr>
            <w:r>
              <w:rPr>
                <w:rFonts w:ascii="Arial" w:cs="Arial" w:eastAsia="Arial" w:hAnsi="Arial"/>
                <w:sz w:val="18"/>
                <w:szCs w:val="18"/>
                <w:color w:val="auto"/>
              </w:rPr>
              <w:t>101.DEF</w:t>
            </w:r>
          </w:p>
        </w:tc>
        <w:tc>
          <w:tcPr>
            <w:tcW w:w="720" w:type="dxa"/>
            <w:vAlign w:val="bottom"/>
          </w:tcPr>
          <w:p>
            <w:pPr>
              <w:spacing w:after="0"/>
              <w:rPr>
                <w:sz w:val="24"/>
                <w:szCs w:val="24"/>
                <w:color w:val="auto"/>
              </w:rPr>
            </w:pPr>
          </w:p>
        </w:tc>
        <w:tc>
          <w:tcPr>
            <w:tcW w:w="3980" w:type="dxa"/>
            <w:vAlign w:val="bottom"/>
            <w:gridSpan w:val="3"/>
          </w:tcPr>
          <w:p>
            <w:pPr>
              <w:spacing w:after="0"/>
              <w:rPr>
                <w:sz w:val="20"/>
                <w:szCs w:val="20"/>
                <w:color w:val="auto"/>
              </w:rPr>
            </w:pPr>
            <w:r>
              <w:rPr>
                <w:rFonts w:ascii="Arial" w:cs="Arial" w:eastAsia="Arial" w:hAnsi="Arial"/>
                <w:sz w:val="18"/>
                <w:szCs w:val="18"/>
                <w:color w:val="auto"/>
              </w:rPr>
              <w:t>XBRL Taxonomy Extension Definitions Linkbase</w:t>
            </w:r>
          </w:p>
        </w:tc>
      </w:tr>
    </w:tbl>
    <w:p>
      <w:pPr>
        <w:sectPr>
          <w:pgSz w:w="11900" w:h="16838" w:orient="portrait"/>
          <w:cols w:equalWidth="0" w:num="1">
            <w:col w:w="11420"/>
          </w:cols>
          <w:pgMar w:left="240" w:top="121" w:right="239" w:bottom="0" w:gutter="0" w:footer="0" w:header="0"/>
        </w:sectPr>
      </w:pPr>
    </w:p>
    <w:bookmarkStart w:id="23" w:name="page24"/>
    <w:bookmarkEnd w:id="23"/>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140" w:type="dxa"/>
            <w:vAlign w:val="bottom"/>
          </w:tcPr>
          <w:p>
            <w:pPr>
              <w:spacing w:after="0"/>
              <w:rPr>
                <w:sz w:val="20"/>
                <w:szCs w:val="20"/>
                <w:color w:val="auto"/>
              </w:rPr>
            </w:pPr>
            <w:r>
              <w:rPr>
                <w:rFonts w:ascii="Arial" w:cs="Arial" w:eastAsia="Arial" w:hAnsi="Arial"/>
                <w:sz w:val="18"/>
                <w:szCs w:val="18"/>
                <w:color w:val="auto"/>
              </w:rPr>
              <w:t>101.LAB</w:t>
            </w:r>
          </w:p>
        </w:tc>
        <w:tc>
          <w:tcPr>
            <w:tcW w:w="4160" w:type="dxa"/>
            <w:vAlign w:val="bottom"/>
          </w:tcPr>
          <w:p>
            <w:pPr>
              <w:ind w:left="460"/>
              <w:spacing w:after="0"/>
              <w:rPr>
                <w:sz w:val="20"/>
                <w:szCs w:val="20"/>
                <w:color w:val="auto"/>
              </w:rPr>
            </w:pPr>
            <w:r>
              <w:rPr>
                <w:rFonts w:ascii="Arial" w:cs="Arial" w:eastAsia="Arial" w:hAnsi="Arial"/>
                <w:sz w:val="18"/>
                <w:szCs w:val="18"/>
                <w:color w:val="auto"/>
              </w:rPr>
              <w:t>XBRL Taxonomy Extension Label Linkbase</w:t>
            </w:r>
          </w:p>
        </w:tc>
      </w:tr>
      <w:tr>
        <w:trPr>
          <w:trHeight w:val="459"/>
        </w:trPr>
        <w:tc>
          <w:tcPr>
            <w:tcW w:w="1140" w:type="dxa"/>
            <w:vAlign w:val="bottom"/>
          </w:tcPr>
          <w:p>
            <w:pPr>
              <w:spacing w:after="0"/>
              <w:rPr>
                <w:sz w:val="20"/>
                <w:szCs w:val="20"/>
                <w:color w:val="auto"/>
              </w:rPr>
            </w:pPr>
            <w:r>
              <w:rPr>
                <w:rFonts w:ascii="Arial" w:cs="Arial" w:eastAsia="Arial" w:hAnsi="Arial"/>
                <w:sz w:val="18"/>
                <w:szCs w:val="18"/>
                <w:color w:val="auto"/>
              </w:rPr>
              <w:t>101.PRE</w:t>
            </w:r>
          </w:p>
        </w:tc>
        <w:tc>
          <w:tcPr>
            <w:tcW w:w="4160" w:type="dxa"/>
            <w:vAlign w:val="bottom"/>
          </w:tcPr>
          <w:p>
            <w:pPr>
              <w:ind w:left="460"/>
              <w:spacing w:after="0"/>
              <w:rPr>
                <w:sz w:val="20"/>
                <w:szCs w:val="20"/>
                <w:color w:val="auto"/>
              </w:rPr>
            </w:pPr>
            <w:r>
              <w:rPr>
                <w:rFonts w:ascii="Arial" w:cs="Arial" w:eastAsia="Arial" w:hAnsi="Arial"/>
                <w:sz w:val="18"/>
                <w:szCs w:val="18"/>
                <w:color w:val="auto"/>
                <w:w w:val="91"/>
              </w:rPr>
              <w:t>XBRL Taxonomy Extension Presentation Linkbase</w:t>
            </w:r>
          </w:p>
        </w:tc>
      </w:tr>
    </w:tbl>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right"/>
        <w:ind w:right="441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0179"/>
          </w:cols>
          <w:pgMar w:left="280" w:top="125" w:right="1440" w:bottom="1440" w:gutter="0" w:footer="0" w:header="0"/>
        </w:sectPr>
      </w:pPr>
    </w:p>
    <w:bookmarkStart w:id="24" w:name="page25"/>
    <w:bookmarkEnd w:id="24"/>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21" w:lineRule="exact"/>
        <w:rPr>
          <w:sz w:val="20"/>
          <w:szCs w:val="20"/>
          <w:color w:val="auto"/>
        </w:rPr>
      </w:pPr>
    </w:p>
    <w:p>
      <w:pPr>
        <w:jc w:val="center"/>
        <w:ind w:right="-839"/>
        <w:spacing w:after="0"/>
        <w:rPr>
          <w:sz w:val="20"/>
          <w:szCs w:val="20"/>
          <w:color w:val="auto"/>
        </w:rPr>
      </w:pPr>
      <w:r>
        <w:rPr>
          <w:rFonts w:ascii="Arial" w:cs="Arial" w:eastAsia="Arial" w:hAnsi="Arial"/>
          <w:sz w:val="18"/>
          <w:szCs w:val="18"/>
          <w:b w:val="1"/>
          <w:bCs w:val="1"/>
          <w:color w:val="auto"/>
        </w:rPr>
        <w:t>CLEARONE, INC.</w:t>
      </w:r>
    </w:p>
    <w:p>
      <w:pPr>
        <w:spacing w:after="0" w:line="232" w:lineRule="exact"/>
        <w:rPr>
          <w:sz w:val="20"/>
          <w:szCs w:val="20"/>
          <w:color w:val="auto"/>
        </w:rPr>
      </w:pPr>
    </w:p>
    <w:p>
      <w:pPr>
        <w:ind w:left="5140"/>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and Exchange Act of 1934, the registrant has duly caused this report to be signed on its behalf by the undersigned thereunto duly authorized.</w:t>
      </w:r>
    </w:p>
    <w:p>
      <w:pPr>
        <w:spacing w:after="0" w:line="333"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ClearOne, Inc.,</w:t>
      </w:r>
    </w:p>
    <w:p>
      <w:pPr>
        <w:spacing w:after="0" w:line="23"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(Registrant)</w:t>
      </w:r>
    </w:p>
    <w:p>
      <w:pPr>
        <w:spacing w:after="0" w:line="170" w:lineRule="exact"/>
        <w:rPr>
          <w:sz w:val="20"/>
          <w:szCs w:val="20"/>
          <w:color w:val="auto"/>
        </w:rPr>
      </w:pPr>
    </w:p>
    <w:p>
      <w:pPr>
        <w:ind w:left="40"/>
        <w:spacing w:after="0"/>
        <w:tabs>
          <w:tab w:leader="none" w:pos="5500" w:val="left"/>
          <w:tab w:leader="none" w:pos="5960" w:val="left"/>
        </w:tabs>
        <w:rPr>
          <w:sz w:val="20"/>
          <w:szCs w:val="20"/>
          <w:color w:val="auto"/>
        </w:rPr>
      </w:pPr>
      <w:r>
        <w:rPr>
          <w:rFonts w:ascii="Arial" w:cs="Arial" w:eastAsia="Arial" w:hAnsi="Arial"/>
          <w:sz w:val="18"/>
          <w:szCs w:val="18"/>
          <w:color w:val="auto"/>
        </w:rPr>
        <w:t>October 31, 2014</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Zeynep Hakimoglu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3778250</wp:posOffset>
            </wp:positionH>
            <wp:positionV relativeFrom="paragraph">
              <wp:posOffset>31750</wp:posOffset>
            </wp:positionV>
            <wp:extent cx="347345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3473450" cy="8890"/>
                    </a:xfrm>
                    <a:prstGeom prst="rect">
                      <a:avLst/>
                    </a:prstGeom>
                    <a:noFill/>
                  </pic:spPr>
                </pic:pic>
              </a:graphicData>
            </a:graphic>
          </wp:anchor>
        </w:drawing>
      </w:r>
    </w:p>
    <w:p>
      <w:pPr>
        <w:spacing w:after="0" w:line="57"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Zeynep Hakimoglu</w:t>
      </w:r>
    </w:p>
    <w:p>
      <w:pPr>
        <w:spacing w:after="0" w:line="23"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Chief Executive Officer</w:t>
      </w:r>
    </w:p>
    <w:p>
      <w:pPr>
        <w:spacing w:after="0" w:line="9" w:lineRule="exact"/>
        <w:rPr>
          <w:sz w:val="20"/>
          <w:szCs w:val="20"/>
          <w:color w:val="auto"/>
        </w:rPr>
      </w:pPr>
    </w:p>
    <w:p>
      <w:pPr>
        <w:ind w:left="5980"/>
        <w:spacing w:after="0"/>
        <w:rPr>
          <w:sz w:val="20"/>
          <w:szCs w:val="20"/>
          <w:color w:val="auto"/>
        </w:rPr>
      </w:pPr>
      <w:r>
        <w:rPr>
          <w:rFonts w:ascii="Arial" w:cs="Arial" w:eastAsia="Arial" w:hAnsi="Arial"/>
          <w:sz w:val="18"/>
          <w:szCs w:val="18"/>
          <w:i w:val="1"/>
          <w:iCs w:val="1"/>
          <w:color w:val="auto"/>
        </w:rPr>
        <w:t>(Principal Executive Officer)</w:t>
      </w:r>
    </w:p>
    <w:p>
      <w:pPr>
        <w:spacing w:after="0" w:line="170" w:lineRule="exact"/>
        <w:rPr>
          <w:sz w:val="20"/>
          <w:szCs w:val="20"/>
          <w:color w:val="auto"/>
        </w:rPr>
      </w:pPr>
    </w:p>
    <w:p>
      <w:pPr>
        <w:ind w:left="40"/>
        <w:spacing w:after="0"/>
        <w:tabs>
          <w:tab w:leader="none" w:pos="5500" w:val="left"/>
          <w:tab w:leader="none" w:pos="5960" w:val="left"/>
        </w:tabs>
        <w:rPr>
          <w:sz w:val="20"/>
          <w:szCs w:val="20"/>
          <w:color w:val="auto"/>
        </w:rPr>
      </w:pPr>
      <w:r>
        <w:rPr>
          <w:rFonts w:ascii="Arial" w:cs="Arial" w:eastAsia="Arial" w:hAnsi="Arial"/>
          <w:sz w:val="18"/>
          <w:szCs w:val="18"/>
          <w:color w:val="auto"/>
        </w:rPr>
        <w:t>October 31, 2014</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Narsi Narayanan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3778250</wp:posOffset>
            </wp:positionH>
            <wp:positionV relativeFrom="paragraph">
              <wp:posOffset>31750</wp:posOffset>
            </wp:positionV>
            <wp:extent cx="34734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473450" cy="8890"/>
                    </a:xfrm>
                    <a:prstGeom prst="rect">
                      <a:avLst/>
                    </a:prstGeom>
                    <a:noFill/>
                  </pic:spPr>
                </pic:pic>
              </a:graphicData>
            </a:graphic>
          </wp:anchor>
        </w:drawing>
      </w:r>
    </w:p>
    <w:p>
      <w:pPr>
        <w:spacing w:after="0" w:line="57"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Narsi Narayanan</w:t>
      </w:r>
    </w:p>
    <w:p>
      <w:pPr>
        <w:spacing w:after="0" w:line="23"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Senior Vice President of Finance</w:t>
      </w:r>
    </w:p>
    <w:p>
      <w:pPr>
        <w:spacing w:after="0" w:line="9" w:lineRule="exact"/>
        <w:rPr>
          <w:sz w:val="20"/>
          <w:szCs w:val="20"/>
          <w:color w:val="auto"/>
        </w:rPr>
      </w:pPr>
    </w:p>
    <w:p>
      <w:pPr>
        <w:ind w:left="5980"/>
        <w:spacing w:after="0"/>
        <w:rPr>
          <w:sz w:val="20"/>
          <w:szCs w:val="20"/>
          <w:color w:val="auto"/>
        </w:rPr>
      </w:pPr>
      <w:r>
        <w:rPr>
          <w:rFonts w:ascii="Arial" w:cs="Arial" w:eastAsia="Arial" w:hAnsi="Arial"/>
          <w:sz w:val="18"/>
          <w:szCs w:val="18"/>
          <w:i w:val="1"/>
          <w:iCs w:val="1"/>
          <w:color w:val="auto"/>
        </w:rPr>
        <w:t>(Principal Financial and Accounting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0600"/>
          </w:cols>
          <w:pgMar w:left="240" w:top="121" w:right="1059" w:bottom="1440" w:gutter="0" w:footer="0" w:header="0"/>
        </w:sectPr>
      </w:pPr>
    </w:p>
    <w:bookmarkStart w:id="25" w:name="page26"/>
    <w:bookmarkEnd w:id="25"/>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Zeynep Hakimoglu, certify that:</w:t>
      </w:r>
    </w:p>
    <w:p>
      <w:pPr>
        <w:spacing w:after="0" w:line="117" w:lineRule="exact"/>
        <w:rPr>
          <w:sz w:val="20"/>
          <w:szCs w:val="20"/>
          <w:color w:val="auto"/>
        </w:rPr>
      </w:pPr>
    </w:p>
    <w:p>
      <w:pPr>
        <w:ind w:left="340" w:hanging="332"/>
        <w:spacing w:after="0"/>
        <w:tabs>
          <w:tab w:leader="none" w:pos="3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 have reviewed this quarterly report of ClearOne, Inc. on Form 10-Q;</w:t>
      </w:r>
    </w:p>
    <w:p>
      <w:pPr>
        <w:spacing w:after="0" w:line="117" w:lineRule="exact"/>
        <w:rPr>
          <w:rFonts w:ascii="Arial" w:cs="Arial" w:eastAsia="Arial" w:hAnsi="Arial"/>
          <w:sz w:val="18"/>
          <w:szCs w:val="18"/>
          <w:color w:val="auto"/>
        </w:rPr>
      </w:pPr>
    </w:p>
    <w:p>
      <w:pPr>
        <w:ind w:left="340" w:right="120" w:hanging="332"/>
        <w:spacing w:after="0" w:line="342" w:lineRule="auto"/>
        <w:tabs>
          <w:tab w:leader="none" w:pos="340" w:val="left"/>
        </w:tabs>
        <w:numPr>
          <w:ilvl w:val="0"/>
          <w:numId w:val="11"/>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5" w:lineRule="exact"/>
        <w:rPr>
          <w:rFonts w:ascii="Arial" w:cs="Arial" w:eastAsia="Arial" w:hAnsi="Arial"/>
          <w:sz w:val="16"/>
          <w:szCs w:val="16"/>
          <w:color w:val="auto"/>
        </w:rPr>
      </w:pPr>
    </w:p>
    <w:p>
      <w:pPr>
        <w:ind w:left="340" w:right="580" w:hanging="332"/>
        <w:spacing w:after="0" w:line="308" w:lineRule="auto"/>
        <w:tabs>
          <w:tab w:leader="none" w:pos="340" w:val="left"/>
        </w:tabs>
        <w:numPr>
          <w:ilvl w:val="0"/>
          <w:numId w:val="11"/>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38" w:lineRule="exact"/>
        <w:rPr>
          <w:rFonts w:ascii="Arial" w:cs="Arial" w:eastAsia="Arial" w:hAnsi="Arial"/>
          <w:sz w:val="17"/>
          <w:szCs w:val="17"/>
          <w:color w:val="auto"/>
        </w:rPr>
      </w:pPr>
    </w:p>
    <w:p>
      <w:pPr>
        <w:ind w:left="340" w:right="60" w:hanging="332"/>
        <w:spacing w:after="0" w:line="264" w:lineRule="auto"/>
        <w:tabs>
          <w:tab w:leader="none" w:pos="3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3" w:lineRule="exact"/>
        <w:rPr>
          <w:rFonts w:ascii="Arial" w:cs="Arial" w:eastAsia="Arial" w:hAnsi="Arial"/>
          <w:sz w:val="18"/>
          <w:szCs w:val="18"/>
          <w:color w:val="auto"/>
        </w:rPr>
      </w:pPr>
    </w:p>
    <w:p>
      <w:pPr>
        <w:ind w:left="820" w:right="380" w:hanging="488"/>
        <w:spacing w:after="0" w:line="264" w:lineRule="auto"/>
        <w:tabs>
          <w:tab w:leader="none" w:pos="820" w:val="left"/>
        </w:tabs>
        <w:numPr>
          <w:ilvl w:val="1"/>
          <w:numId w:val="11"/>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3" w:lineRule="exact"/>
        <w:rPr>
          <w:rFonts w:ascii="Arial" w:cs="Arial" w:eastAsia="Arial" w:hAnsi="Arial"/>
          <w:sz w:val="18"/>
          <w:szCs w:val="18"/>
          <w:color w:val="auto"/>
        </w:rPr>
      </w:pPr>
    </w:p>
    <w:p>
      <w:pPr>
        <w:ind w:left="820" w:right="80" w:hanging="488"/>
        <w:spacing w:after="0" w:line="264" w:lineRule="auto"/>
        <w:tabs>
          <w:tab w:leader="none" w:pos="820" w:val="left"/>
        </w:tabs>
        <w:numPr>
          <w:ilvl w:val="1"/>
          <w:numId w:val="11"/>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3" w:lineRule="exact"/>
        <w:rPr>
          <w:rFonts w:ascii="Arial" w:cs="Arial" w:eastAsia="Arial" w:hAnsi="Arial"/>
          <w:sz w:val="18"/>
          <w:szCs w:val="18"/>
          <w:color w:val="auto"/>
        </w:rPr>
      </w:pPr>
    </w:p>
    <w:p>
      <w:pPr>
        <w:jc w:val="both"/>
        <w:ind w:left="820" w:right="880" w:hanging="488"/>
        <w:spacing w:after="0" w:line="342" w:lineRule="auto"/>
        <w:tabs>
          <w:tab w:leader="none" w:pos="820" w:val="left"/>
        </w:tabs>
        <w:numPr>
          <w:ilvl w:val="1"/>
          <w:numId w:val="11"/>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 w:lineRule="exact"/>
        <w:rPr>
          <w:rFonts w:ascii="Arial" w:cs="Arial" w:eastAsia="Arial" w:hAnsi="Arial"/>
          <w:sz w:val="16"/>
          <w:szCs w:val="16"/>
          <w:color w:val="auto"/>
        </w:rPr>
      </w:pPr>
    </w:p>
    <w:p>
      <w:pPr>
        <w:ind w:left="820" w:right="100" w:hanging="488"/>
        <w:spacing w:after="0" w:line="264" w:lineRule="auto"/>
        <w:tabs>
          <w:tab w:leader="none" w:pos="820" w:val="left"/>
        </w:tabs>
        <w:numPr>
          <w:ilvl w:val="1"/>
          <w:numId w:val="11"/>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w:t>
      </w:r>
    </w:p>
    <w:p>
      <w:pPr>
        <w:spacing w:after="0" w:line="73" w:lineRule="exact"/>
        <w:rPr>
          <w:rFonts w:ascii="Arial" w:cs="Arial" w:eastAsia="Arial" w:hAnsi="Arial"/>
          <w:sz w:val="18"/>
          <w:szCs w:val="18"/>
          <w:color w:val="auto"/>
        </w:rPr>
      </w:pPr>
    </w:p>
    <w:p>
      <w:pPr>
        <w:ind w:left="340" w:right="500" w:hanging="332"/>
        <w:spacing w:after="0" w:line="308" w:lineRule="auto"/>
        <w:tabs>
          <w:tab w:leader="none" w:pos="340" w:val="left"/>
        </w:tabs>
        <w:numPr>
          <w:ilvl w:val="0"/>
          <w:numId w:val="11"/>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38" w:lineRule="exact"/>
        <w:rPr>
          <w:rFonts w:ascii="Arial" w:cs="Arial" w:eastAsia="Arial" w:hAnsi="Arial"/>
          <w:sz w:val="17"/>
          <w:szCs w:val="17"/>
          <w:color w:val="auto"/>
        </w:rPr>
      </w:pPr>
    </w:p>
    <w:p>
      <w:pPr>
        <w:ind w:left="820" w:right="300" w:hanging="488"/>
        <w:spacing w:after="0" w:line="277" w:lineRule="auto"/>
        <w:tabs>
          <w:tab w:leader="none" w:pos="820" w:val="left"/>
        </w:tabs>
        <w:numPr>
          <w:ilvl w:val="1"/>
          <w:numId w:val="11"/>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2" w:lineRule="exact"/>
        <w:rPr>
          <w:rFonts w:ascii="Arial" w:cs="Arial" w:eastAsia="Arial" w:hAnsi="Arial"/>
          <w:sz w:val="18"/>
          <w:szCs w:val="18"/>
          <w:color w:val="auto"/>
        </w:rPr>
      </w:pPr>
    </w:p>
    <w:p>
      <w:pPr>
        <w:ind w:left="820" w:right="240" w:hanging="488"/>
        <w:spacing w:after="0" w:line="277" w:lineRule="auto"/>
        <w:tabs>
          <w:tab w:leader="none" w:pos="820" w:val="left"/>
        </w:tabs>
        <w:numPr>
          <w:ilvl w:val="1"/>
          <w:numId w:val="11"/>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ind w:left="40"/>
        <w:spacing w:after="0"/>
        <w:tabs>
          <w:tab w:leader="none" w:pos="5500" w:val="left"/>
          <w:tab w:leader="none" w:pos="5960" w:val="left"/>
        </w:tabs>
        <w:rPr>
          <w:sz w:val="20"/>
          <w:szCs w:val="20"/>
          <w:color w:val="auto"/>
        </w:rPr>
      </w:pPr>
      <w:r>
        <w:rPr>
          <w:rFonts w:ascii="Arial" w:cs="Arial" w:eastAsia="Arial" w:hAnsi="Arial"/>
          <w:sz w:val="18"/>
          <w:szCs w:val="18"/>
          <w:color w:val="auto"/>
        </w:rPr>
        <w:t>October 31, 2014</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Zeynep Hakimoglu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3778250</wp:posOffset>
            </wp:positionH>
            <wp:positionV relativeFrom="paragraph">
              <wp:posOffset>186690</wp:posOffset>
            </wp:positionV>
            <wp:extent cx="34734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473450" cy="8890"/>
                    </a:xfrm>
                    <a:prstGeom prst="rect">
                      <a:avLst/>
                    </a:prstGeom>
                    <a:noFill/>
                  </pic:spPr>
                </pic:pic>
              </a:graphicData>
            </a:graphic>
          </wp:anchor>
        </w:drawing>
      </w:r>
    </w:p>
    <w:p>
      <w:pPr>
        <w:spacing w:after="0" w:line="300"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Zeynep Hakimoglu</w:t>
      </w:r>
    </w:p>
    <w:p>
      <w:pPr>
        <w:spacing w:after="0" w:line="23"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Chief Executive Officer</w:t>
      </w:r>
    </w:p>
    <w:p>
      <w:pPr>
        <w:spacing w:after="0" w:line="9" w:lineRule="exact"/>
        <w:rPr>
          <w:sz w:val="20"/>
          <w:szCs w:val="20"/>
          <w:color w:val="auto"/>
        </w:rPr>
      </w:pPr>
    </w:p>
    <w:p>
      <w:pPr>
        <w:ind w:left="5980"/>
        <w:spacing w:after="0"/>
        <w:rPr>
          <w:sz w:val="20"/>
          <w:szCs w:val="20"/>
          <w:color w:val="auto"/>
        </w:rPr>
      </w:pPr>
      <w:r>
        <w:rPr>
          <w:rFonts w:ascii="Arial" w:cs="Arial" w:eastAsia="Arial" w:hAnsi="Arial"/>
          <w:sz w:val="18"/>
          <w:szCs w:val="18"/>
          <w:i w:val="1"/>
          <w:iCs w:val="1"/>
          <w:color w:val="auto"/>
        </w:rPr>
        <w:t>(Principal Executive Officer)</w:t>
      </w:r>
    </w:p>
    <w:p>
      <w:pPr>
        <w:sectPr>
          <w:pgSz w:w="11900" w:h="16838" w:orient="portrait"/>
          <w:cols w:equalWidth="0" w:num="1">
            <w:col w:w="11420"/>
          </w:cols>
          <w:pgMar w:left="240" w:top="580" w:right="239" w:bottom="1440" w:gutter="0" w:footer="0" w:header="0"/>
        </w:sectPr>
      </w:pPr>
    </w:p>
    <w:bookmarkStart w:id="26" w:name="page27"/>
    <w:bookmarkEnd w:id="26"/>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Narsi Narayanan, certify that:</w:t>
      </w:r>
    </w:p>
    <w:p>
      <w:pPr>
        <w:spacing w:after="0" w:line="90" w:lineRule="exact"/>
        <w:rPr>
          <w:sz w:val="20"/>
          <w:szCs w:val="20"/>
          <w:color w:val="auto"/>
        </w:rPr>
      </w:pPr>
    </w:p>
    <w:p>
      <w:pPr>
        <w:ind w:left="340" w:hanging="332"/>
        <w:spacing w:after="0"/>
        <w:tabs>
          <w:tab w:leader="none" w:pos="3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 have reviewed this quarterly report of ClearOne, Inc. on Form 10-Q;</w:t>
      </w:r>
    </w:p>
    <w:p>
      <w:pPr>
        <w:spacing w:after="0" w:line="117" w:lineRule="exact"/>
        <w:rPr>
          <w:rFonts w:ascii="Arial" w:cs="Arial" w:eastAsia="Arial" w:hAnsi="Arial"/>
          <w:sz w:val="18"/>
          <w:szCs w:val="18"/>
          <w:color w:val="auto"/>
        </w:rPr>
      </w:pPr>
    </w:p>
    <w:p>
      <w:pPr>
        <w:ind w:left="340" w:right="120" w:hanging="332"/>
        <w:spacing w:after="0" w:line="342" w:lineRule="auto"/>
        <w:tabs>
          <w:tab w:leader="none" w:pos="340" w:val="left"/>
        </w:tabs>
        <w:numPr>
          <w:ilvl w:val="0"/>
          <w:numId w:val="12"/>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5" w:lineRule="exact"/>
        <w:rPr>
          <w:rFonts w:ascii="Arial" w:cs="Arial" w:eastAsia="Arial" w:hAnsi="Arial"/>
          <w:sz w:val="16"/>
          <w:szCs w:val="16"/>
          <w:color w:val="auto"/>
        </w:rPr>
      </w:pPr>
    </w:p>
    <w:p>
      <w:pPr>
        <w:ind w:left="340" w:right="580" w:hanging="332"/>
        <w:spacing w:after="0" w:line="308" w:lineRule="auto"/>
        <w:tabs>
          <w:tab w:leader="none" w:pos="340" w:val="left"/>
        </w:tabs>
        <w:numPr>
          <w:ilvl w:val="0"/>
          <w:numId w:val="12"/>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38" w:lineRule="exact"/>
        <w:rPr>
          <w:rFonts w:ascii="Arial" w:cs="Arial" w:eastAsia="Arial" w:hAnsi="Arial"/>
          <w:sz w:val="17"/>
          <w:szCs w:val="17"/>
          <w:color w:val="auto"/>
        </w:rPr>
      </w:pPr>
    </w:p>
    <w:p>
      <w:pPr>
        <w:ind w:left="340" w:right="60" w:hanging="332"/>
        <w:spacing w:after="0" w:line="264" w:lineRule="auto"/>
        <w:tabs>
          <w:tab w:leader="none" w:pos="3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3" w:lineRule="exact"/>
        <w:rPr>
          <w:rFonts w:ascii="Arial" w:cs="Arial" w:eastAsia="Arial" w:hAnsi="Arial"/>
          <w:sz w:val="18"/>
          <w:szCs w:val="18"/>
          <w:color w:val="auto"/>
        </w:rPr>
      </w:pPr>
    </w:p>
    <w:p>
      <w:pPr>
        <w:ind w:left="820" w:right="380" w:hanging="488"/>
        <w:spacing w:after="0" w:line="264" w:lineRule="auto"/>
        <w:tabs>
          <w:tab w:leader="none" w:pos="820" w:val="left"/>
        </w:tabs>
        <w:numPr>
          <w:ilvl w:val="1"/>
          <w:numId w:val="12"/>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3" w:lineRule="exact"/>
        <w:rPr>
          <w:rFonts w:ascii="Arial" w:cs="Arial" w:eastAsia="Arial" w:hAnsi="Arial"/>
          <w:sz w:val="18"/>
          <w:szCs w:val="18"/>
          <w:color w:val="auto"/>
        </w:rPr>
      </w:pPr>
    </w:p>
    <w:p>
      <w:pPr>
        <w:ind w:left="820" w:right="80" w:hanging="488"/>
        <w:spacing w:after="0" w:line="264" w:lineRule="auto"/>
        <w:tabs>
          <w:tab w:leader="none" w:pos="820" w:val="left"/>
        </w:tabs>
        <w:numPr>
          <w:ilvl w:val="1"/>
          <w:numId w:val="12"/>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3" w:lineRule="exact"/>
        <w:rPr>
          <w:rFonts w:ascii="Arial" w:cs="Arial" w:eastAsia="Arial" w:hAnsi="Arial"/>
          <w:sz w:val="18"/>
          <w:szCs w:val="18"/>
          <w:color w:val="auto"/>
        </w:rPr>
      </w:pPr>
    </w:p>
    <w:p>
      <w:pPr>
        <w:jc w:val="both"/>
        <w:ind w:left="820" w:right="880" w:hanging="488"/>
        <w:spacing w:after="0" w:line="342" w:lineRule="auto"/>
        <w:tabs>
          <w:tab w:leader="none" w:pos="820" w:val="left"/>
        </w:tabs>
        <w:numPr>
          <w:ilvl w:val="1"/>
          <w:numId w:val="12"/>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 w:lineRule="exact"/>
        <w:rPr>
          <w:rFonts w:ascii="Arial" w:cs="Arial" w:eastAsia="Arial" w:hAnsi="Arial"/>
          <w:sz w:val="16"/>
          <w:szCs w:val="16"/>
          <w:color w:val="auto"/>
        </w:rPr>
      </w:pPr>
    </w:p>
    <w:p>
      <w:pPr>
        <w:ind w:left="820" w:right="100" w:hanging="488"/>
        <w:spacing w:after="0" w:line="264" w:lineRule="auto"/>
        <w:tabs>
          <w:tab w:leader="none" w:pos="820" w:val="left"/>
        </w:tabs>
        <w:numPr>
          <w:ilvl w:val="1"/>
          <w:numId w:val="12"/>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w:t>
      </w:r>
    </w:p>
    <w:p>
      <w:pPr>
        <w:spacing w:after="0" w:line="73" w:lineRule="exact"/>
        <w:rPr>
          <w:rFonts w:ascii="Arial" w:cs="Arial" w:eastAsia="Arial" w:hAnsi="Arial"/>
          <w:sz w:val="18"/>
          <w:szCs w:val="18"/>
          <w:color w:val="auto"/>
        </w:rPr>
      </w:pPr>
    </w:p>
    <w:p>
      <w:pPr>
        <w:ind w:left="340" w:right="500" w:hanging="332"/>
        <w:spacing w:after="0" w:line="308" w:lineRule="auto"/>
        <w:tabs>
          <w:tab w:leader="none" w:pos="340" w:val="left"/>
        </w:tabs>
        <w:numPr>
          <w:ilvl w:val="0"/>
          <w:numId w:val="12"/>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38" w:lineRule="exact"/>
        <w:rPr>
          <w:rFonts w:ascii="Arial" w:cs="Arial" w:eastAsia="Arial" w:hAnsi="Arial"/>
          <w:sz w:val="17"/>
          <w:szCs w:val="17"/>
          <w:color w:val="auto"/>
        </w:rPr>
      </w:pPr>
    </w:p>
    <w:p>
      <w:pPr>
        <w:ind w:left="820" w:right="300" w:hanging="488"/>
        <w:spacing w:after="0" w:line="277" w:lineRule="auto"/>
        <w:tabs>
          <w:tab w:leader="none" w:pos="820" w:val="left"/>
        </w:tabs>
        <w:numPr>
          <w:ilvl w:val="1"/>
          <w:numId w:val="12"/>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2" w:lineRule="exact"/>
        <w:rPr>
          <w:rFonts w:ascii="Arial" w:cs="Arial" w:eastAsia="Arial" w:hAnsi="Arial"/>
          <w:sz w:val="18"/>
          <w:szCs w:val="18"/>
          <w:color w:val="auto"/>
        </w:rPr>
      </w:pPr>
    </w:p>
    <w:p>
      <w:pPr>
        <w:ind w:left="820" w:right="240" w:hanging="488"/>
        <w:spacing w:after="0" w:line="277" w:lineRule="auto"/>
        <w:tabs>
          <w:tab w:leader="none" w:pos="820" w:val="left"/>
        </w:tabs>
        <w:numPr>
          <w:ilvl w:val="1"/>
          <w:numId w:val="12"/>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ind w:left="40"/>
        <w:spacing w:after="0"/>
        <w:tabs>
          <w:tab w:leader="none" w:pos="5620" w:val="left"/>
          <w:tab w:leader="none" w:pos="6080" w:val="left"/>
        </w:tabs>
        <w:rPr>
          <w:sz w:val="20"/>
          <w:szCs w:val="20"/>
          <w:color w:val="auto"/>
        </w:rPr>
      </w:pPr>
      <w:r>
        <w:rPr>
          <w:rFonts w:ascii="Arial" w:cs="Arial" w:eastAsia="Arial" w:hAnsi="Arial"/>
          <w:sz w:val="18"/>
          <w:szCs w:val="18"/>
          <w:color w:val="auto"/>
        </w:rPr>
        <w:t>October 31, 2014</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Narsi Narayanan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3855720</wp:posOffset>
            </wp:positionH>
            <wp:positionV relativeFrom="paragraph">
              <wp:posOffset>186690</wp:posOffset>
            </wp:positionV>
            <wp:extent cx="339598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395980" cy="8890"/>
                    </a:xfrm>
                    <a:prstGeom prst="rect">
                      <a:avLst/>
                    </a:prstGeom>
                    <a:noFill/>
                  </pic:spPr>
                </pic:pic>
              </a:graphicData>
            </a:graphic>
          </wp:anchor>
        </w:drawing>
      </w:r>
    </w:p>
    <w:p>
      <w:pPr>
        <w:spacing w:after="0" w:line="300" w:lineRule="exact"/>
        <w:rPr>
          <w:sz w:val="20"/>
          <w:szCs w:val="20"/>
          <w:color w:val="auto"/>
        </w:rPr>
      </w:pPr>
    </w:p>
    <w:p>
      <w:pPr>
        <w:ind w:left="6100"/>
        <w:spacing w:after="0"/>
        <w:rPr>
          <w:sz w:val="20"/>
          <w:szCs w:val="20"/>
          <w:color w:val="auto"/>
        </w:rPr>
      </w:pPr>
      <w:r>
        <w:rPr>
          <w:rFonts w:ascii="Arial" w:cs="Arial" w:eastAsia="Arial" w:hAnsi="Arial"/>
          <w:sz w:val="18"/>
          <w:szCs w:val="18"/>
          <w:color w:val="auto"/>
        </w:rPr>
        <w:t>Narsi Narayanan</w:t>
      </w:r>
    </w:p>
    <w:p>
      <w:pPr>
        <w:spacing w:after="0" w:line="23" w:lineRule="exact"/>
        <w:rPr>
          <w:sz w:val="20"/>
          <w:szCs w:val="20"/>
          <w:color w:val="auto"/>
        </w:rPr>
      </w:pPr>
    </w:p>
    <w:p>
      <w:pPr>
        <w:ind w:left="6100"/>
        <w:spacing w:after="0"/>
        <w:rPr>
          <w:sz w:val="20"/>
          <w:szCs w:val="20"/>
          <w:color w:val="auto"/>
        </w:rPr>
      </w:pPr>
      <w:r>
        <w:rPr>
          <w:rFonts w:ascii="Arial" w:cs="Arial" w:eastAsia="Arial" w:hAnsi="Arial"/>
          <w:sz w:val="18"/>
          <w:szCs w:val="18"/>
          <w:color w:val="auto"/>
        </w:rPr>
        <w:t>Senior Vice President of Finance</w:t>
      </w:r>
    </w:p>
    <w:p>
      <w:pPr>
        <w:spacing w:after="0" w:line="9" w:lineRule="exact"/>
        <w:rPr>
          <w:sz w:val="20"/>
          <w:szCs w:val="20"/>
          <w:color w:val="auto"/>
        </w:rPr>
      </w:pPr>
    </w:p>
    <w:p>
      <w:pPr>
        <w:ind w:left="6100"/>
        <w:spacing w:after="0"/>
        <w:rPr>
          <w:sz w:val="20"/>
          <w:szCs w:val="20"/>
          <w:color w:val="auto"/>
        </w:rPr>
      </w:pPr>
      <w:r>
        <w:rPr>
          <w:rFonts w:ascii="Arial" w:cs="Arial" w:eastAsia="Arial" w:hAnsi="Arial"/>
          <w:sz w:val="18"/>
          <w:szCs w:val="18"/>
          <w:i w:val="1"/>
          <w:iCs w:val="1"/>
          <w:color w:val="auto"/>
        </w:rPr>
        <w:t>(Principal Financial and Accounting Officer)</w:t>
      </w:r>
    </w:p>
    <w:p>
      <w:pPr>
        <w:sectPr>
          <w:pgSz w:w="11900" w:h="16838" w:orient="portrait"/>
          <w:cols w:equalWidth="0" w:num="1">
            <w:col w:w="11420"/>
          </w:cols>
          <w:pgMar w:left="240" w:top="580" w:right="239" w:bottom="1440" w:gutter="0" w:footer="0" w:header="0"/>
        </w:sectPr>
      </w:pPr>
    </w:p>
    <w:bookmarkStart w:id="27" w:name="page28"/>
    <w:bookmarkEnd w:id="27"/>
    <w:p>
      <w:pPr>
        <w:jc w:val="right"/>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EXECUTIVE OFFICER</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18 U.S.C. Section 1350,</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 Section 906 of the Sarbanes-Oxley Act of 2002</w:t>
      </w:r>
    </w:p>
    <w:p>
      <w:pPr>
        <w:spacing w:after="0" w:line="211"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I, Zeynep Hakimoglu, certify, to my best knowledge and belief, pursuant to 18 U.S.C. Section 1350, as adopted pursuant to Section 906 of the Sarbanes-Oxley Act of 2002, that the Quarterly Report of ClearOne, Inc. on Form 10-Q for the quarter ended September 30, 2014 fully complies with the requirements of Section 13(a) or 15(d) of the Securities Exchange Act of 1934 and that information contained in such Quarterly Report on Form 10-Q fairly presents, in all material respects, the financial condition and results of operations of ClearOne, Inc.</w:t>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ind w:left="40"/>
        <w:spacing w:after="0"/>
        <w:tabs>
          <w:tab w:leader="none" w:pos="5620" w:val="left"/>
          <w:tab w:leader="none" w:pos="6080" w:val="left"/>
        </w:tabs>
        <w:rPr>
          <w:sz w:val="20"/>
          <w:szCs w:val="20"/>
          <w:color w:val="auto"/>
        </w:rPr>
      </w:pPr>
      <w:r>
        <w:rPr>
          <w:rFonts w:ascii="Arial" w:cs="Arial" w:eastAsia="Arial" w:hAnsi="Arial"/>
          <w:sz w:val="18"/>
          <w:szCs w:val="18"/>
          <w:color w:val="auto"/>
        </w:rPr>
        <w:t>October 31, 2014</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Zeynep Hakimoglu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3855720</wp:posOffset>
            </wp:positionH>
            <wp:positionV relativeFrom="paragraph">
              <wp:posOffset>186690</wp:posOffset>
            </wp:positionV>
            <wp:extent cx="339598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395980" cy="8890"/>
                    </a:xfrm>
                    <a:prstGeom prst="rect">
                      <a:avLst/>
                    </a:prstGeom>
                    <a:noFill/>
                  </pic:spPr>
                </pic:pic>
              </a:graphicData>
            </a:graphic>
          </wp:anchor>
        </w:drawing>
      </w:r>
    </w:p>
    <w:p>
      <w:pPr>
        <w:spacing w:after="0" w:line="300" w:lineRule="exact"/>
        <w:rPr>
          <w:sz w:val="20"/>
          <w:szCs w:val="20"/>
          <w:color w:val="auto"/>
        </w:rPr>
      </w:pPr>
    </w:p>
    <w:p>
      <w:pPr>
        <w:ind w:left="6100"/>
        <w:spacing w:after="0"/>
        <w:rPr>
          <w:sz w:val="20"/>
          <w:szCs w:val="20"/>
          <w:color w:val="auto"/>
        </w:rPr>
      </w:pPr>
      <w:r>
        <w:rPr>
          <w:rFonts w:ascii="Arial" w:cs="Arial" w:eastAsia="Arial" w:hAnsi="Arial"/>
          <w:sz w:val="18"/>
          <w:szCs w:val="18"/>
          <w:color w:val="auto"/>
        </w:rPr>
        <w:t>Zeynep Hakimoglu</w:t>
      </w:r>
    </w:p>
    <w:p>
      <w:pPr>
        <w:spacing w:after="0" w:line="23" w:lineRule="exact"/>
        <w:rPr>
          <w:sz w:val="20"/>
          <w:szCs w:val="20"/>
          <w:color w:val="auto"/>
        </w:rPr>
      </w:pPr>
    </w:p>
    <w:p>
      <w:pPr>
        <w:ind w:left="6100"/>
        <w:spacing w:after="0"/>
        <w:rPr>
          <w:sz w:val="20"/>
          <w:szCs w:val="20"/>
          <w:color w:val="auto"/>
        </w:rPr>
      </w:pPr>
      <w:r>
        <w:rPr>
          <w:rFonts w:ascii="Arial" w:cs="Arial" w:eastAsia="Arial" w:hAnsi="Arial"/>
          <w:sz w:val="18"/>
          <w:szCs w:val="18"/>
          <w:color w:val="auto"/>
        </w:rPr>
        <w:t>Chief Executive Officer</w:t>
      </w:r>
    </w:p>
    <w:p>
      <w:pPr>
        <w:spacing w:after="0" w:line="9" w:lineRule="exact"/>
        <w:rPr>
          <w:sz w:val="20"/>
          <w:szCs w:val="20"/>
          <w:color w:val="auto"/>
        </w:rPr>
      </w:pPr>
    </w:p>
    <w:p>
      <w:pPr>
        <w:ind w:left="6100"/>
        <w:spacing w:after="0"/>
        <w:rPr>
          <w:sz w:val="20"/>
          <w:szCs w:val="20"/>
          <w:color w:val="auto"/>
        </w:rPr>
      </w:pPr>
      <w:r>
        <w:rPr>
          <w:rFonts w:ascii="Arial" w:cs="Arial" w:eastAsia="Arial" w:hAnsi="Arial"/>
          <w:sz w:val="18"/>
          <w:szCs w:val="18"/>
          <w:i w:val="1"/>
          <w:iCs w:val="1"/>
          <w:color w:val="auto"/>
        </w:rPr>
        <w:t>(Principal Executive Officer)</w:t>
      </w:r>
    </w:p>
    <w:p>
      <w:pPr>
        <w:sectPr>
          <w:pgSz w:w="11900" w:h="16838" w:orient="portrait"/>
          <w:cols w:equalWidth="0" w:num="1">
            <w:col w:w="11420"/>
          </w:cols>
          <w:pgMar w:left="240" w:top="580" w:right="239" w:bottom="1440" w:gutter="0" w:footer="0" w:header="0"/>
        </w:sectPr>
      </w:pPr>
    </w:p>
    <w:bookmarkStart w:id="28" w:name="page29"/>
    <w:bookmarkEnd w:id="28"/>
    <w:p>
      <w:pPr>
        <w:jc w:val="right"/>
        <w:spacing w:after="0"/>
        <w:rPr>
          <w:sz w:val="20"/>
          <w:szCs w:val="20"/>
          <w:color w:val="auto"/>
        </w:rPr>
      </w:pPr>
      <w:r>
        <w:rPr>
          <w:rFonts w:ascii="Arial" w:cs="Arial" w:eastAsia="Arial" w:hAnsi="Arial"/>
          <w:sz w:val="18"/>
          <w:szCs w:val="18"/>
          <w:b w:val="1"/>
          <w:bCs w:val="1"/>
          <w:color w:val="auto"/>
        </w:rPr>
        <w:t>EXHIBIT 32.2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FINANCIAL OFFICER</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18 U.S.C. Section 1350,</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 Section 906 of the Sarbanes-Oxley Act of 2002</w:t>
      </w:r>
    </w:p>
    <w:p>
      <w:pPr>
        <w:spacing w:after="0" w:line="211"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I, Narsi Narayanan, certify, to my best knowledge and belief, pursuant to 18 U.S.C. Section 1350, as adopted pursuant to Section 906 of the Sarbanes-Oxley Act of 2002, that the Quarterly Report of ClearOne, Inc. on Form 10-Q for the quarter ended September 30, 2014, fully complies with the requirements of Section 13(a) or 15(d) of the Securities Exchange Act of 1934 and that information contained in such Quarterly Report on Form 10-Q fairly presents, in all material respects, the financial condition and results of operations of ClearOne, Inc.</w:t>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ind w:left="40"/>
        <w:spacing w:after="0"/>
        <w:tabs>
          <w:tab w:leader="none" w:pos="5500" w:val="left"/>
          <w:tab w:leader="none" w:pos="5960" w:val="left"/>
        </w:tabs>
        <w:rPr>
          <w:sz w:val="20"/>
          <w:szCs w:val="20"/>
          <w:color w:val="auto"/>
        </w:rPr>
      </w:pPr>
      <w:r>
        <w:rPr>
          <w:rFonts w:ascii="Arial" w:cs="Arial" w:eastAsia="Arial" w:hAnsi="Arial"/>
          <w:sz w:val="18"/>
          <w:szCs w:val="18"/>
          <w:color w:val="auto"/>
        </w:rPr>
        <w:t>October 31, 2014</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Narsi Narayanan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3778250</wp:posOffset>
            </wp:positionH>
            <wp:positionV relativeFrom="paragraph">
              <wp:posOffset>186690</wp:posOffset>
            </wp:positionV>
            <wp:extent cx="347345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473450" cy="8890"/>
                    </a:xfrm>
                    <a:prstGeom prst="rect">
                      <a:avLst/>
                    </a:prstGeom>
                    <a:noFill/>
                  </pic:spPr>
                </pic:pic>
              </a:graphicData>
            </a:graphic>
          </wp:anchor>
        </w:drawing>
      </w:r>
    </w:p>
    <w:p>
      <w:pPr>
        <w:spacing w:after="0" w:line="300"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Narsi Narayanan</w:t>
      </w:r>
    </w:p>
    <w:p>
      <w:pPr>
        <w:spacing w:after="0" w:line="23"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Senior Vice President of Finance</w:t>
      </w:r>
    </w:p>
    <w:p>
      <w:pPr>
        <w:spacing w:after="0" w:line="9" w:lineRule="exact"/>
        <w:rPr>
          <w:sz w:val="20"/>
          <w:szCs w:val="20"/>
          <w:color w:val="auto"/>
        </w:rPr>
      </w:pPr>
    </w:p>
    <w:p>
      <w:pPr>
        <w:ind w:left="5980"/>
        <w:spacing w:after="0"/>
        <w:rPr>
          <w:sz w:val="20"/>
          <w:szCs w:val="20"/>
          <w:color w:val="auto"/>
        </w:rPr>
      </w:pPr>
      <w:r>
        <w:rPr>
          <w:rFonts w:ascii="Arial" w:cs="Arial" w:eastAsia="Arial" w:hAnsi="Arial"/>
          <w:sz w:val="18"/>
          <w:szCs w:val="18"/>
          <w:i w:val="1"/>
          <w:iCs w:val="1"/>
          <w:color w:val="auto"/>
        </w:rPr>
        <w:t>(Principal Financial and Accounting Officer)</w:t>
      </w:r>
    </w:p>
    <w:sectPr>
      <w:pgSz w:w="11900" w:h="16838" w:orient="portrait"/>
      <w:cols w:equalWidth="0" w:num="1">
        <w:col w:w="11420"/>
      </w:cols>
      <w:pgMar w:left="240" w:top="580"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2EB141F2"/>
    <w:multiLevelType w:val="hybridMultilevel"/>
    <w:lvl w:ilvl="0">
      <w:lvlJc w:val="left"/>
      <w:lvlText w:val="[%1]"/>
      <w:numFmt w:val="lowerRoman"/>
      <w:start w:val="10"/>
    </w:lvl>
  </w:abstractNum>
  <w:abstractNum w:abstractNumId="1">
    <w:nsid w:val="41B71EFB"/>
    <w:multiLevelType w:val="hybridMultilevel"/>
    <w:lvl w:ilvl="0">
      <w:lvlJc w:val="left"/>
      <w:lvlText w:val="["/>
      <w:numFmt w:val="bullet"/>
      <w:start w:val="1"/>
    </w:lvl>
  </w:abstractNum>
  <w:abstractNum w:abstractNumId="2">
    <w:nsid w:val="79E2A9E3"/>
    <w:multiLevelType w:val="hybridMultilevel"/>
    <w:lvl w:ilvl="0">
      <w:lvlJc w:val="left"/>
      <w:lvlText w:val="%1."/>
      <w:numFmt w:val="decimal"/>
      <w:start w:val="1"/>
    </w:lvl>
  </w:abstractNum>
  <w:abstractNum w:abstractNumId="3">
    <w:nsid w:val="7545E146"/>
    <w:multiLevelType w:val="hybridMultilevel"/>
    <w:lvl w:ilvl="0">
      <w:lvlJc w:val="left"/>
      <w:lvlText w:val="%1)"/>
      <w:numFmt w:val="decimal"/>
      <w:start w:val="1"/>
    </w:lvl>
  </w:abstractNum>
  <w:abstractNum w:abstractNumId="4">
    <w:nsid w:val="515F007C"/>
    <w:multiLevelType w:val="hybridMultilevel"/>
    <w:lvl w:ilvl="0">
      <w:lvlJc w:val="left"/>
      <w:lvlText w:val="%1)"/>
      <w:numFmt w:val="decimal"/>
      <w:start w:val="3"/>
    </w:lvl>
  </w:abstractNum>
  <w:abstractNum w:abstractNumId="5">
    <w:nsid w:val="5BD062C2"/>
    <w:multiLevelType w:val="hybridMultilevel"/>
    <w:lvl w:ilvl="0">
      <w:lvlJc w:val="left"/>
      <w:lvlText w:val="%1)"/>
      <w:numFmt w:val="decimal"/>
      <w:start w:val="1"/>
    </w:lvl>
  </w:abstractNum>
  <w:abstractNum w:abstractNumId="6">
    <w:nsid w:val="12200854"/>
    <w:multiLevelType w:val="hybridMultilevel"/>
    <w:lvl w:ilvl="0">
      <w:lvlJc w:val="left"/>
      <w:lvlText w:val="•"/>
      <w:numFmt w:val="bullet"/>
      <w:start w:val="1"/>
    </w:lvl>
  </w:abstractNum>
  <w:abstractNum w:abstractNumId="7">
    <w:nsid w:val="4DB127F8"/>
    <w:multiLevelType w:val="hybridMultilevel"/>
    <w:lvl w:ilvl="0">
      <w:lvlJc w:val="left"/>
      <w:lvlText w:val="•"/>
      <w:numFmt w:val="bullet"/>
      <w:start w:val="1"/>
    </w:lvl>
  </w:abstractNum>
  <w:abstractNum w:abstractNumId="8">
    <w:nsid w:val="216231B"/>
    <w:multiLevelType w:val="hybridMultilevel"/>
    <w:lvl w:ilvl="0">
      <w:lvlJc w:val="left"/>
      <w:lvlText w:val="(%1)"/>
      <w:numFmt w:val="lowerRoman"/>
      <w:start w:val="1"/>
    </w:lvl>
  </w:abstractNum>
  <w:abstractNum w:abstractNumId="9">
    <w:nsid w:val="1F16E9E8"/>
    <w:multiLevelType w:val="hybridMultilevel"/>
    <w:lvl w:ilvl="0">
      <w:lvlJc w:val="left"/>
      <w:lvlText w:val="(%1)"/>
      <w:numFmt w:val="decimal"/>
      <w:start w:val="1"/>
    </w:lvl>
  </w:abstractNum>
  <w:abstractNum w:abstractNumId="10">
    <w:nsid w:val="1190CDE7"/>
    <w:multiLevelType w:val="hybridMultilevel"/>
    <w:lvl w:ilvl="0">
      <w:lvlJc w:val="left"/>
      <w:lvlText w:val="%1."/>
      <w:numFmt w:val="decimal"/>
      <w:start w:val="1"/>
    </w:lvl>
    <w:lvl w:ilvl="1">
      <w:lvlJc w:val="left"/>
      <w:lvlText w:val="%2)"/>
      <w:numFmt w:val="lowerLetter"/>
      <w:start w:val="1"/>
    </w:lvl>
  </w:abstractNum>
  <w:abstractNum w:abstractNumId="11">
    <w:nsid w:val="66EF438D"/>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2019-12-06T02:37:52Z</dcterms:created>
  <dcterms:modified xsi:type="dcterms:W3CDTF">2019-12-06T02:37:52Z</dcterms:modified>
</cp:coreProperties>
</file>