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May 5, 2011</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(State or Other Jurisdiction of Incorporation)</w:t>
      </w:r>
    </w:p>
    <w:p>
      <w:pPr>
        <w:spacing w:after="0" w:line="218"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5180" w:type="dxa"/>
            <w:vAlign w:val="bottom"/>
            <w:tcBorders>
              <w:bottom w:val="single" w:sz="8" w:color="auto"/>
            </w:tcBorders>
          </w:tcPr>
          <w:p>
            <w:pPr>
              <w:jc w:val="right"/>
              <w:ind w:right="2130"/>
              <w:spacing w:after="0"/>
              <w:rPr>
                <w:sz w:val="20"/>
                <w:szCs w:val="20"/>
                <w:color w:val="auto"/>
              </w:rPr>
            </w:pPr>
            <w:r>
              <w:rPr>
                <w:rFonts w:ascii="Arial" w:cs="Arial" w:eastAsia="Arial" w:hAnsi="Arial"/>
                <w:sz w:val="18"/>
                <w:szCs w:val="18"/>
                <w:b w:val="1"/>
                <w:bCs w:val="1"/>
                <w:color w:val="auto"/>
              </w:rPr>
              <w:t>001-33660</w:t>
            </w:r>
          </w:p>
        </w:tc>
        <w:tc>
          <w:tcPr>
            <w:tcW w:w="520" w:type="dxa"/>
            <w:vAlign w:val="bottom"/>
          </w:tcPr>
          <w:p>
            <w:pPr>
              <w:spacing w:after="0"/>
              <w:rPr>
                <w:sz w:val="20"/>
                <w:szCs w:val="20"/>
                <w:color w:val="auto"/>
              </w:rPr>
            </w:pPr>
          </w:p>
        </w:tc>
        <w:tc>
          <w:tcPr>
            <w:tcW w:w="4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198"/>
        </w:trPr>
        <w:tc>
          <w:tcPr>
            <w:tcW w:w="51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520" w:type="dxa"/>
            <w:vAlign w:val="bottom"/>
          </w:tcPr>
          <w:p>
            <w:pPr>
              <w:spacing w:after="0"/>
              <w:rPr>
                <w:sz w:val="17"/>
                <w:szCs w:val="17"/>
                <w:color w:val="auto"/>
              </w:rPr>
            </w:pPr>
          </w:p>
        </w:tc>
        <w:tc>
          <w:tcPr>
            <w:tcW w:w="466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2"/>
              </w:rPr>
              <w:t>(I.R.S. employer</w:t>
            </w:r>
          </w:p>
        </w:tc>
      </w:tr>
      <w:tr>
        <w:trPr>
          <w:trHeight w:val="234"/>
        </w:trPr>
        <w:tc>
          <w:tcPr>
            <w:tcW w:w="5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identification number)</w:t>
            </w:r>
          </w:p>
        </w:tc>
      </w:tr>
      <w:tr>
        <w:trPr>
          <w:trHeight w:val="441"/>
        </w:trPr>
        <w:tc>
          <w:tcPr>
            <w:tcW w:w="5700" w:type="dxa"/>
            <w:vAlign w:val="bottom"/>
            <w:gridSpan w:val="2"/>
          </w:tcPr>
          <w:p>
            <w:pPr>
              <w:jc w:val="center"/>
              <w:ind w:left="1670"/>
              <w:spacing w:after="0"/>
              <w:rPr>
                <w:sz w:val="20"/>
                <w:szCs w:val="20"/>
                <w:color w:val="auto"/>
              </w:rPr>
            </w:pPr>
            <w:r>
              <w:rPr>
                <w:rFonts w:ascii="Arial" w:cs="Arial" w:eastAsia="Arial" w:hAnsi="Arial"/>
                <w:sz w:val="18"/>
                <w:szCs w:val="18"/>
                <w:b w:val="1"/>
                <w:bCs w:val="1"/>
                <w:color w:val="auto"/>
                <w:w w:val="90"/>
              </w:rPr>
              <w:t>5225 Wiley Post Way, Suite 500</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1"/>
        </w:trPr>
        <w:tc>
          <w:tcPr>
            <w:tcW w:w="5700" w:type="dxa"/>
            <w:vAlign w:val="bottom"/>
            <w:gridSpan w:val="2"/>
          </w:tcPr>
          <w:p>
            <w:pPr>
              <w:jc w:val="center"/>
              <w:ind w:left="1670"/>
              <w:spacing w:after="0"/>
              <w:rPr>
                <w:sz w:val="20"/>
                <w:szCs w:val="20"/>
                <w:color w:val="auto"/>
              </w:rPr>
            </w:pPr>
            <w:r>
              <w:rPr>
                <w:rFonts w:ascii="Arial" w:cs="Arial" w:eastAsia="Arial" w:hAnsi="Arial"/>
                <w:sz w:val="18"/>
                <w:szCs w:val="18"/>
                <w:b w:val="1"/>
                <w:bCs w:val="1"/>
                <w:color w:val="auto"/>
                <w:w w:val="93"/>
              </w:rPr>
              <w:t>Salt Lake City, Utah</w:t>
            </w:r>
          </w:p>
        </w:tc>
        <w:tc>
          <w:tcPr>
            <w:tcW w:w="4660" w:type="dxa"/>
            <w:vAlign w:val="bottom"/>
            <w:gridSpan w:val="3"/>
          </w:tcPr>
          <w:p>
            <w:pPr>
              <w:jc w:val="right"/>
              <w:ind w:right="910"/>
              <w:spacing w:after="0"/>
              <w:rPr>
                <w:sz w:val="20"/>
                <w:szCs w:val="20"/>
                <w:color w:val="auto"/>
              </w:rPr>
            </w:pPr>
            <w:r>
              <w:rPr>
                <w:rFonts w:ascii="Arial" w:cs="Arial" w:eastAsia="Arial" w:hAnsi="Arial"/>
                <w:sz w:val="18"/>
                <w:szCs w:val="18"/>
                <w:b w:val="1"/>
                <w:bCs w:val="1"/>
                <w:color w:val="auto"/>
              </w:rPr>
              <w:t>84116</w:t>
            </w:r>
          </w:p>
        </w:tc>
      </w:tr>
      <w:tr>
        <w:trPr>
          <w:trHeight w:val="234"/>
        </w:trPr>
        <w:tc>
          <w:tcPr>
            <w:tcW w:w="5700" w:type="dxa"/>
            <w:vAlign w:val="bottom"/>
            <w:tcBorders>
              <w:top w:val="single" w:sz="8" w:color="auto"/>
            </w:tcBorders>
            <w:gridSpan w:val="2"/>
          </w:tcPr>
          <w:p>
            <w:pPr>
              <w:jc w:val="center"/>
              <w:ind w:lef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7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(Zip Code)</w:t>
            </w:r>
          </w:p>
        </w:tc>
      </w:tr>
    </w:tbl>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960" w:type="dxa"/>
            <w:vAlign w:val="bottom"/>
            <w:gridSpan w:val="2"/>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9760" w:type="dxa"/>
            <w:vAlign w:val="bottom"/>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9960" w:type="dxa"/>
            <w:vAlign w:val="bottom"/>
            <w:gridSpan w:val="2"/>
          </w:tcPr>
          <w:p>
            <w:pPr>
              <w:ind w:left="80"/>
              <w:spacing w:after="0" w:line="243" w:lineRule="exact"/>
              <w:rPr>
                <w:sz w:val="20"/>
                <w:szCs w:val="20"/>
                <w:color w:val="auto"/>
              </w:rPr>
            </w:pPr>
            <w:r>
              <w:rPr>
                <w:rFonts w:ascii="Arial" w:cs="Arial" w:eastAsia="Arial" w:hAnsi="Arial"/>
                <w:sz w:val="22"/>
                <w:szCs w:val="22"/>
                <w:color w:val="auto"/>
                <w:w w:val="89"/>
              </w:rPr>
              <w:t>] Pre-commencement communications pursuant to Rule 14d-2(b) under the Exchange Act (17 CFR 240.14d-2(b))</w:t>
            </w:r>
          </w:p>
        </w:tc>
      </w:t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9760" w:type="dxa"/>
            <w:vAlign w:val="bottom"/>
          </w:tcPr>
          <w:p>
            <w:pPr>
              <w:ind w:left="60"/>
              <w:spacing w:after="0"/>
              <w:rPr>
                <w:sz w:val="20"/>
                <w:szCs w:val="20"/>
                <w:color w:val="auto"/>
              </w:rPr>
            </w:pPr>
            <w:r>
              <w:rPr>
                <w:rFonts w:ascii="Arial" w:cs="Arial" w:eastAsia="Arial" w:hAnsi="Arial"/>
                <w:sz w:val="22"/>
                <w:szCs w:val="22"/>
                <w:color w:val="auto"/>
                <w:w w:val="89"/>
              </w:rPr>
              <w:t>Pre-commencement communication pursuant to Rule 13e-4(c) under the Exchange Act (17 CFR 240.13e-4(c))</w:t>
            </w:r>
          </w:p>
        </w:tc>
      </w:tr>
    </w:tbl>
    <w:p>
      <w:pPr>
        <w:sectPr>
          <w:pgSz w:w="11900" w:h="16838" w:orient="portrait"/>
          <w:cols w:equalWidth="0" w:num="1">
            <w:col w:w="10380"/>
          </w:cols>
          <w:pgMar w:left="240" w:top="504" w:right="1279" w:bottom="1440" w:gutter="0" w:footer="0" w:header="0"/>
        </w:sectPr>
      </w:pPr>
    </w:p>
    <w:bookmarkStart w:id="1" w:name="page2"/>
    <w:bookmarkEnd w:id="1"/>
    <w:p>
      <w:pPr>
        <w:ind w:left="1320" w:right="2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8"/>
        <w:spacing w:after="0" w:line="238" w:lineRule="auto"/>
        <w:tabs>
          <w:tab w:leader="none" w:pos="621" w:val="left"/>
        </w:tabs>
        <w:numPr>
          <w:ilvl w:val="0"/>
          <w:numId w:val="1"/>
        </w:numPr>
        <w:rPr>
          <w:rFonts w:ascii="Arial" w:cs="Arial" w:eastAsia="Arial" w:hAnsi="Arial"/>
          <w:sz w:val="22"/>
          <w:szCs w:val="22"/>
          <w:color w:val="auto"/>
        </w:rPr>
      </w:pPr>
      <w:r>
        <w:rPr>
          <w:rFonts w:ascii="Arial" w:cs="Arial" w:eastAsia="Arial" w:hAnsi="Arial"/>
          <w:sz w:val="22"/>
          <w:szCs w:val="22"/>
          <w:color w:val="auto"/>
        </w:rPr>
        <w:t>On May 5, 2011, Tracy A. Bathurst resigned as our Chief Strategy Officer and employee of the company for personal reasons unrelated to his employment at the company, effective May 13, 2011. At the time of his resignation, there was no disagreement between Mr. Bathurst and the company on any matter relating to the company’s operations, policies or practices.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3920" w:val="left"/>
          <w:tab w:leader="none" w:pos="4620" w:val="left"/>
        </w:tabs>
        <w:rPr>
          <w:sz w:val="20"/>
          <w:szCs w:val="20"/>
          <w:color w:val="auto"/>
        </w:rPr>
      </w:pPr>
      <w:r>
        <w:rPr>
          <w:rFonts w:ascii="Arial" w:cs="Arial" w:eastAsia="Arial" w:hAnsi="Arial"/>
          <w:sz w:val="18"/>
          <w:szCs w:val="18"/>
          <w:color w:val="auto"/>
        </w:rPr>
        <w:t>Date: May 11,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363601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380"/>
      </w:cols>
      <w:pgMar w:left="240" w:top="364"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2019-12-10T09:52:07Z</dcterms:created>
  <dcterms:modified xsi:type="dcterms:W3CDTF">2019-12-10T09:52:07Z</dcterms:modified>
</cp:coreProperties>
</file>