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14,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(September 13, 2020)</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Direct Offering</w:t>
      </w:r>
    </w:p>
    <w:p>
      <w:pPr>
        <w:spacing w:after="0" w:line="10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September 13, 2020, ClearOne, Inc., a Delaware corporation (the “Company”), entered into a Securities Purchase Agreement (the “Purchase Agreement”) with certain purchasers named therein (the “Purchasers”), pursuant to which the Company agreed to issue and sell, in a registered direct offering 2,116,050 shares (the “Shares”) of the Company’s common stock, par value $0.001 per share (the “Common Stock”) at an offering price of $2.4925 per share, (the “Registered Offering”). The Company expects to receive gross proceeds of approximately $5.275 million in connection with the Registered Offering, before deducting placement agent fees and related offering expenses.</w:t>
      </w:r>
    </w:p>
    <w:p>
      <w:pPr>
        <w:spacing w:after="0" w:line="48"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Purchasers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30-day period following the closing of the Registered Offering.</w:t>
      </w:r>
    </w:p>
    <w:p>
      <w:pPr>
        <w:spacing w:after="0" w:line="5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Shares in the Registered Offering are being offered by the Company pursuant to a registration statement on Form S-3 (File No. 333-248412), which was filed with the Securities and Exchange Commission (the “Commission”) on August 25, 2020 and was declared effective by the Commission on September 1, 2020 (the “Registration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Concurrent Private Placement</w:t>
      </w:r>
    </w:p>
    <w:p>
      <w:pPr>
        <w:spacing w:after="0" w:line="9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Purchasers who participated in the Registered Offering warrants (the “Warrants” and collectively with the Shares, the “Securities”) exercisable for an aggregate of 1,058,025 shares of Common Stock at an exercise price of $2.43 per share. Each Warrant will be immediately exercisable and will expire five years from the issuance date. The Warrants and the shares of our Common Stock issuable upon the exercise of the Warrants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6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up to 9.99% of the number of the Company’s Common Stock outstanding immediately after giving effect to the exercise, as such percentage ownership is determined in accordance with the terms of the Warrant.</w:t>
      </w:r>
    </w:p>
    <w:p>
      <w:pPr>
        <w:spacing w:after="0" w:line="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Purchase Agreement, the Company agreed to use best efforts to cause a registration statement on Form S-1 providing for the resale by holders of shares of its Common Stock issuable upon the exercise of the Warrants, to become effective 90 days following the date of the Purchase Agreement and to keep such registration statement effective at all times.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Offerings are expected to close on or about September 16, 2020, subject to customary closing conditions.</w:t>
      </w:r>
    </w:p>
    <w:p>
      <w:pPr>
        <w:spacing w:after="0" w:line="1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a letter agreement, dated August 10, 2020 (the “Engagement Letter”), the Company engaged H.C. Wainwright &amp; Co., LLC (the “Placement Agent”) as placement agent in connection with the Offerings. The Placement Agent agreed to use its reasonable best efforts to arrange for the sale of the Securities. The Company agreed to pay to the Placement Agent a cash fee of 6.0% of the aggregate gross proceeds raised in the Offerings. The Company also agreed to reimburse the Placement Agent for its out-of-pocket expenses, including fees and expenses of counsel, incurred in connection with the Offering in the amount of $50,000, and to pay $12,900 for the Placement Agent’s clearing fees. Pursuant to the terms of the Engagement Letter, the Placement Agent has the right, for a period of twelve months following the closing of the Offerings, to act as sole book-running manager, sole underwriter or sole placement agent in connection with certain debt and equity financing transactions by the Company.</w:t>
      </w:r>
    </w:p>
    <w:p>
      <w:pPr>
        <w:spacing w:after="0" w:line="6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Purchase Agreement and the Warrants do not purport to be complete and are subject to, and qualified in their entirety by, such documents attached as Exhibits 10.1 and 4.1, respectively, to this Current Report on Form 8-K, which are incorporated herein by reference.</w:t>
      </w:r>
    </w:p>
    <w:p>
      <w:pPr>
        <w:spacing w:after="0" w:line="4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September 14, 2020, the Company issued a press release in connection with the Offerings, which is attached as Exhibit 99.1 hereto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 w:name="page3"/>
    <w:bookmarkEnd w:id="2"/>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copy of the opinion of Seyfarth Shaw LLP. relating to the legality of the issuance and sale of the Shares in the Registered Offering is attached as Exhibit 5.1 hereto.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4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of the Concurrent Private Placement under Item 1.01 above is incorporate herein by reference.</w:t>
      </w:r>
    </w:p>
    <w:p>
      <w:pPr>
        <w:spacing w:after="0" w:line="10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prospectus supplement to the Registration Statement to be filed with the Commission in connection with the Registered Offering, the Company intends to include the following disclosure under the heading “Risk Factors” regarding certain additional risk factors that could affect its business, financial condition, operating results and cash flows, which should be read in connection with the existing disclosure on risk factors made in the Company’s most recently filed Annual Report on Form 10-K, Quarterly Report on Form 10-Q and other filings made with the Commission: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Edward D. Bagley’s significant share ownership position in the Company, he is able to influence corporate matters.</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Based solely on filings by Edward D. Bagley under Regulation 13D and Section 16 of the Exchange Act, Mr. Bagley beneficially owns approximately 44.7% of our outstanding shares of common stock. Pursuant to the Note Purchase Agreement, dated December 8, 2019, by and between Mr. Bagley and the Company, Mr. Bagley also has a security interest in substantially all of the assets of the Company as well as certain observer rights with respect to meetings of our board of directors.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22.5%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 including investors who purchase shares in this offering.</w:t>
      </w:r>
    </w:p>
    <w:p>
      <w:pPr>
        <w:spacing w:after="0" w:line="18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proceeds from this offering, and we may not use the proceeds in ways that increase the value of your investment.</w:t>
      </w:r>
    </w:p>
    <w:p>
      <w:pPr>
        <w:spacing w:after="0" w:line="2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we receive from this offering, and you will be relying on the judgment of our management regarding the application of these proceeds. We have not designated any portion of the net proceeds from this offering to be used for any particular purpose other than for general corporate purposes and working capital. Our management could spend the proceeds in ways that do not necessarily improve our operating results or enhance the value of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net tangible book value per share of the common stock you purchase.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2020, the net tangible book value of our common stock was $23.6 million, or $1.42 per share. Because the price per share being offered is substantially higher than the net tangible book value per share of our common stock, there will be an immediate increase in pro forma as adjusted net tangible book value per share to our existing stockholders and immediate dilution in pro forma as adjusted net tangible book value per share to investors participating in this offering.</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after completion of this offering which may not be available to us on acceptable terms or at all.</w:t>
      </w:r>
    </w:p>
    <w:p>
      <w:pPr>
        <w:spacing w:after="0" w:line="1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2020, we had approximately $2.1 million of cash and cash equivalents. After our receipt of the net proceeds from this offering, we anticipate having sufficient cash on hand, cash from future operations and cash from the sale of marketable securities to fund our operations for the next twelve months, however there can be no assurance that efforts to enforce our patents will be successful or that our marketing and sales efforts will progress as anticipated or that our cash generated from operations will be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are unsuccessful in completing this offering, management is uncertain that our current and anticipated cash on hand, cash from future operations and cash from the sale of marketable securities would be sufficient to support currently forecasted operations through at least the next twelve months,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spacing w:after="0" w:line="1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we would be able to obtain any such additional debt or equity financing on commercially reasonable terms or at all. If we fail to obtain the necessary financing in this offering or in future debt or equity financing when needed, we may not be able to execute our business plan, which would have a material adverse effect on our growth strategy and our results of operations and financial condition as well as our overall ability to continue as a going concern. Management also believes that, if necessary, it can implement plans in the short term to conserve existing cash should additional financing activities be delayed.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suffer additional dilution as a result of future financing transactions.</w:t>
      </w:r>
    </w:p>
    <w:p>
      <w:pPr>
        <w:spacing w:after="0" w:line="9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common stock, or securities convertible into or exchangeable or exercisable for common stock, our stockholders, including investors who purchase shares of common stock in this offering, may experience additional dilution.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common stock may negatively impact the trading price of our common stock.</w:t>
      </w:r>
    </w:p>
    <w:p>
      <w:pPr>
        <w:spacing w:after="0" w:line="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issued equity securities in the past, will issue equity securities in this offering and may continue to issue equity securities to finance our activities in the future. In addition, outstanding options and warrants to purchase our common stock may be exercised, outstanding secured convertible notes may be converted to shares of our common stock, and additional options and warrants may be issued, resulting in the issuance of additional shares of common stock. The issuance by us of additional shares of common stock, including the shares of common stock issued by us in this offering, would result in dilution to our stockholders, and even the perception that such an issuance may occur could have a negative impact on the trading price of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the value of your investment could decline significantly.</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continue the listing of our common stock on a national securities exchange, our ability or inability to raise the additional capital we may need and the terms on which we raise it, and general market and economic conditions, some of which are beyond our control. These broad market fluctuations may lower the market price of our common stock and affect the volume of trading in our stock. If the market price of our common stock after this offering does not exceed the offering price, you may not realize any return on your investment and may lose some or all of your investment.</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stockholders will benefit from an investment in our stock only if it appreciates in value.</w:t>
      </w:r>
    </w:p>
    <w:p>
      <w:pPr>
        <w:spacing w:after="0" w:line="7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realization of a gain on stockholders’ investments will depend on the appreciation of the price of our stock. There is no guarantee that our stock will appreciate in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42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Form of Common Stock Purchase Warrant.</w:t>
              </w:r>
            </w:hyperlink>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19"/>
                <w:szCs w:val="19"/>
                <w:color w:val="auto"/>
              </w:rPr>
            </w:pPr>
          </w:p>
        </w:tc>
        <w:tc>
          <w:tcPr>
            <w:tcW w:w="9220" w:type="dxa"/>
            <w:vAlign w:val="bottom"/>
            <w:gridSpan w:val="2"/>
          </w:tcPr>
          <w:p>
            <w:pPr>
              <w:ind w:left="8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u w:val="single" w:color="auto"/>
                  <w:color w:val="0000EE"/>
                </w:rPr>
                <w:t>Opinion of Seyfarth Shaw LLP</w:t>
              </w:r>
              <w:r>
                <w:rPr>
                  <w:rFonts w:ascii="Times New Roman" w:cs="Times New Roman" w:eastAsia="Times New Roman" w:hAnsi="Times New Roman"/>
                  <w:sz w:val="18"/>
                  <w:szCs w:val="18"/>
                  <w:color w:val="0000EE"/>
                </w:rPr>
                <w:t>.</w:t>
              </w:r>
            </w:hyperlink>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9"/>
                <w:szCs w:val="19"/>
                <w:color w:val="auto"/>
              </w:rPr>
            </w:pP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Form of Securities Purchase Agreement.</w:t>
              </w:r>
            </w:hyperlink>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19"/>
                <w:szCs w:val="19"/>
                <w:color w:val="auto"/>
              </w:rPr>
            </w:pPr>
          </w:p>
        </w:tc>
        <w:tc>
          <w:tcPr>
            <w:tcW w:w="9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 of Seyfarth Shaw LLP (Included in Exhibit 5.1).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0"/>
                <w:szCs w:val="20"/>
                <w:color w:val="auto"/>
              </w:rPr>
            </w:pP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Press Release of ClearOne, Inc. dated September 14, 2020.</w:t>
              </w:r>
            </w:hyperlink>
          </w:p>
        </w:tc>
      </w:tr>
      <w:tr>
        <w:trPr>
          <w:trHeight w:val="507"/>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2020</w:t>
            </w: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228"/>
        </w:trPr>
        <w:tc>
          <w:tcPr>
            <w:tcW w:w="3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441"/>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533"/>
        </w:trPr>
        <w:tc>
          <w:tcPr>
            <w:tcW w:w="3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Pr>
          <w:p>
            <w:pPr>
              <w:spacing w:after="0"/>
              <w:rPr>
                <w:sz w:val="24"/>
                <w:szCs w:val="24"/>
                <w:color w:val="auto"/>
              </w:rPr>
            </w:pPr>
          </w:p>
        </w:tc>
        <w:tc>
          <w:tcPr>
            <w:tcW w:w="91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42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Form of Common Stock Purchase Warrant.</w:t>
              </w:r>
            </w:hyperlink>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220" w:type="dxa"/>
            <w:vAlign w:val="bottom"/>
            <w:gridSpan w:val="2"/>
          </w:tcPr>
          <w:p>
            <w:pPr>
              <w:ind w:left="8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u w:val="single" w:color="auto"/>
                  <w:color w:val="0000EE"/>
                </w:rPr>
                <w:t>Opinion of Seyfarth Shaw LLP</w:t>
              </w:r>
              <w:r>
                <w:rPr>
                  <w:rFonts w:ascii="Times New Roman" w:cs="Times New Roman" w:eastAsia="Times New Roman" w:hAnsi="Times New Roman"/>
                  <w:sz w:val="18"/>
                  <w:szCs w:val="18"/>
                  <w:color w:val="0000EE"/>
                </w:rPr>
                <w:t>.</w:t>
              </w:r>
            </w:hyperlink>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Form of Securities Purchase Agreement.</w:t>
              </w:r>
            </w:hyperlink>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 of Seyfarth Shaw LLP (Included in Exhibit 5.1).</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20" w:type="dxa"/>
            <w:vAlign w:val="bottom"/>
            <w:gridSpan w:val="2"/>
          </w:tcPr>
          <w:p>
            <w:pPr>
              <w:ind w:left="8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Press Release of ClearOne, Inc. dated September 14, 2020.</w:t>
              </w:r>
            </w:hyperlink>
          </w:p>
        </w:tc>
      </w:tr>
    </w:tbl>
    <w:p>
      <w:pPr>
        <w:sectPr>
          <w:pgSz w:w="11900" w:h="16838" w:orient="portrait"/>
          <w:cols w:equalWidth="0" w:num="1">
            <w:col w:w="11240"/>
          </w:cols>
          <w:pgMar w:left="320" w:top="549" w:right="339" w:bottom="1440" w:gutter="0" w:footer="0" w:header="0"/>
        </w:sectPr>
      </w:pPr>
    </w:p>
    <w:bookmarkStart w:id="6" w:name="page7"/>
    <w:bookmarkEnd w:id="6"/>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ectPr>
          <w:pgSz w:w="11900" w:h="16838" w:orient="portrait"/>
          <w:cols w:equalWidth="0" w:num="1">
            <w:col w:w="11240"/>
          </w:cols>
          <w:pgMar w:left="320" w:top="117" w:right="339" w:bottom="1440" w:gutter="0" w:footer="0" w:header="0"/>
        </w:sectPr>
      </w:pP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September ___, 2020</w:t>
      </w:r>
    </w:p>
    <w:p>
      <w:pPr>
        <w:spacing w:after="0" w:line="63" w:lineRule="exact"/>
        <w:rPr>
          <w:sz w:val="20"/>
          <w:szCs w:val="20"/>
          <w:color w:val="auto"/>
        </w:rPr>
      </w:pPr>
    </w:p>
    <w:p>
      <w:pPr>
        <w:sectPr>
          <w:pgSz w:w="11900" w:h="16838" w:orient="portrait"/>
          <w:cols w:equalWidth="0" w:num="2">
            <w:col w:w="6940" w:space="720"/>
            <w:col w:w="3580"/>
          </w:cols>
          <w:pgMar w:left="320" w:top="117" w:right="339" w:bottom="1440" w:gutter="0" w:footer="0" w:header="0"/>
          <w:type w:val="continuous"/>
        </w:sectPr>
      </w:pPr>
    </w:p>
    <w:p>
      <w:pPr>
        <w:ind w:left="7660"/>
        <w:spacing w:after="0"/>
        <w:rPr>
          <w:sz w:val="20"/>
          <w:szCs w:val="20"/>
          <w:color w:val="auto"/>
        </w:rPr>
      </w:pPr>
      <w:r>
        <w:rPr>
          <w:rFonts w:ascii="Times New Roman" w:cs="Times New Roman" w:eastAsia="Times New Roman" w:hAnsi="Times New Roman"/>
          <w:sz w:val="18"/>
          <w:szCs w:val="18"/>
          <w:color w:val="auto"/>
        </w:rPr>
        <w:t>Issue Date: September ___, 2020</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 or its assigns (the</w:t>
      </w:r>
    </w:p>
    <w:p>
      <w:pPr>
        <w:spacing w:after="0" w:line="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September __, 2025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w:t>
      </w:r>
    </w:p>
    <w:p>
      <w:pPr>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September 13, 2020, among the Company and the purchasers signatory thereto.</w:t>
      </w:r>
    </w:p>
    <w:p>
      <w:pPr>
        <w:spacing w:after="0" w:line="16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left="660" w:firstLine="644"/>
        <w:spacing w:after="0" w:line="237" w:lineRule="auto"/>
        <w:tabs>
          <w:tab w:leader="none" w:pos="24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247015</wp:posOffset>
            </wp:positionV>
            <wp:extent cx="1370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4"/>
          <w:szCs w:val="14"/>
          <w:color w:val="auto"/>
        </w:rPr>
        <w:t xml:space="preserve"> Insert the date that is the five (5) year anniversary of the Initial Exercise Date, provided that, if such date is not a Trading Day, insert the immediately following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ind w:left="4" w:firstLine="644"/>
        <w:spacing w:after="0" w:line="286" w:lineRule="auto"/>
        <w:tabs>
          <w:tab w:leader="none" w:pos="18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$2.43</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jc w:val="both"/>
        <w:ind w:left="4" w:firstLine="644"/>
        <w:spacing w:after="0" w:line="250" w:lineRule="auto"/>
        <w:tabs>
          <w:tab w:leader="none" w:pos="16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7" w:lineRule="exact"/>
        <w:rPr>
          <w:sz w:val="20"/>
          <w:szCs w:val="20"/>
          <w:color w:val="auto"/>
        </w:rPr>
      </w:pPr>
    </w:p>
    <w:p>
      <w:pPr>
        <w:ind w:left="1144" w:hanging="496"/>
        <w:spacing w:after="0" w:line="238" w:lineRule="auto"/>
        <w:tabs>
          <w:tab w:leader="none" w:pos="9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2" w:lineRule="exact"/>
        <w:rPr>
          <w:rFonts w:ascii="Times New Roman" w:cs="Times New Roman" w:eastAsia="Times New Roman" w:hAnsi="Times New Roman"/>
          <w:sz w:val="18"/>
          <w:szCs w:val="18"/>
          <w:color w:val="auto"/>
        </w:rPr>
      </w:pPr>
    </w:p>
    <w:p>
      <w:pPr>
        <w:ind w:left="924" w:hanging="276"/>
        <w:spacing w:after="0"/>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98" w:lineRule="exact"/>
        <w:rPr>
          <w:sz w:val="20"/>
          <w:szCs w:val="20"/>
          <w:color w:val="auto"/>
        </w:rPr>
      </w:pPr>
    </w:p>
    <w:p>
      <w:pPr>
        <w:ind w:left="1224" w:right="20" w:hanging="576"/>
        <w:spacing w:after="0" w:line="266" w:lineRule="auto"/>
        <w:tabs>
          <w:tab w:leader="none" w:pos="9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49"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63" w:lineRule="exact"/>
        <w:rPr>
          <w:sz w:val="20"/>
          <w:szCs w:val="20"/>
          <w:color w:val="auto"/>
        </w:rPr>
      </w:pPr>
    </w:p>
    <w:p>
      <w:pPr>
        <w:jc w:val="both"/>
        <w:ind w:left="4" w:firstLine="648"/>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5" w:lineRule="exact"/>
        <w:rPr>
          <w:sz w:val="20"/>
          <w:szCs w:val="20"/>
          <w:color w:val="auto"/>
        </w:rPr>
      </w:pPr>
    </w:p>
    <w:p>
      <w:pPr>
        <w:jc w:val="both"/>
        <w:ind w:left="4" w:firstLine="648"/>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w:t>
      </w:r>
    </w:p>
    <w:p>
      <w:pPr>
        <w:spacing w:after="0" w:line="1" w:lineRule="exact"/>
        <w:rPr>
          <w:sz w:val="20"/>
          <w:szCs w:val="20"/>
          <w:color w:val="auto"/>
        </w:rPr>
      </w:pPr>
    </w:p>
    <w:p>
      <w:pPr>
        <w:jc w:val="both"/>
        <w:ind w:left="4" w:hanging="4"/>
        <w:spacing w:after="0" w:line="239"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2" w:lineRule="exact"/>
        <w:rPr>
          <w:sz w:val="20"/>
          <w:szCs w:val="20"/>
          <w:color w:val="auto"/>
        </w:rPr>
      </w:pPr>
    </w:p>
    <w:p>
      <w:pPr>
        <w:ind w:left="4"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166370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22" w:right="339" w:bottom="1440" w:gutter="0" w:footer="0" w:header="0"/>
        </w:sectPr>
      </w:pPr>
    </w:p>
    <w:bookmarkStart w:id="8" w:name="page9"/>
    <w:bookmarkEnd w:id="8"/>
    <w:p>
      <w:pPr>
        <w:ind w:left="1780" w:hanging="376"/>
        <w:spacing w:after="0"/>
        <w:tabs>
          <w:tab w:leader="none" w:pos="1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36" w:lineRule="exact"/>
        <w:rPr>
          <w:sz w:val="20"/>
          <w:szCs w:val="20"/>
          <w:color w:val="auto"/>
        </w:rPr>
      </w:pPr>
    </w:p>
    <w:p>
      <w:pPr>
        <w:jc w:val="both"/>
        <w:ind w:left="2220" w:firstLine="534"/>
        <w:spacing w:after="0" w:line="295" w:lineRule="auto"/>
        <w:tabs>
          <w:tab w:leader="none" w:pos="3327"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1" w:lineRule="exact"/>
        <w:rPr>
          <w:rFonts w:ascii="Times New Roman" w:cs="Times New Roman" w:eastAsia="Times New Roman" w:hAnsi="Times New Roman"/>
          <w:sz w:val="22"/>
          <w:szCs w:val="22"/>
          <w:color w:val="auto"/>
        </w:rPr>
      </w:pPr>
    </w:p>
    <w:p>
      <w:pPr>
        <w:jc w:val="both"/>
        <w:ind w:left="2220" w:firstLine="385"/>
        <w:spacing w:after="0" w:line="286" w:lineRule="auto"/>
        <w:tabs>
          <w:tab w:leader="none" w:pos="367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0" w:lineRule="exact"/>
        <w:rPr>
          <w:rFonts w:ascii="Times New Roman" w:cs="Times New Roman" w:eastAsia="Times New Roman" w:hAnsi="Times New Roman"/>
          <w:sz w:val="22"/>
          <w:szCs w:val="22"/>
          <w:color w:val="auto"/>
        </w:rPr>
      </w:pPr>
    </w:p>
    <w:p>
      <w:pPr>
        <w:jc w:val="both"/>
        <w:ind w:left="2220" w:firstLine="412"/>
        <w:spacing w:after="0" w:line="281" w:lineRule="auto"/>
        <w:tabs>
          <w:tab w:leader="none" w:pos="365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204" w:lineRule="exact"/>
        <w:rPr>
          <w:rFonts w:ascii="Times New Roman" w:cs="Times New Roman" w:eastAsia="Times New Roman" w:hAnsi="Times New Roman"/>
          <w:sz w:val="22"/>
          <w:szCs w:val="22"/>
          <w:color w:val="auto"/>
        </w:rPr>
      </w:pPr>
    </w:p>
    <w:p>
      <w:pPr>
        <w:jc w:val="both"/>
        <w:ind w:left="2220" w:firstLine="426"/>
        <w:spacing w:after="0" w:line="295" w:lineRule="auto"/>
        <w:tabs>
          <w:tab w:leader="none" w:pos="365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3" w:lineRule="exact"/>
        <w:rPr>
          <w:rFonts w:ascii="Times New Roman" w:cs="Times New Roman" w:eastAsia="Times New Roman" w:hAnsi="Times New Roman"/>
          <w:sz w:val="22"/>
          <w:szCs w:val="22"/>
          <w:color w:val="auto"/>
        </w:rPr>
      </w:pPr>
    </w:p>
    <w:p>
      <w:pPr>
        <w:jc w:val="both"/>
        <w:ind w:left="2220" w:firstLine="480"/>
        <w:spacing w:after="0" w:line="286" w:lineRule="auto"/>
        <w:tabs>
          <w:tab w:leader="none" w:pos="367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0" w:lineRule="exact"/>
        <w:rPr>
          <w:rFonts w:ascii="Times New Roman" w:cs="Times New Roman" w:eastAsia="Times New Roman" w:hAnsi="Times New Roman"/>
          <w:sz w:val="22"/>
          <w:szCs w:val="22"/>
          <w:color w:val="auto"/>
        </w:rPr>
      </w:pPr>
    </w:p>
    <w:p>
      <w:pPr>
        <w:jc w:val="both"/>
        <w:ind w:left="2220" w:firstLine="426"/>
        <w:spacing w:after="0" w:line="281" w:lineRule="auto"/>
        <w:tabs>
          <w:tab w:leader="none" w:pos="365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w:t>
      </w:r>
    </w:p>
    <w:p>
      <w:pPr>
        <w:sectPr>
          <w:pgSz w:w="11900" w:h="16838" w:orient="portrait"/>
          <w:cols w:equalWidth="0" w:num="1">
            <w:col w:w="11340"/>
          </w:cols>
          <w:pgMar w:left="220" w:top="702" w:right="339" w:bottom="0" w:gutter="0" w:footer="0" w:header="0"/>
        </w:sectPr>
      </w:pPr>
    </w:p>
    <w:bookmarkStart w:id="9" w:name="page10"/>
    <w:bookmarkEnd w:id="9"/>
    <w:p>
      <w:pPr>
        <w:jc w:val="both"/>
        <w:ind w:left="1000"/>
        <w:spacing w:after="0" w:line="303" w:lineRule="auto"/>
        <w:rPr>
          <w:sz w:val="20"/>
          <w:szCs w:val="20"/>
          <w:color w:val="auto"/>
        </w:rPr>
      </w:pPr>
      <w:r>
        <w:rPr>
          <w:rFonts w:ascii="Times New Roman" w:cs="Times New Roman" w:eastAsia="Times New Roman" w:hAnsi="Times New Roman"/>
          <w:sz w:val="18"/>
          <w:szCs w:val="18"/>
          <w:color w:val="auto"/>
        </w:rPr>
        <w:t xml:space="preserve">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7" w:lineRule="exact"/>
        <w:rPr>
          <w:sz w:val="20"/>
          <w:szCs w:val="20"/>
          <w:color w:val="auto"/>
        </w:rPr>
      </w:pPr>
    </w:p>
    <w:p>
      <w:pPr>
        <w:ind w:left="1000" w:firstLine="358"/>
        <w:spacing w:after="0" w:line="275" w:lineRule="auto"/>
        <w:tabs>
          <w:tab w:leader="none" w:pos="256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62" w:right="339" w:bottom="1440" w:gutter="0" w:footer="0" w:header="0"/>
        </w:sectPr>
      </w:pPr>
    </w:p>
    <w:bookmarkStart w:id="10" w:name="page11"/>
    <w:bookmarkEnd w:id="10"/>
    <w:p>
      <w:pPr>
        <w:jc w:val="both"/>
        <w:ind w:left="4" w:firstLine="644"/>
        <w:spacing w:after="0" w:line="235" w:lineRule="auto"/>
        <w:tabs>
          <w:tab w:leader="none" w:pos="15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w:t>
      </w:r>
    </w:p>
    <w:p>
      <w:pPr>
        <w:spacing w:after="0" w:line="14" w:lineRule="exact"/>
        <w:rPr>
          <w:sz w:val="20"/>
          <w:szCs w:val="20"/>
          <w:color w:val="auto"/>
        </w:rPr>
      </w:pPr>
    </w:p>
    <w:p>
      <w:pPr>
        <w:jc w:val="both"/>
        <w:ind w:left="4"/>
        <w:spacing w:after="0" w:line="220" w:lineRule="auto"/>
        <w:rPr>
          <w:sz w:val="20"/>
          <w:szCs w:val="20"/>
          <w:color w:val="auto"/>
        </w:rPr>
      </w:pPr>
      <w:r>
        <w:rPr>
          <w:rFonts w:ascii="Times New Roman" w:cs="Times New Roman" w:eastAsia="Times New Roman" w:hAnsi="Times New Roman"/>
          <w:sz w:val="18"/>
          <w:szCs w:val="18"/>
          <w:color w:val="auto"/>
        </w:rPr>
        <w:t>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1428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316" w:lineRule="exact"/>
        <w:rPr>
          <w:sz w:val="20"/>
          <w:szCs w:val="20"/>
          <w:color w:val="auto"/>
        </w:rPr>
      </w:pPr>
    </w:p>
    <w:p>
      <w:pPr>
        <w:ind w:left="104" w:hanging="104"/>
        <w:spacing w:after="0"/>
        <w:tabs>
          <w:tab w:leader="none" w:pos="104"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This provision can be omitted at the option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26" w:right="339" w:bottom="1440" w:gutter="0" w:footer="0" w:header="0"/>
        </w:sectPr>
      </w:pPr>
    </w:p>
    <w:bookmarkStart w:id="11" w:name="page12"/>
    <w:bookmarkEnd w:id="11"/>
    <w:p>
      <w:pPr>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44"/>
        <w:spacing w:after="0" w:line="208" w:lineRule="exact"/>
        <w:tabs>
          <w:tab w:leader="none" w:pos="18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165" w:lineRule="exact"/>
        <w:rPr>
          <w:rFonts w:ascii="Times New Roman" w:cs="Times New Roman" w:eastAsia="Times New Roman" w:hAnsi="Times New Roman"/>
          <w:sz w:val="18"/>
          <w:szCs w:val="18"/>
          <w:color w:val="auto"/>
        </w:rPr>
      </w:pPr>
    </w:p>
    <w:p>
      <w:pPr>
        <w:ind w:left="1600" w:hanging="956"/>
        <w:spacing w:after="0"/>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39" w:lineRule="auto"/>
        <w:tabs>
          <w:tab w:leader="none" w:pos="17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6" w:lineRule="exact"/>
        <w:rPr>
          <w:rFonts w:ascii="Times New Roman" w:cs="Times New Roman" w:eastAsia="Times New Roman" w:hAnsi="Times New Roman"/>
          <w:sz w:val="18"/>
          <w:szCs w:val="18"/>
          <w:color w:val="auto"/>
        </w:rPr>
      </w:pPr>
    </w:p>
    <w:p>
      <w:pPr>
        <w:jc w:val="both"/>
        <w:ind w:firstLine="644"/>
        <w:spacing w:after="0" w:line="238" w:lineRule="auto"/>
        <w:tabs>
          <w:tab w:leader="none" w:pos="16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3" w:lineRule="exact"/>
        <w:rPr>
          <w:rFonts w:ascii="Times New Roman" w:cs="Times New Roman" w:eastAsia="Times New Roman" w:hAnsi="Times New Roman"/>
          <w:sz w:val="18"/>
          <w:szCs w:val="18"/>
          <w:color w:val="auto"/>
        </w:rPr>
      </w:pPr>
    </w:p>
    <w:p>
      <w:pPr>
        <w:jc w:val="both"/>
        <w:ind w:firstLine="644"/>
        <w:spacing w:after="0" w:line="244" w:lineRule="auto"/>
        <w:tabs>
          <w:tab w:leader="none" w:pos="1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358775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26" w:right="339" w:bottom="1440" w:gutter="0" w:footer="0" w:header="0"/>
        </w:sectPr>
      </w:pPr>
    </w:p>
    <w:bookmarkStart w:id="12" w:name="page13"/>
    <w:bookmarkEnd w:id="12"/>
    <w:p>
      <w:pPr>
        <w:jc w:val="both"/>
        <w:ind w:left="4" w:firstLine="50"/>
        <w:spacing w:after="0" w:line="235" w:lineRule="auto"/>
        <w:tabs>
          <w:tab w:leader="none" w:pos="3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w:t>
      </w:r>
    </w:p>
    <w:p>
      <w:pPr>
        <w:spacing w:after="0" w:line="13" w:lineRule="exact"/>
        <w:rPr>
          <w:rFonts w:ascii="Times New Roman" w:cs="Times New Roman" w:eastAsia="Times New Roman" w:hAnsi="Times New Roman"/>
          <w:sz w:val="18"/>
          <w:szCs w:val="18"/>
          <w:color w:val="auto"/>
        </w:rPr>
      </w:pPr>
    </w:p>
    <w:p>
      <w:pPr>
        <w:jc w:val="both"/>
        <w:ind w:left="4" w:hanging="4"/>
        <w:spacing w:after="0" w:line="235"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26" w:right="339" w:bottom="1440" w:gutter="0" w:footer="0" w:header="0"/>
        </w:sectPr>
      </w:pPr>
    </w:p>
    <w:bookmarkStart w:id="13" w:name="page14"/>
    <w:bookmarkEnd w:id="13"/>
    <w:p>
      <w:pPr>
        <w:jc w:val="both"/>
        <w:ind w:left="-460" w:firstLine="644"/>
        <w:spacing w:after="0" w:line="258"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9" w:lineRule="exact"/>
        <w:rPr>
          <w:rFonts w:ascii="Times New Roman" w:cs="Times New Roman" w:eastAsia="Times New Roman" w:hAnsi="Times New Roman"/>
          <w:sz w:val="18"/>
          <w:szCs w:val="18"/>
          <w:color w:val="auto"/>
        </w:rPr>
      </w:pPr>
    </w:p>
    <w:p>
      <w:pPr>
        <w:ind w:left="1140" w:hanging="956"/>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840" w:firstLine="532"/>
        <w:spacing w:after="0" w:line="286" w:lineRule="auto"/>
        <w:tabs>
          <w:tab w:leader="none" w:pos="198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00" w:lineRule="exact"/>
        <w:rPr>
          <w:rFonts w:ascii="Times New Roman" w:cs="Times New Roman" w:eastAsia="Times New Roman" w:hAnsi="Times New Roman"/>
          <w:sz w:val="22"/>
          <w:szCs w:val="22"/>
          <w:color w:val="auto"/>
        </w:rPr>
      </w:pPr>
    </w:p>
    <w:p>
      <w:pPr>
        <w:jc w:val="both"/>
        <w:ind w:left="840" w:firstLine="464"/>
        <w:spacing w:after="0" w:line="295" w:lineRule="auto"/>
        <w:tabs>
          <w:tab w:leader="none" w:pos="204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64" w:lineRule="exact"/>
        <w:rPr>
          <w:rFonts w:ascii="Times New Roman" w:cs="Times New Roman" w:eastAsia="Times New Roman" w:hAnsi="Times New Roman"/>
          <w:sz w:val="22"/>
          <w:szCs w:val="22"/>
          <w:color w:val="auto"/>
        </w:rPr>
      </w:pPr>
    </w:p>
    <w:p>
      <w:pPr>
        <w:jc w:val="both"/>
        <w:ind w:left="-460" w:firstLine="644"/>
        <w:spacing w:after="0" w:line="258" w:lineRule="auto"/>
        <w:tabs>
          <w:tab w:leader="none" w:pos="1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6" w:right="339" w:bottom="1440" w:gutter="0" w:footer="0" w:header="0"/>
        </w:sectPr>
      </w:pPr>
    </w:p>
    <w:bookmarkStart w:id="14" w:name="page15"/>
    <w:bookmarkEnd w:id="14"/>
    <w:p>
      <w:pPr>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644"/>
        <w:spacing w:after="0" w:line="239" w:lineRule="auto"/>
        <w:tabs>
          <w:tab w:leader="none" w:pos="15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6" w:lineRule="exact"/>
        <w:rPr>
          <w:rFonts w:ascii="Times New Roman" w:cs="Times New Roman" w:eastAsia="Times New Roman" w:hAnsi="Times New Roman"/>
          <w:sz w:val="18"/>
          <w:szCs w:val="18"/>
          <w:color w:val="auto"/>
        </w:rPr>
      </w:pPr>
    </w:p>
    <w:p>
      <w:pPr>
        <w:jc w:val="both"/>
        <w:ind w:firstLine="644"/>
        <w:spacing w:after="0" w:line="244" w:lineRule="auto"/>
        <w:tabs>
          <w:tab w:leader="none" w:pos="1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1" w:lineRule="exact"/>
        <w:rPr>
          <w:rFonts w:ascii="Times New Roman" w:cs="Times New Roman" w:eastAsia="Times New Roman" w:hAnsi="Times New Roman"/>
          <w:sz w:val="18"/>
          <w:szCs w:val="18"/>
          <w:color w:val="auto"/>
        </w:rPr>
      </w:pPr>
    </w:p>
    <w:p>
      <w:pPr>
        <w:jc w:val="both"/>
        <w:ind w:firstLine="644"/>
        <w:spacing w:after="0" w:line="250" w:lineRule="auto"/>
        <w:tabs>
          <w:tab w:leader="none" w:pos="1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7" w:lineRule="exact"/>
        <w:rPr>
          <w:rFonts w:ascii="Times New Roman" w:cs="Times New Roman" w:eastAsia="Times New Roman" w:hAnsi="Times New Roman"/>
          <w:sz w:val="18"/>
          <w:szCs w:val="18"/>
          <w:color w:val="auto"/>
        </w:rPr>
      </w:pPr>
    </w:p>
    <w:p>
      <w:pPr>
        <w:jc w:val="both"/>
        <w:ind w:firstLine="644"/>
        <w:spacing w:after="0" w:line="246" w:lineRule="auto"/>
        <w:tabs>
          <w:tab w:leader="none" w:pos="1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1" w:lineRule="exact"/>
        <w:rPr>
          <w:rFonts w:ascii="Times New Roman" w:cs="Times New Roman" w:eastAsia="Times New Roman" w:hAnsi="Times New Roman"/>
          <w:sz w:val="18"/>
          <w:szCs w:val="18"/>
          <w:color w:val="auto"/>
        </w:rPr>
      </w:pPr>
    </w:p>
    <w:p>
      <w:pPr>
        <w:jc w:val="both"/>
        <w:ind w:firstLine="644"/>
        <w:spacing w:after="0" w:line="250" w:lineRule="auto"/>
        <w:tabs>
          <w:tab w:leader="none" w:pos="18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123825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26" w:right="339" w:bottom="1440" w:gutter="0" w:footer="0" w:header="0"/>
        </w:sectPr>
      </w:pPr>
    </w:p>
    <w:bookmarkStart w:id="15" w:name="page16"/>
    <w:bookmarkEnd w:id="15"/>
    <w:p>
      <w:pPr>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644"/>
        <w:spacing w:after="0" w:line="246" w:lineRule="auto"/>
        <w:tabs>
          <w:tab w:leader="none" w:pos="17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1" w:lineRule="exact"/>
        <w:rPr>
          <w:rFonts w:ascii="Times New Roman" w:cs="Times New Roman" w:eastAsia="Times New Roman" w:hAnsi="Times New Roman"/>
          <w:sz w:val="18"/>
          <w:szCs w:val="18"/>
          <w:color w:val="auto"/>
        </w:rPr>
      </w:pPr>
    </w:p>
    <w:p>
      <w:pPr>
        <w:jc w:val="both"/>
        <w:ind w:firstLine="644"/>
        <w:spacing w:after="0" w:line="246" w:lineRule="auto"/>
        <w:tabs>
          <w:tab w:leader="none" w:pos="1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1" w:lineRule="exact"/>
        <w:rPr>
          <w:rFonts w:ascii="Times New Roman" w:cs="Times New Roman" w:eastAsia="Times New Roman" w:hAnsi="Times New Roman"/>
          <w:sz w:val="18"/>
          <w:szCs w:val="18"/>
          <w:color w:val="auto"/>
        </w:rPr>
      </w:pPr>
    </w:p>
    <w:p>
      <w:pPr>
        <w:jc w:val="both"/>
        <w:ind w:firstLine="644"/>
        <w:spacing w:after="0" w:line="258" w:lineRule="auto"/>
        <w:tabs>
          <w:tab w:leader="none" w:pos="17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9" w:lineRule="exact"/>
        <w:rPr>
          <w:rFonts w:ascii="Times New Roman" w:cs="Times New Roman" w:eastAsia="Times New Roman" w:hAnsi="Times New Roman"/>
          <w:sz w:val="18"/>
          <w:szCs w:val="18"/>
          <w:color w:val="auto"/>
        </w:rPr>
      </w:pPr>
    </w:p>
    <w:p>
      <w:pPr>
        <w:ind w:left="1600" w:hanging="956"/>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38"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6" w:lineRule="exact"/>
        <w:rPr>
          <w:sz w:val="20"/>
          <w:szCs w:val="20"/>
          <w:color w:val="auto"/>
        </w:rPr>
      </w:pPr>
    </w:p>
    <w:p>
      <w:pPr>
        <w:jc w:val="both"/>
        <w:ind w:left="640" w:firstLine="648"/>
        <w:spacing w:after="0" w:line="238"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123825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26" w:right="339" w:bottom="1440" w:gutter="0" w:footer="0" w:header="0"/>
        </w:sectPr>
      </w:pPr>
    </w:p>
    <w:bookmarkStart w:id="16" w:name="page17"/>
    <w:bookmarkEnd w:id="16"/>
    <w:p>
      <w:pPr>
        <w:ind w:left="-460" w:right="20" w:firstLine="644"/>
        <w:spacing w:after="0" w:line="282" w:lineRule="auto"/>
        <w:tabs>
          <w:tab w:leader="none" w:pos="13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48" w:lineRule="exact"/>
        <w:rPr>
          <w:rFonts w:ascii="Times New Roman" w:cs="Times New Roman" w:eastAsia="Times New Roman" w:hAnsi="Times New Roman"/>
          <w:sz w:val="18"/>
          <w:szCs w:val="18"/>
          <w:color w:val="auto"/>
        </w:rPr>
      </w:pPr>
    </w:p>
    <w:p>
      <w:pPr>
        <w:ind w:left="-460" w:firstLine="644"/>
        <w:spacing w:after="0" w:line="282" w:lineRule="auto"/>
        <w:tabs>
          <w:tab w:leader="none" w:pos="15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8" w:lineRule="exact"/>
        <w:rPr>
          <w:rFonts w:ascii="Times New Roman" w:cs="Times New Roman" w:eastAsia="Times New Roman" w:hAnsi="Times New Roman"/>
          <w:sz w:val="18"/>
          <w:szCs w:val="18"/>
          <w:color w:val="auto"/>
        </w:rPr>
      </w:pPr>
    </w:p>
    <w:p>
      <w:pPr>
        <w:jc w:val="both"/>
        <w:ind w:left="-460" w:firstLine="644"/>
        <w:spacing w:after="0" w:line="244" w:lineRule="auto"/>
        <w:tabs>
          <w:tab w:leader="none" w:pos="11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4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48" w:lineRule="exact"/>
        <w:rPr>
          <w:rFonts w:ascii="Times New Roman" w:cs="Times New Roman" w:eastAsia="Times New Roman" w:hAnsi="Times New Roman"/>
          <w:sz w:val="18"/>
          <w:szCs w:val="18"/>
          <w:color w:val="auto"/>
        </w:rPr>
      </w:pPr>
    </w:p>
    <w:p>
      <w:pPr>
        <w:jc w:val="both"/>
        <w:ind w:left="-460" w:firstLine="644"/>
        <w:spacing w:after="0" w:line="250" w:lineRule="auto"/>
        <w:tabs>
          <w:tab w:leader="none" w:pos="9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7" w:lineRule="exact"/>
        <w:rPr>
          <w:rFonts w:ascii="Times New Roman" w:cs="Times New Roman" w:eastAsia="Times New Roman" w:hAnsi="Times New Roman"/>
          <w:sz w:val="18"/>
          <w:szCs w:val="18"/>
          <w:color w:val="auto"/>
        </w:rPr>
      </w:pPr>
    </w:p>
    <w:p>
      <w:pPr>
        <w:jc w:val="both"/>
        <w:ind w:left="-460" w:right="20" w:firstLine="644"/>
        <w:spacing w:after="0" w:line="250" w:lineRule="auto"/>
        <w:tabs>
          <w:tab w:leader="none" w:pos="13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7" w:lineRule="exact"/>
        <w:rPr>
          <w:rFonts w:ascii="Times New Roman" w:cs="Times New Roman" w:eastAsia="Times New Roman" w:hAnsi="Times New Roman"/>
          <w:sz w:val="18"/>
          <w:szCs w:val="18"/>
          <w:color w:val="auto"/>
        </w:rPr>
      </w:pPr>
    </w:p>
    <w:p>
      <w:pPr>
        <w:jc w:val="both"/>
        <w:ind w:left="-460" w:firstLine="644"/>
        <w:spacing w:after="0" w:line="250" w:lineRule="auto"/>
        <w:tabs>
          <w:tab w:leader="none" w:pos="11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48" w:lineRule="exact"/>
        <w:rPr>
          <w:rFonts w:ascii="Times New Roman" w:cs="Times New Roman" w:eastAsia="Times New Roman" w:hAnsi="Times New Roman"/>
          <w:sz w:val="18"/>
          <w:szCs w:val="18"/>
          <w:color w:val="auto"/>
        </w:rPr>
      </w:pPr>
    </w:p>
    <w:p>
      <w:pPr>
        <w:jc w:val="both"/>
        <w:ind w:left="-460" w:firstLine="644"/>
        <w:spacing w:after="0" w:line="250" w:lineRule="auto"/>
        <w:tabs>
          <w:tab w:leader="none" w:pos="12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3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335915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6" w:right="339" w:bottom="1440" w:gutter="0" w:footer="0" w:header="0"/>
        </w:sectPr>
      </w:pPr>
    </w:p>
    <w:bookmarkStart w:id="17" w:name="page18"/>
    <w:bookmarkEnd w:id="17"/>
    <w:p>
      <w:pPr>
        <w:ind w:firstLine="1296"/>
        <w:spacing w:after="0" w:line="266"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3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By:__________________________________________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CLEARONE, INC.</w:t>
      </w:r>
    </w:p>
    <w:p>
      <w:pPr>
        <w:spacing w:after="0" w:line="229" w:lineRule="exact"/>
        <w:rPr>
          <w:sz w:val="20"/>
          <w:szCs w:val="20"/>
          <w:color w:val="auto"/>
        </w:rPr>
      </w:pPr>
    </w:p>
    <w:p>
      <w:pPr>
        <w:ind w:right="20" w:firstLine="1304"/>
        <w:spacing w:after="0" w:line="282" w:lineRule="auto"/>
        <w:tabs>
          <w:tab w:leader="none" w:pos="1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600" w:hanging="30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100" w:right="1860"/>
        <w:spacing w:after="0" w:line="37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-7620</wp:posOffset>
            </wp:positionV>
            <wp:extent cx="2171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8"/>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19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64"/>
        </w:trPr>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3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(Please Print)</w:t>
            </w:r>
          </w:p>
        </w:tc>
      </w:tr>
      <w:tr>
        <w:trPr>
          <w:trHeight w:val="459"/>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3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r>
      <w:tr>
        <w:trPr>
          <w:trHeight w:val="459"/>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3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r>
      <w:tr>
        <w:trPr>
          <w:trHeight w:val="459"/>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9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1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Holder’s Signature:</w:t>
            </w:r>
          </w:p>
        </w:tc>
        <w:tc>
          <w:tcPr>
            <w:tcW w:w="228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8"/>
              </w:rPr>
              <w:t>Holder’s Address:</w:t>
            </w:r>
          </w:p>
        </w:tc>
        <w:tc>
          <w:tcPr>
            <w:tcW w:w="2380" w:type="dxa"/>
            <w:vAlign w:val="bottom"/>
            <w:tcBorders>
              <w:bottom w:val="single" w:sz="8" w:color="auto"/>
            </w:tcBorders>
            <w:gridSpan w:val="2"/>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420" w:top="765"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SEYFARTH SHAW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5225 Wiley Post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84116</w:t>
      </w:r>
    </w:p>
    <w:p>
      <w:pPr>
        <w:spacing w:after="0" w:line="20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We have acted as counsel to ClearOne, Inc., a Delaware corporation (the “Company”), in connection with the preparation and filing with the Securities and Exchange Commission (the “Commission”) of a Prospectus Supplement, dated September 13, 2020, to a Prospectus, dated September 1, 2020 (the “Prospectus and Prospectus Supplement”), filed pursuant to a Registration Statement on Form S-3, Registration No. 333-248412 (the “Registration Statement”) to be filed by the Company with the Commission under the Securities Act of 1933, as amended (the “Securities Act”). The Prospectus Supplement relates to the sale of an aggregate of 2,116,050 shares (the “Shares”) of the Company’s common stock, par value $0.001 per share (the “Common Stock”), pursuant to a Securities Purchase Agreement, dated September 13, 2020,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our capacity as counsel to the Company and for purposes of this opinion, we have examined originals, or copies certified or otherwise identified to our satisfaction, of the following documents (collectively, the “Documents”):</w:t>
      </w:r>
    </w:p>
    <w:p>
      <w:pPr>
        <w:spacing w:after="0" w:line="162"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as in effect on the date hereof (the “Charter”);</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as in effect on the date hereof (the “By-Laws”);</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all exhibits thereto;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status certificate of the Secretary of State of the State of Delaware, dated as of a recent date, to the effect that the Company is duly incorporated and validly existing under the laws of the State of Delaware and is duly authorized to transact business in the State of Delaware;</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20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status certificate of the Secretary of State of the State of Utah, dated as of a recent date, to the effect that the Company is a foreign corporation duly qualified and authorized to conduct business in the State of Utah;</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proceedings of the Company with respect to the authorization of the issuance of the Shares;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20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corporate records, documents and other instruments as we have deemed necessary or appropriate to express the opinions set forth in this letter, subject to the assumptions, limitations and qualifications stated herein.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As to questions of fact material to this opinion, we have relied on certificates or comparable documents of public officials and of officers and representatives of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reaching the opinions set forth below, we have assumed the following:</w:t>
      </w:r>
    </w:p>
    <w:p>
      <w:pPr>
        <w:spacing w:after="0" w:line="225" w:lineRule="exact"/>
        <w:rPr>
          <w:sz w:val="20"/>
          <w:szCs w:val="20"/>
          <w:color w:val="auto"/>
        </w:rPr>
      </w:pPr>
    </w:p>
    <w:p>
      <w:pPr>
        <w:ind w:left="1980" w:hanging="611"/>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executing any of the Documents on behalf of any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left="1980" w:hanging="611"/>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executing any of the Documents is legally competent to do so;</w:t>
      </w:r>
    </w:p>
    <w:p>
      <w:pPr>
        <w:spacing w:after="0" w:line="225" w:lineRule="exact"/>
        <w:rPr>
          <w:rFonts w:ascii="Times New Roman" w:cs="Times New Roman" w:eastAsia="Times New Roman" w:hAnsi="Times New Roman"/>
          <w:sz w:val="18"/>
          <w:szCs w:val="18"/>
          <w:color w:val="auto"/>
        </w:rPr>
      </w:pPr>
    </w:p>
    <w:p>
      <w:pPr>
        <w:jc w:val="both"/>
        <w:ind w:firstLine="1369"/>
        <w:spacing w:after="0" w:line="256" w:lineRule="auto"/>
        <w:tabs>
          <w:tab w:leader="none" w:pos="20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Documents submitted to us as originals are authentic; the form and content of any Documents submitted to us as unexecuted drafts do not differ in any respect relevant to this opinion from the form and content of such documents as executed and delivered; any of the Documents submitted to us as certified, facsimile or photostatic copies conform to the original documents; all signatures on all of the Documents are genuine; all public records reviewed or relied upon by us or on our behalf are true and complete; all statements and information contained in the Documents are true and complete; there has been no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left="1980" w:hanging="611"/>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submitted to us are true, correct and complete both when made and as of the date hereof;</w:t>
      </w:r>
    </w:p>
    <w:p>
      <w:pPr>
        <w:spacing w:after="0" w:line="225" w:lineRule="exact"/>
        <w:rPr>
          <w:sz w:val="20"/>
          <w:szCs w:val="20"/>
          <w:color w:val="auto"/>
        </w:rPr>
      </w:pPr>
    </w:p>
    <w:p>
      <w:pPr>
        <w:jc w:val="both"/>
        <w:ind w:firstLine="1361"/>
        <w:spacing w:after="0" w:line="266" w:lineRule="auto"/>
        <w:rPr>
          <w:sz w:val="20"/>
          <w:szCs w:val="20"/>
          <w:color w:val="auto"/>
        </w:rPr>
      </w:pPr>
      <w:r>
        <w:rPr>
          <w:rFonts w:ascii="Times New Roman" w:cs="Times New Roman" w:eastAsia="Times New Roman" w:hAnsi="Times New Roman"/>
          <w:sz w:val="18"/>
          <w:szCs w:val="18"/>
          <w:color w:val="auto"/>
        </w:rPr>
        <w:t>The scope of this opinion is limited to the laws of the State of Delaware, including without limitation applicable provisions of the Delaware Constitution and reported judicial decisions interpreting these laws. This opinion letter is issued as of the date hereof and is necessarily limited to laws now in effect and facts and circumstances presently existing and brought to our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assumptions, limitations and qualifications set forth herein, we are of the opinion that as of the date hereof, the Shares have been duly authorized, and when issued and sold pursuant to the Registration Statement and Prospectus Supplement against payment of the consideration set forth in the Purchase Agreement, will be validly issued, fully paid and non-assessable.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this consent, we do not admit that we are in the category of persons whose consent is required under Section 7 of the Securities Act, or the rules and regulations promulgated thereunder. In rendering the opinions set forth above, we are opining only as to the specific legal issues expressly set forth therein, and no opinion shall be inferred as to any other matter or matters.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registration of the Securities that are the subject of the Registration Statement and is not to be relied upon for any other purpose.</w:t>
      </w:r>
    </w:p>
    <w:p>
      <w:pPr>
        <w:spacing w:after="0" w:line="200" w:lineRule="exact"/>
        <w:rPr>
          <w:sz w:val="20"/>
          <w:szCs w:val="20"/>
          <w:color w:val="auto"/>
        </w:rPr>
      </w:pPr>
    </w:p>
    <w:p>
      <w:pPr>
        <w:spacing w:after="0" w:line="21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u w:val="single" w:color="auto"/>
          <w:color w:val="auto"/>
        </w:rPr>
        <w:t>/s/ SEYFARTH SHAW LLP</w:t>
      </w:r>
    </w:p>
    <w:p>
      <w:pPr>
        <w:sectPr>
          <w:pgSz w:w="11900" w:h="16838" w:orient="portrait"/>
          <w:cols w:equalWidth="0" w:num="1">
            <w:col w:w="11240"/>
          </w:cols>
          <w:pgMar w:left="320" w:top="55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September 13, 2020, between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to the Shares and (ii) an exemption from the registration requirements of Section 5 of the Securities Act contained in Section 4(a)(2) thereof and/or Regulation D thereunder as to the Warrants, the Company desires to issue and sell to each Purchaser, and each Purchaser, severally and not jointly, desires to purchase from the Company, securities of the Company as more fully described in this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ind w:left="660" w:right="20"/>
        <w:spacing w:after="0" w:line="196" w:lineRule="auto"/>
        <w:rPr>
          <w:sz w:val="20"/>
          <w:szCs w:val="20"/>
          <w:color w:val="auto"/>
        </w:rPr>
      </w:pPr>
      <w:r>
        <w:rPr>
          <w:rFonts w:ascii="Times New Roman" w:cs="Times New Roman" w:eastAsia="Times New Roman" w:hAnsi="Times New Roman"/>
          <w:sz w:val="18"/>
          <w:szCs w:val="18"/>
          <w:color w:val="auto"/>
        </w:rPr>
        <w:t>to deliver the Securities, in each case, have been satisfied or waived, but in no event later than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Seyfarth Shaw LLP, with offices located at 700 Milam Street, Suite 1400, Houston, Texas 77002.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386080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$2.4925,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333-248412 which registers the sale of the Shares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345440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Colonial Stock Transfer, the current transfer agent of the Company, with offices located at 66 Exchange Place, Ste 100, Salt Lake City, UT 84111,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4.12(b).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collectively, the Common Stock purchase warrants delivered to the Purchasers at the Closing in accordance with Section 2.2(a) hereof, which Warrants shall be exercisable immediately and have a term of exercise equal to five (5) years,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386080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27" w:name="page28"/>
    <w:bookmarkEnd w:id="27"/>
    <w:tbl>
      <w:tblPr>
        <w:tblLayout w:type="fixed"/>
        <w:tblInd w:w="66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99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ARTICLE II.</w:t>
            </w:r>
          </w:p>
        </w:tc>
      </w:tr>
      <w:tr>
        <w:trPr>
          <w:trHeight w:val="234"/>
        </w:trPr>
        <w:tc>
          <w:tcPr>
            <w:tcW w:w="680" w:type="dxa"/>
            <w:vAlign w:val="bottom"/>
          </w:tcPr>
          <w:p>
            <w:pPr>
              <w:spacing w:after="0"/>
              <w:rPr>
                <w:sz w:val="20"/>
                <w:szCs w:val="20"/>
                <w:color w:val="auto"/>
              </w:rPr>
            </w:pPr>
          </w:p>
        </w:tc>
        <w:tc>
          <w:tcPr>
            <w:tcW w:w="99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PURCHASE AND SALE</w:t>
            </w:r>
          </w:p>
        </w:tc>
      </w:tr>
      <w:tr>
        <w:trPr>
          <w:trHeight w:val="432"/>
        </w:trPr>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2.1</w:t>
            </w:r>
          </w:p>
        </w:tc>
        <w:tc>
          <w:tcPr>
            <w:tcW w:w="9900" w:type="dxa"/>
            <w:vAlign w:val="bottom"/>
          </w:tcPr>
          <w:p>
            <w:pPr>
              <w:ind w:left="460"/>
              <w:spacing w:after="0"/>
              <w:rPr>
                <w:sz w:val="20"/>
                <w:szCs w:val="20"/>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execution and delivery of this Agreement by the parties hereto, the Company agrees to sell, and the Purchasers, severally and not jointly, agree to purchase, up to an aggregate of $5,275,000 of Shares and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remotely by facsimile or other electronic transmission) as the parties shall mutually agree.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if such Purchaser sells to any Person all, or any portion, of any Common Stock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Subscription Amount for such Pre-Settlement Shares hereunder; provided, further, that the Company hereby acknowledges and agrees that the forgoing shall not constitute a representation or covenant by such Purchaser as to whether or not such Purchaser will elect to sell any Pre-Settlement Shares during the Pre-Settlement Period. The decision to sell any shares of Common Stock will be made in the sole discretion of such Purchaser from time to time, including during the Pre-Settlement Period.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89"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20" w:hanging="916"/>
        <w:spacing w:after="0"/>
        <w:tabs>
          <w:tab w:leader="none" w:pos="2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opinion of Company Counsel,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7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9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registered in the name of such Purchaser to purchase up to a number of shares of Common Stock equal to 50% of such Purchaser’s Shares, with an exercise price equal to $2.43 per share of Common Stock, subject to adjustment therein; and</w:t>
      </w:r>
    </w:p>
    <w:p>
      <w:pPr>
        <w:spacing w:after="0" w:line="161" w:lineRule="exact"/>
        <w:rPr>
          <w:rFonts w:ascii="Times New Roman" w:cs="Times New Roman" w:eastAsia="Times New Roman" w:hAnsi="Times New Roman"/>
          <w:sz w:val="18"/>
          <w:szCs w:val="18"/>
          <w:color w:val="auto"/>
        </w:rPr>
      </w:pPr>
    </w:p>
    <w:p>
      <w:pPr>
        <w:ind w:left="3100" w:hanging="1148"/>
        <w:spacing w:after="0"/>
        <w:tabs>
          <w:tab w:leader="none" w:pos="31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tabs>
          <w:tab w:leader="none" w:pos="8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80" w:hanging="836"/>
        <w:spacing w:after="0"/>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3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1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40" w:hanging="896"/>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3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22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100" w:hanging="808"/>
        <w:spacing w:after="0"/>
        <w:tabs>
          <w:tab w:leader="none" w:pos="2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140" w:hanging="848"/>
        <w:spacing w:after="0"/>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24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362585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9" w:name="page30"/>
    <w:bookmarkEnd w:id="29"/>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ARTICLE III.</w:t>
            </w:r>
          </w:p>
        </w:tc>
      </w:tr>
      <w:tr>
        <w:trPr>
          <w:trHeight w:val="234"/>
        </w:trPr>
        <w:tc>
          <w:tcPr>
            <w:tcW w:w="540" w:type="dxa"/>
            <w:vAlign w:val="bottom"/>
          </w:tcPr>
          <w:p>
            <w:pPr>
              <w:spacing w:after="0"/>
              <w:rPr>
                <w:sz w:val="20"/>
                <w:szCs w:val="20"/>
                <w:color w:val="auto"/>
              </w:rPr>
            </w:pPr>
          </w:p>
        </w:tc>
        <w:tc>
          <w:tcPr>
            <w:tcW w:w="100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3.1</w:t>
            </w:r>
          </w:p>
        </w:tc>
        <w:tc>
          <w:tcPr>
            <w:tcW w:w="10020" w:type="dxa"/>
            <w:vAlign w:val="bottom"/>
          </w:tcPr>
          <w:p>
            <w:pPr>
              <w:ind w:left="3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w:t>
            </w:r>
          </w:p>
        </w:tc>
      </w:tr>
    </w:tbl>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81" w:lineRule="exact"/>
        <w:rPr>
          <w:sz w:val="20"/>
          <w:szCs w:val="20"/>
          <w:color w:val="auto"/>
        </w:rPr>
      </w:pPr>
    </w:p>
    <w:p>
      <w:pPr>
        <w:jc w:val="both"/>
        <w:ind w:left="660" w:firstLine="644"/>
        <w:spacing w:after="0" w:line="261" w:lineRule="auto"/>
        <w:tabs>
          <w:tab w:leader="none" w:pos="2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material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4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2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ind w:left="-460" w:firstLine="644"/>
        <w:spacing w:after="0" w:line="253" w:lineRule="auto"/>
        <w:tabs>
          <w:tab w:leader="none" w:pos="13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1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September 1,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the Shares being sold pursuant to this offering and during the twelve (12) months prior to this offering, as set forth in General Instruction I.B.6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31" w:name="page32"/>
    <w:bookmarkEnd w:id="31"/>
    <w:p>
      <w:pPr>
        <w:jc w:val="both"/>
        <w:ind w:left="-460" w:firstLine="644"/>
        <w:spacing w:after="0" w:line="251"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3.1(g)</w:t>
      </w:r>
      <w:r>
        <w:rPr>
          <w:rFonts w:ascii="Times New Roman" w:cs="Times New Roman" w:eastAsia="Times New Roman" w:hAnsi="Times New Roman"/>
          <w:sz w:val="18"/>
          <w:szCs w:val="18"/>
          <w:color w:val="auto"/>
        </w:rPr>
        <w:t xml:space="preserve"> shall also include the number of shares of Common Stock that, to the knowledge of the Company based solely on a review of filings by Affiliates pursuant to Regulation 13D and Section 16 of the Exchange Act, are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375285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32" w:name="page33"/>
    <w:bookmarkEnd w:id="32"/>
    <w:p>
      <w:pPr>
        <w:jc w:val="both"/>
        <w:ind w:left="-460" w:firstLine="644"/>
        <w:spacing w:after="0" w:line="252"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since January 1, 2015.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1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individually or in the aggregate,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33" w:name="page34"/>
    <w:bookmarkEnd w:id="33"/>
    <w:p>
      <w:pPr>
        <w:jc w:val="both"/>
        <w:ind w:left="-460" w:firstLine="644"/>
        <w:spacing w:after="0" w:line="253" w:lineRule="auto"/>
        <w:tabs>
          <w:tab w:leader="none" w:pos="11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to the best of the Company’s knowledge, neither the Company nor any Subsidiary has received any notice of proceedings relating to the revocation or modification of any Material Permit.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1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1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disclosed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could not, individually or in the aggregate, reasonably be expected to have a Material Adverse Effect. To the best of the Company’s knowledge,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Except as disclosed in the SEC Reports, to the knowledge of the Company, all such Intellectual Property Rights are enforceable and the Company has not asserted any infringement by another Person of any of the Intellectual Property Rights. The Company and its Subsidiaries have taken reasonable security measures to protect the secrecy, confidentiality and value of all of their Intellectual Property Rights,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367665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34" w:name="page35"/>
    <w:bookmarkEnd w:id="34"/>
    <w:p>
      <w:pPr>
        <w:jc w:val="both"/>
        <w:ind w:left="-460" w:firstLine="644"/>
        <w:spacing w:after="0" w:line="258" w:lineRule="auto"/>
        <w:tabs>
          <w:tab w:leader="none" w:pos="12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1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4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356870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35" w:name="page36"/>
    <w:bookmarkEnd w:id="35"/>
    <w:p>
      <w:pPr>
        <w:ind w:firstLine="644"/>
        <w:spacing w:after="0" w:line="282" w:lineRule="auto"/>
        <w:tabs>
          <w:tab w:leader="none" w:pos="15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3.1(v)</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644"/>
        <w:spacing w:after="0" w:line="254" w:lineRule="auto"/>
        <w:tabs>
          <w:tab w:leader="none" w:pos="14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644"/>
        <w:spacing w:after="0" w:line="219" w:lineRule="exact"/>
        <w:tabs>
          <w:tab w:leader="none" w:pos="1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202" w:lineRule="exact"/>
        <w:rPr>
          <w:rFonts w:ascii="Times New Roman" w:cs="Times New Roman" w:eastAsia="Times New Roman" w:hAnsi="Times New Roman"/>
          <w:sz w:val="18"/>
          <w:szCs w:val="18"/>
          <w:color w:val="auto"/>
        </w:rPr>
      </w:pPr>
    </w:p>
    <w:p>
      <w:pPr>
        <w:jc w:val="both"/>
        <w:ind w:firstLine="644"/>
        <w:spacing w:after="0" w:line="253" w:lineRule="auto"/>
        <w:tabs>
          <w:tab w:leader="none" w:pos="16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7" w:lineRule="exact"/>
        <w:rPr>
          <w:rFonts w:ascii="Times New Roman" w:cs="Times New Roman" w:eastAsia="Times New Roman" w:hAnsi="Times New Roman"/>
          <w:sz w:val="18"/>
          <w:szCs w:val="18"/>
          <w:color w:val="auto"/>
        </w:rPr>
      </w:pPr>
    </w:p>
    <w:p>
      <w:pPr>
        <w:jc w:val="both"/>
        <w:ind w:firstLine="644"/>
        <w:spacing w:after="0" w:line="256" w:lineRule="auto"/>
        <w:tabs>
          <w:tab w:leader="none" w:pos="18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187" w:lineRule="exact"/>
        <w:rPr>
          <w:sz w:val="20"/>
          <w:szCs w:val="20"/>
          <w:color w:val="auto"/>
        </w:rPr>
      </w:pPr>
    </w:p>
    <w:p>
      <w:pPr>
        <w:jc w:val="both"/>
        <w:ind w:firstLine="644"/>
        <w:spacing w:after="0" w:line="261" w:lineRule="auto"/>
        <w:tabs>
          <w:tab w:leader="none" w:pos="15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w:t>
      </w:r>
    </w:p>
    <w:p>
      <w:pPr>
        <w:jc w:val="both"/>
        <w:spacing w:after="0" w:line="251" w:lineRule="auto"/>
        <w:rPr>
          <w:sz w:val="20"/>
          <w:szCs w:val="20"/>
          <w:color w:val="auto"/>
        </w:rPr>
      </w:pPr>
      <w:r>
        <w:rPr>
          <w:rFonts w:ascii="Times New Roman" w:cs="Times New Roman" w:eastAsia="Times New Roman" w:hAnsi="Times New Roman"/>
          <w:sz w:val="18"/>
          <w:szCs w:val="18"/>
          <w:color w:val="auto"/>
        </w:rPr>
        <w:t>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36" w:name="page37"/>
    <w:bookmarkEnd w:id="36"/>
    <w:p>
      <w:pPr>
        <w:jc w:val="both"/>
        <w:ind w:firstLine="738"/>
        <w:spacing w:after="0" w:line="254" w:lineRule="auto"/>
        <w:rPr>
          <w:sz w:val="20"/>
          <w:szCs w:val="20"/>
          <w:color w:val="auto"/>
        </w:rPr>
      </w:pP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w:t>
      </w:r>
    </w:p>
    <w:p>
      <w:pPr>
        <w:spacing w:after="0" w:line="192" w:lineRule="exact"/>
        <w:rPr>
          <w:sz w:val="20"/>
          <w:szCs w:val="20"/>
          <w:color w:val="auto"/>
        </w:rPr>
      </w:pPr>
    </w:p>
    <w:p>
      <w:pPr>
        <w:jc w:val="both"/>
        <w:ind w:firstLine="644"/>
        <w:spacing w:after="0" w:line="255" w:lineRule="auto"/>
        <w:tabs>
          <w:tab w:leader="none" w:pos="15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644"/>
        <w:spacing w:after="0" w:line="256" w:lineRule="auto"/>
        <w:tabs>
          <w:tab w:leader="none" w:pos="18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7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The Company’s accounting firm is set forth on </w:t>
      </w:r>
      <w:r>
        <w:rPr>
          <w:rFonts w:ascii="Times New Roman" w:cs="Times New Roman" w:eastAsia="Times New Roman" w:hAnsi="Times New Roman"/>
          <w:sz w:val="18"/>
          <w:szCs w:val="18"/>
          <w:u w:val="single" w:color="auto"/>
          <w:color w:val="auto"/>
        </w:rPr>
        <w:t>Schedule 3.1(dd)</w:t>
      </w:r>
      <w:r>
        <w:rPr>
          <w:rFonts w:ascii="Times New Roman" w:cs="Times New Roman" w:eastAsia="Times New Roman" w:hAnsi="Times New Roman"/>
          <w:sz w:val="18"/>
          <w:szCs w:val="18"/>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2020.</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16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15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368300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37" w:name="page38"/>
    <w:bookmarkEnd w:id="37"/>
    <w:p>
      <w:pPr>
        <w:jc w:val="both"/>
        <w:ind w:left="4" w:firstLine="644"/>
        <w:spacing w:after="0" w:line="257"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ind w:left="1444" w:hanging="796"/>
        <w:spacing w:after="0"/>
        <w:tabs>
          <w:tab w:leader="none" w:pos="14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6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7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644"/>
        <w:spacing w:after="0" w:line="282" w:lineRule="auto"/>
        <w:tabs>
          <w:tab w:leader="none" w:pos="14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77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3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Warrants or the Warrant Shares by the Company to the Purchasers as contemplated hereby.</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5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Warrant or Warrant Shares by any form of general solicitation or general advertising. The Company has offered the Warrants and Warrant Shares for sale only to the Purchasers and certain other “accredited investors” within the meaning of Rule 501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354965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38" w:name="page39"/>
    <w:bookmarkEnd w:id="38"/>
    <w:p>
      <w:pPr>
        <w:jc w:val="both"/>
        <w:ind w:left="660" w:firstLine="644"/>
        <w:spacing w:after="0" w:line="272" w:lineRule="auto"/>
        <w:tabs>
          <w:tab w:leader="none" w:pos="215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Disqualification Events</w:t>
      </w:r>
      <w:r>
        <w:rPr>
          <w:rFonts w:ascii="Times New Roman" w:cs="Times New Roman" w:eastAsia="Times New Roman" w:hAnsi="Times New Roman"/>
          <w:sz w:val="17"/>
          <w:szCs w:val="17"/>
          <w:color w:val="auto"/>
        </w:rPr>
        <w:t>. With respect to the Warrant and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7"/>
          <w:szCs w:val="17"/>
          <w:u w:val="single" w:color="auto"/>
          <w:color w:val="auto"/>
        </w:rPr>
        <w:t>Issuer Covered Person</w:t>
      </w:r>
      <w:r>
        <w:rPr>
          <w:rFonts w:ascii="Times New Roman" w:cs="Times New Roman" w:eastAsia="Times New Roman" w:hAnsi="Times New Roman"/>
          <w:sz w:val="17"/>
          <w:szCs w:val="17"/>
          <w:color w:val="auto"/>
        </w:rPr>
        <w:t>”) is subject to any of the “Bad Actor” disqualifications described in Rule 506(d)(1)(i) to (viii) under the Securities Act (a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71" w:lineRule="exact"/>
        <w:rPr>
          <w:rFonts w:ascii="Times New Roman" w:cs="Times New Roman" w:eastAsia="Times New Roman" w:hAnsi="Times New Roman"/>
          <w:sz w:val="17"/>
          <w:szCs w:val="17"/>
          <w:color w:val="auto"/>
        </w:rPr>
      </w:pPr>
    </w:p>
    <w:p>
      <w:pPr>
        <w:ind w:left="660" w:firstLine="644"/>
        <w:spacing w:after="0" w:line="312" w:lineRule="auto"/>
        <w:tabs>
          <w:tab w:leader="none" w:pos="212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Covered Persons</w:t>
      </w:r>
      <w:r>
        <w:rPr>
          <w:rFonts w:ascii="Times New Roman" w:cs="Times New Roman" w:eastAsia="Times New Roman" w:hAnsi="Times New Roman"/>
          <w:sz w:val="17"/>
          <w:szCs w:val="17"/>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39" w:lineRule="exact"/>
        <w:rPr>
          <w:rFonts w:ascii="Times New Roman" w:cs="Times New Roman" w:eastAsia="Times New Roman" w:hAnsi="Times New Roman"/>
          <w:sz w:val="17"/>
          <w:szCs w:val="17"/>
          <w:color w:val="auto"/>
        </w:rPr>
      </w:pPr>
    </w:p>
    <w:p>
      <w:pPr>
        <w:jc w:val="both"/>
        <w:ind w:left="660" w:firstLine="644"/>
        <w:spacing w:after="0" w:line="266" w:lineRule="auto"/>
        <w:tabs>
          <w:tab w:leader="none" w:pos="2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80" w:firstLine="924"/>
        <w:spacing w:after="0" w:line="253" w:lineRule="auto"/>
        <w:tabs>
          <w:tab w:leader="none" w:pos="23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23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and the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22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both"/>
        <w:ind w:left="380" w:firstLine="924"/>
        <w:spacing w:after="0" w:line="261" w:lineRule="auto"/>
        <w:tabs>
          <w:tab w:leader="none" w:pos="24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23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380" w:firstLine="924"/>
        <w:spacing w:after="0" w:line="253" w:lineRule="auto"/>
        <w:tabs>
          <w:tab w:leader="none" w:pos="26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22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Removal of Legends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60" w:firstLine="646"/>
        <w:spacing w:after="0" w:line="256" w:lineRule="auto"/>
        <w:tabs>
          <w:tab w:leader="none" w:pos="14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187" w:lineRule="exact"/>
        <w:rPr>
          <w:rFonts w:ascii="Times New Roman" w:cs="Times New Roman" w:eastAsia="Times New Roman" w:hAnsi="Times New Roman"/>
          <w:sz w:val="18"/>
          <w:szCs w:val="18"/>
          <w:color w:val="auto"/>
        </w:rPr>
      </w:pPr>
    </w:p>
    <w:p>
      <w:pPr>
        <w:ind w:left="160" w:firstLine="646"/>
        <w:spacing w:after="0" w:line="282" w:lineRule="auto"/>
        <w:tabs>
          <w:tab w:leader="none" w:pos="15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Warrants or Warrant Shares in the following form: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Warrants or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Warrants and Warrant Shares may reasonably request in connection with a pledge or transfer of the Warrants or Warrant Shares.</w:t>
      </w:r>
    </w:p>
    <w:p>
      <w:pPr>
        <w:spacing w:after="0" w:line="192" w:lineRule="exact"/>
        <w:rPr>
          <w:sz w:val="20"/>
          <w:szCs w:val="20"/>
          <w:color w:val="auto"/>
        </w:rPr>
      </w:pPr>
    </w:p>
    <w:p>
      <w:pPr>
        <w:jc w:val="both"/>
        <w:ind w:firstLine="644"/>
        <w:spacing w:after="0" w:line="252" w:lineRule="auto"/>
        <w:tabs>
          <w:tab w:leader="none" w:pos="17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Warrant Shares shall not contain any legend (including the legend set forth in Section 4.1(b) hereof): (i) while a registration statement covering the resale of such security is effective under the Securities Act,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Warrant Shares, as applicable, issued with a restrictive legend (such date, the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Warrant Shares issued with a restrictive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364490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41" w:name="page42"/>
    <w:bookmarkEnd w:id="41"/>
    <w:p>
      <w:pPr>
        <w:jc w:val="both"/>
        <w:ind w:left="660" w:firstLine="644"/>
        <w:spacing w:after="0" w:line="252" w:lineRule="auto"/>
        <w:tabs>
          <w:tab w:leader="none" w:pos="24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Warrant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Warrant Shares (as the case may be) and ending on the date of such delivery and payment under this Section 4.1(d).</w:t>
      </w:r>
    </w:p>
    <w:p>
      <w:pPr>
        <w:spacing w:after="0" w:line="19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issued free of legends.</w:t>
      </w:r>
    </w:p>
    <w:p>
      <w:pPr>
        <w:spacing w:after="0" w:line="225"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Furnishing of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6" w:lineRule="auto"/>
        <w:tabs>
          <w:tab w:leader="none" w:pos="15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earliest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4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Warrant Shares, an amount in cash equal to one percent (1.0%) of the aggregate Exercise Price of such Purchaser’s Warrants on the day of a Public Information</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Failure and on every thirtieth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Warrant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Failure Payments are incurred and (ii) the third (3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Warrants or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shall not use such proceeds: (a) for the satisfaction of any portion of the outstanding principal amount of any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Indemnification of Purchasers</w:t>
      </w:r>
      <w:r>
        <w:rPr>
          <w:rFonts w:ascii="Times New Roman" w:cs="Times New Roman" w:eastAsia="Times New Roman" w:hAnsi="Times New Roman"/>
          <w:sz w:val="17"/>
          <w:szCs w:val="17"/>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7"/>
          <w:szCs w:val="17"/>
          <w:u w:val="single" w:color="auto"/>
          <w:color w:val="auto"/>
        </w:rPr>
        <w:t>Purchaser Party</w:t>
      </w:r>
      <w:r>
        <w:rPr>
          <w:rFonts w:ascii="Times New Roman" w:cs="Times New Roman" w:eastAsia="Times New Roman" w:hAnsi="Times New Roman"/>
          <w:sz w:val="17"/>
          <w:szCs w:val="17"/>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w:t>
      </w:r>
    </w:p>
    <w:p>
      <w:pPr>
        <w:spacing w:after="0" w:line="205" w:lineRule="exact"/>
        <w:rPr>
          <w:sz w:val="20"/>
          <w:szCs w:val="20"/>
          <w:color w:val="auto"/>
        </w:rPr>
      </w:pPr>
    </w:p>
    <w:p>
      <w:pPr>
        <w:jc w:val="both"/>
        <w:ind w:firstLine="8"/>
        <w:spacing w:after="0" w:line="251" w:lineRule="auto"/>
        <w:tabs>
          <w:tab w:leader="none" w:pos="2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right="20" w:firstLine="644"/>
        <w:spacing w:after="0" w:line="282" w:lineRule="auto"/>
        <w:tabs>
          <w:tab w:leader="none" w:pos="22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following the Closing Date, neither the Company nor any Subsidiary shall issue, enter into any agreement to issue or announce the issuance or proposed issuance of any shares of Common Stock or Common Stock Equivalents.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2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one (1)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w:t>
      </w:r>
    </w:p>
    <w:p>
      <w:pPr>
        <w:spacing w:after="0" w:line="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8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ninety (90) days following the Closing Date, the issuance of shares of Common Stock in an “at the market” offering with H.C. Wainwright &amp; Co., LLC as sales agent shall not be deemed a Variable Rate Transaction. Any Purchaser shall be entitled to obtain injunctive relief against the Company to preclude any such issuance, which remedy shall be in addition to any right to collect damages.</w:t>
      </w:r>
    </w:p>
    <w:p>
      <w:pPr>
        <w:spacing w:after="0" w:line="192" w:lineRule="exact"/>
        <w:rPr>
          <w:rFonts w:ascii="Times New Roman" w:cs="Times New Roman" w:eastAsia="Times New Roman" w:hAnsi="Times New Roman"/>
          <w:sz w:val="18"/>
          <w:szCs w:val="18"/>
          <w:color w:val="auto"/>
        </w:rPr>
      </w:pPr>
    </w:p>
    <w:p>
      <w:pPr>
        <w:ind w:left="660" w:firstLine="644"/>
        <w:spacing w:after="0" w:line="282" w:lineRule="auto"/>
        <w:tabs>
          <w:tab w:leader="none" w:pos="23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4.12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Warrant and Warrant Shares as required under Regulation D and to provide a copy thereof, promptly upon request of any Purchaser. The Company shall take such action as the Company shall reasonably determine is necessary in order to obtain an exemption for, or to qualify the Warrant and Warrant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45 calendar days of the date of this Agreement), the Company shall file a registration statement on Form S-1 (or other appropriate form if the Company is not then S-1 eligible) providing for the resale by the Purchasers of the Warrant Shares issued and issuable upon exercise of the Warrants. The Company shall use commercially reasonable efforts to cause such registration to become effective within 90 days following the Closing Date and to keep such registration statement effective at all times until no Purchaser owns any Warrants or Warrant Shares issuable upon exercise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6"/>
              </w:rPr>
              <w:t>ARTICLE V.</w:t>
            </w:r>
          </w:p>
        </w:tc>
      </w:tr>
      <w:tr>
        <w:trPr>
          <w:trHeight w:val="234"/>
        </w:trPr>
        <w:tc>
          <w:tcPr>
            <w:tcW w:w="540" w:type="dxa"/>
            <w:vAlign w:val="bottom"/>
          </w:tcPr>
          <w:p>
            <w:pPr>
              <w:spacing w:after="0"/>
              <w:rPr>
                <w:sz w:val="20"/>
                <w:szCs w:val="20"/>
                <w:color w:val="auto"/>
              </w:rPr>
            </w:pPr>
          </w:p>
        </w:tc>
        <w:tc>
          <w:tcPr>
            <w:tcW w:w="100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MISCELLANEOUS</w:t>
            </w:r>
          </w:p>
        </w:tc>
      </w:tr>
      <w:tr>
        <w:trPr>
          <w:trHeight w:val="43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5.1</w:t>
            </w:r>
          </w:p>
        </w:tc>
        <w:tc>
          <w:tcPr>
            <w:tcW w:w="10040" w:type="dxa"/>
            <w:vAlign w:val="bottom"/>
          </w:tcPr>
          <w:p>
            <w:pPr>
              <w:ind w:left="320"/>
              <w:spacing w:after="0"/>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w:t>
            </w:r>
          </w:p>
        </w:tc>
      </w:tr>
    </w:tbl>
    <w:p>
      <w:pPr>
        <w:jc w:val="both"/>
        <w:spacing w:after="0" w:line="210" w:lineRule="auto"/>
        <w:rPr>
          <w:sz w:val="20"/>
          <w:szCs w:val="20"/>
          <w:color w:val="auto"/>
        </w:rPr>
      </w:pPr>
      <w:r>
        <w:rPr>
          <w:rFonts w:ascii="Times New Roman" w:cs="Times New Roman" w:eastAsia="Times New Roman" w:hAnsi="Times New Roman"/>
          <w:sz w:val="18"/>
          <w:szCs w:val="18"/>
          <w:color w:val="auto"/>
        </w:rPr>
        <w:t>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affect any of the provisions hereof.</w:t>
            </w:r>
          </w:p>
        </w:tc>
      </w:tr>
      <w:tr>
        <w:trPr>
          <w:trHeight w:val="391"/>
        </w:trPr>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CLEARONE,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1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By:/s/ Zeynep Hakimoglu</w:t>
            </w:r>
          </w:p>
        </w:tc>
        <w:tc>
          <w:tcPr>
            <w:tcW w:w="14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18"/>
        </w:trPr>
        <w:tc>
          <w:tcPr>
            <w:tcW w:w="6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Name: Zeynep Hakimoglu</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E-Mail: zee.hakimoglu@clearone.com</w:t>
            </w:r>
          </w:p>
        </w:tc>
      </w:tr>
      <w:tr>
        <w:trPr>
          <w:trHeight w:val="216"/>
        </w:trPr>
        <w:tc>
          <w:tcPr>
            <w:tcW w:w="6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Fax:</w:t>
            </w:r>
          </w:p>
        </w:tc>
      </w:t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Seyfarth Shaw LLP</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700 Milam Street, Suite 1400</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Houston, Texas 77002</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mdunn@seyfarth.com</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Michael T. Dunn</w:t>
            </w: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CLRO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ind w:right="80" w:firstLine="295"/>
        <w:spacing w:after="0" w:line="261"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ind w:right="40"/>
        <w:spacing w:after="0" w:line="223"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on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 Announces $5.3 Million Registered Direct Offering Priced At-the-Market under Nasdaq Rules</w:t>
      </w: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SALT LAKE CITY, UTAH </w:t>
      </w:r>
      <w:r>
        <w:rPr>
          <w:rFonts w:ascii="Times New Roman" w:cs="Times New Roman" w:eastAsia="Times New Roman" w:hAnsi="Times New Roman"/>
          <w:sz w:val="18"/>
          <w:szCs w:val="18"/>
          <w:color w:val="auto"/>
        </w:rPr>
        <w:t>— September 14, 2020 — ClearOne, Inc. (Nasdaq: CLRO) (“ClearOne” or the “Company”)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definitive agreements with institutional and accredited investors, with the participation of Edward D. Bagley, the Company’s largest stockholder, and Zeynep Hakimoglu, the Company’s Chief Executive Officer, for the purchase and sale of an aggregate of 2,116,050 shares of its common stock at a purchase price of $2.4925 per share in a registered direct offering priced at-the-market under Nasdaq rules. The Company also agreed to issue to the investors unregistered warrants to purchase up to an aggregate of 1,058,025 shares of common stock. The warrants have an exercise price of $2.43 per share, are exercisable immediately, and will expire five years following the date of issuance. The closing of the offering is expected to occur on or about September 16, 2020, subject to the satisfaction of customary closing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11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gross proceeds to the Company from the registered direct offering are expected to be approximately $5.275 million, before deducting the placement agent’s fees and other offering expenses payable by ClearOne. ClearOne currently intends to use the net proceeds from this offering for general corporate purposes and working capital.</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shares of common stock (but not the warrants issued in the private placement or the shares of common stock issuable upon exercise of the warrants) are being offered by ClearOne pursuant to a “shelf” registration statement on Form S-3 (File No. 333-248412) filed with the Securities and Exchange Commission (SEC) on August 25, 2020 and declared effective on September 1, 2020. The offering of the shares of common stock will be made only by means of a prospectus, including a prospectus supplement, forming a part of the effective registration statement. A final prospectus supplement and accompanying prospectus relating to the shares of common stock being offered will be filed with the SEC. Electronic copies of the final prospectus supplement and accompanying prospectus may be obtained, when available, on the SEC’s website at http://www.sec.gov or by contacting H.C. Wainwright &amp; Co., LLC, 430 Park Avenue, 3rd Floor, New York, NY 10022, or by telephone at (646) 975-6996, or email at placements@hcwco.com.</w:t>
      </w:r>
    </w:p>
    <w:p>
      <w:pPr>
        <w:spacing w:after="0" w:line="1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warrants described above were offered in a private placement under Section 4(a)(2) of the Securities Act of 1933, as amended, or the Act, and Regulation D promulgated thereunder, and the warrants and the shares of common stock issuable upon exercise of the warrants have not been registered under the Act or applicable state securities laws. Accordingly, the warrants and shares of common stock issuable upon exercise of the warrants may not be offered or sold in the United States except pursuant to an effective registration statement or an applicable exemption from the registration requirements of the Act and such applicable state securities laws.</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of the securities described herein, nor shall there be any sale of these securities in any state or other jurisdiction in which such an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www.clearone.com.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Printable press releases are available in our Investor Relations area at </w:t>
      </w:r>
      <w:r>
        <w:rPr>
          <w:rFonts w:ascii="Times New Roman" w:cs="Times New Roman" w:eastAsia="Times New Roman" w:hAnsi="Times New Roman"/>
          <w:sz w:val="18"/>
          <w:szCs w:val="18"/>
          <w:u w:val="single" w:color="auto"/>
          <w:color w:val="0563C1"/>
        </w:rPr>
        <w:t>http://investors.clearone.com</w:t>
      </w:r>
      <w:r>
        <w:rPr>
          <w:rFonts w:ascii="Times New Roman" w:cs="Times New Roman" w:eastAsia="Times New Roman" w:hAnsi="Times New Roman"/>
          <w:sz w:val="18"/>
          <w:szCs w:val="18"/>
          <w:color w:val="auto"/>
          <w:highlight w:val="white"/>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including, but not limited to, statements regarding the completion of the offering and the potential use of proceeds from the offering.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except as required by law.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Marketing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sectPr>
      <w:pgSz w:w="11900" w:h="16838" w:orient="portrait"/>
      <w:cols w:equalWidth="0" w:num="1">
        <w:col w:w="11240"/>
      </w:cols>
      <w:pgMar w:left="320" w:top="5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lowerLetter"/>
      <w:start w:val="2"/>
    </w:lvl>
  </w:abstractNum>
  <w:abstractNum w:abstractNumId="3">
    <w:nsid w:val="189A769B"/>
    <w:multiLevelType w:val="hybridMultilevel"/>
    <w:lvl w:ilvl="0">
      <w:lvlJc w:val="left"/>
      <w:lvlText w:val="(%1)"/>
      <w:numFmt w:val="upperLetter"/>
      <w:start w:val="1"/>
    </w:lvl>
  </w:abstractNum>
  <w:abstractNum w:abstractNumId="4">
    <w:nsid w:val="54E49EB4"/>
    <w:multiLevelType w:val="hybridMultilevel"/>
    <w:lvl w:ilvl="0">
      <w:lvlJc w:val="left"/>
      <w:lvlText w:val="(%1)"/>
      <w:numFmt w:val="upperLetter"/>
      <w:start w:val="24"/>
    </w:lvl>
  </w:abstractNum>
  <w:abstractNum w:abstractNumId="5">
    <w:nsid w:val="71F32454"/>
    <w:multiLevelType w:val="hybridMultilevel"/>
    <w:lvl w:ilvl="0">
      <w:lvlJc w:val="left"/>
      <w:lvlText w:val="(%1)"/>
      <w:numFmt w:val="lowerLetter"/>
      <w:start w:val="4"/>
    </w:lvl>
  </w:abstractNum>
  <w:abstractNum w:abstractNumId="6">
    <w:nsid w:val="2CA88611"/>
    <w:multiLevelType w:val="hybridMultilevel"/>
    <w:lvl w:ilvl="0">
      <w:lvlJc w:val="left"/>
      <w:lvlText w:val="%1)"/>
      <w:numFmt w:val="lowerLetter"/>
      <w:start w:val="4"/>
    </w:lvl>
  </w:abstractNum>
  <w:abstractNum w:abstractNumId="7">
    <w:nsid w:val="836C40E"/>
    <w:multiLevelType w:val="hybridMultilevel"/>
    <w:lvl w:ilvl="0">
      <w:lvlJc w:val="left"/>
      <w:lvlText w:val="%1"/>
      <w:numFmt w:val="lowerRoman"/>
      <w:start w:val="1"/>
    </w:lvl>
    <w:lvl w:ilvl="1">
      <w:lvlJc w:val="left"/>
      <w:lvlText w:val="%2."/>
      <w:numFmt w:val="lowerRoman"/>
      <w:start w:val="1"/>
    </w:lvl>
  </w:abstractNum>
  <w:abstractNum w:abstractNumId="8">
    <w:nsid w:val="2901D82"/>
    <w:multiLevelType w:val="hybridMultilevel"/>
    <w:lvl w:ilvl="0">
      <w:lvlJc w:val="left"/>
      <w:lvlText w:val="%1."/>
      <w:numFmt w:val="lowerRoman"/>
      <w:start w:val="2"/>
    </w:lvl>
    <w:lvl w:ilvl="1">
      <w:lvlJc w:val="left"/>
      <w:lvlText w:val="%2."/>
      <w:numFmt w:val="lowerRoman"/>
      <w:start w:val="3"/>
    </w:lvl>
  </w:abstractNum>
  <w:abstractNum w:abstractNumId="9">
    <w:nsid w:val="3A95F874"/>
    <w:multiLevelType w:val="hybridMultilevel"/>
    <w:lvl w:ilvl="0">
      <w:lvlJc w:val="left"/>
      <w:lvlText w:val="%1."/>
      <w:numFmt w:val="lowerRoman"/>
      <w:start w:val="7"/>
    </w:lvl>
  </w:abstractNum>
  <w:abstractNum w:abstractNumId="10">
    <w:nsid w:val="8138641"/>
    <w:multiLevelType w:val="hybridMultilevel"/>
    <w:lvl w:ilvl="0">
      <w:lvlJc w:val="left"/>
      <w:lvlText w:val="%1)"/>
      <w:numFmt w:val="lowerLetter"/>
      <w:start w:val="5"/>
    </w:lvl>
  </w:abstractNum>
  <w:abstractNum w:abstractNumId="11">
    <w:nsid w:val="1E7FF521"/>
    <w:multiLevelType w:val="hybridMultilevel"/>
    <w:lvl w:ilvl="0">
      <w:lvlJc w:val="left"/>
      <w:lvlText w:val="2"/>
      <w:numFmt w:val="bullet"/>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upperLetter"/>
      <w:start w:val="1"/>
    </w:lvl>
    <w:lvl w:ilvl="1">
      <w:lvlJc w:val="left"/>
      <w:lvlText w:val="(%2)"/>
      <w:numFmt w:val="lowerRoman"/>
      <w:start w:val="4"/>
    </w:lvl>
  </w:abstractNum>
  <w:abstractNum w:abstractNumId="14">
    <w:nsid w:val="6CEAF087"/>
    <w:multiLevelType w:val="hybridMultilevel"/>
    <w:lvl w:ilvl="0">
      <w:lvlJc w:val="left"/>
      <w:lvlText w:val="(%1)"/>
      <w:numFmt w:val="upperLetter"/>
      <w:start w:val="3"/>
    </w:lvl>
    <w:lvl w:ilvl="1">
      <w:lvlJc w:val="left"/>
      <w:lvlText w:val="%2"/>
      <w:numFmt w:val="lowerRoman"/>
      <w:start w:val="1"/>
    </w:lvl>
  </w:abstractNum>
  <w:abstractNum w:abstractNumId="15">
    <w:nsid w:val="22221A70"/>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5"/>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
    </w:lvl>
    <w:lvl w:ilvl="1">
      <w:lvlJc w:val="left"/>
      <w:lvlText w:val="["/>
      <w:numFmt w:val="bullet"/>
      <w:start w:val="1"/>
    </w:lvl>
  </w:abstractNum>
  <w:abstractNum w:abstractNumId="21">
    <w:nsid w:val="440BADFC"/>
    <w:multiLevelType w:val="hybridMultilevel"/>
    <w:lvl w:ilvl="0">
      <w:lvlJc w:val="left"/>
      <w:lvlText w:val="(%1)"/>
      <w:numFmt w:val="decimal"/>
      <w:start w:val="4"/>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lowerRoman"/>
      <w:start w:val="5"/>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lvl w:ilvl="1">
      <w:lvlJc w:val="left"/>
      <w:lvlText w:val="(%2)"/>
      <w:numFmt w:val="lowerRoman"/>
      <w:start w:val="1"/>
    </w:lvl>
  </w:abstractNum>
  <w:abstractNum w:abstractNumId="26">
    <w:nsid w:val="5C482A97"/>
    <w:multiLevelType w:val="hybridMultilevel"/>
    <w:lvl w:ilvl="0">
      <w:lvlJc w:val="left"/>
      <w:lvlText w:val="(%1)"/>
      <w:numFmt w:val="lowerLetter"/>
      <w:start w:val="1"/>
    </w:lvl>
    <w:lvl w:ilvl="1">
      <w:lvlJc w:val="left"/>
      <w:lvlText w:val="(%2)"/>
      <w:numFmt w:val="lowerRoman"/>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4"/>
    </w:lvl>
  </w:abstractNum>
  <w:abstractNum w:abstractNumId="29">
    <w:nsid w:val="51EAD36B"/>
    <w:multiLevelType w:val="hybridMultilevel"/>
    <w:lvl w:ilvl="0">
      <w:lvlJc w:val="left"/>
      <w:lvlText w:val="(%1)"/>
      <w:numFmt w:val="lowerLetter"/>
      <w:start w:val="7"/>
    </w:lvl>
  </w:abstractNum>
  <w:abstractNum w:abstractNumId="30">
    <w:nsid w:val="2D517796"/>
    <w:multiLevelType w:val="hybridMultilevel"/>
    <w:lvl w:ilvl="0">
      <w:lvlJc w:val="left"/>
      <w:lvlText w:val="(%1)"/>
      <w:numFmt w:val="lowerLetter"/>
      <w:start w:val="9"/>
    </w:lvl>
  </w:abstractNum>
  <w:abstractNum w:abstractNumId="31">
    <w:nsid w:val="580BD78F"/>
    <w:multiLevelType w:val="hybridMultilevel"/>
    <w:lvl w:ilvl="0">
      <w:lvlJc w:val="left"/>
      <w:lvlText w:val="(%1)"/>
      <w:numFmt w:val="lowerLetter"/>
      <w:start w:val="13"/>
    </w:lvl>
  </w:abstractNum>
  <w:abstractNum w:abstractNumId="32">
    <w:nsid w:val="153EA438"/>
    <w:multiLevelType w:val="hybridMultilevel"/>
    <w:lvl w:ilvl="0">
      <w:lvlJc w:val="left"/>
      <w:lvlText w:val="(%1)"/>
      <w:numFmt w:val="lowerLetter"/>
      <w:start w:val="17"/>
    </w:lvl>
  </w:abstractNum>
  <w:abstractNum w:abstractNumId="33">
    <w:nsid w:val="3855585C"/>
    <w:multiLevelType w:val="hybridMultilevel"/>
    <w:lvl w:ilvl="0">
      <w:lvlJc w:val="left"/>
      <w:lvlText w:val="(%1)"/>
      <w:numFmt w:val="lowerLetter"/>
      <w:start w:val="22"/>
    </w:lvl>
  </w:abstractNum>
  <w:abstractNum w:abstractNumId="34">
    <w:nsid w:val="70A64E2A"/>
    <w:multiLevelType w:val="hybridMultilevel"/>
    <w:lvl w:ilvl="0">
      <w:lvlJc w:val="left"/>
      <w:lvlText w:val="(%1)"/>
      <w:numFmt w:val="lowerLetter"/>
      <w:start w:val="27"/>
    </w:lvl>
  </w:abstractNum>
  <w:abstractNum w:abstractNumId="35">
    <w:nsid w:val="6A2342EC"/>
    <w:multiLevelType w:val="hybridMultilevel"/>
    <w:lvl w:ilvl="0">
      <w:lvlJc w:val="left"/>
      <w:lvlText w:val="(%1)"/>
      <w:numFmt w:val="lowerLetter"/>
      <w:start w:val="28"/>
    </w:lvl>
  </w:abstractNum>
  <w:abstractNum w:abstractNumId="36">
    <w:nsid w:val="2A487CB0"/>
    <w:multiLevelType w:val="hybridMultilevel"/>
    <w:lvl w:ilvl="0">
      <w:lvlJc w:val="left"/>
      <w:lvlText w:val="%1"/>
      <w:numFmt w:val="lowerLetter"/>
      <w:start w:val="1"/>
    </w:lvl>
    <w:lvl w:ilvl="1">
      <w:lvlJc w:val="left"/>
      <w:lvlText w:val="(%2)"/>
      <w:numFmt w:val="lowerLetter"/>
      <w:start w:val="33"/>
    </w:lvl>
  </w:abstractNum>
  <w:abstractNum w:abstractNumId="37">
    <w:nsid w:val="1D4ED43B"/>
    <w:multiLevelType w:val="hybridMultilevel"/>
    <w:lvl w:ilvl="0">
      <w:lvlJc w:val="left"/>
      <w:lvlText w:val="(%1)"/>
      <w:numFmt w:val="lowerLetter"/>
      <w:start w:val="61"/>
    </w:lvl>
    <w:lvl w:ilvl="1">
      <w:lvlJc w:val="left"/>
      <w:lvlText w:val="(%2)"/>
      <w:numFmt w:val="lowerLetter"/>
      <w:start w:val="34"/>
    </w:lvl>
  </w:abstractNum>
  <w:abstractNum w:abstractNumId="38">
    <w:nsid w:val="725A06FB"/>
    <w:multiLevelType w:val="hybridMultilevel"/>
    <w:lvl w:ilvl="0">
      <w:lvlJc w:val="left"/>
      <w:lvlText w:val="(%1)"/>
      <w:numFmt w:val="lowerLetter"/>
      <w:start w:val="42"/>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4"/>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3"/>
    </w:lvl>
  </w:abstractNum>
  <w:abstractNum w:abstractNumId="43">
    <w:nsid w:val="542289EC"/>
    <w:multiLevelType w:val="hybridMultilevel"/>
    <w:lvl w:ilvl="0">
      <w:lvlJc w:val="left"/>
      <w:lvlText w:val="(%1)"/>
      <w:numFmt w:val="lowerLetter"/>
      <w:start w:val="4"/>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Roman"/>
      <w:start w:val="2"/>
    </w:lvl>
  </w:abstractNum>
  <w:abstractNum w:abstractNumId="46">
    <w:nsid w:val="7644A45C"/>
    <w:multiLevelType w:val="hybridMultilevel"/>
    <w:lvl w:ilvl="0">
      <w:lvlJc w:val="left"/>
      <w:lvlText w:val="%1"/>
      <w:numFmt w:val="lowerLetter"/>
      <w:start w:val="1"/>
    </w:lvl>
    <w:lvl w:ilvl="1">
      <w:lvlJc w:val="left"/>
      <w:lvlText w:val="(%2)"/>
      <w:numFmt w:val="lowerLetter"/>
      <w:start w:val="1"/>
    </w:lvl>
  </w:abstractNum>
  <w:abstractNum w:abstractNumId="47">
    <w:nsid w:val="32FFF902"/>
    <w:multiLevelType w:val="hybridMultilevel"/>
    <w:lvl w:ilvl="0">
      <w:lvlJc w:val="left"/>
      <w:lvlText w:val="(%1)"/>
      <w:numFmt w:val="lowerLetter"/>
      <w:start w:val="9"/>
    </w:lvl>
    <w:lvl w:ilvl="1">
      <w:lvlJc w:val="left"/>
      <w:lvlText w:val="(%2)"/>
      <w:numFmt w:val="lowerLetter"/>
      <w:start w:val="3"/>
    </w:lvl>
  </w:abstractNum>
  <w:abstractNum w:abstractNumId="48">
    <w:nsid w:val="684A481A"/>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2020-09-14T07:04:30Z</dcterms:created>
  <dcterms:modified xsi:type="dcterms:W3CDTF">2020-09-14T07:04:30Z</dcterms:modified>
</cp:coreProperties>
</file>