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30,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5225 Wiley Post Way, Suite 500</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8"/>
        </w:trPr>
        <w:tc>
          <w:tcPr>
            <w:tcW w:w="42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2"/>
              </w:rPr>
              <w:t>Salt Lake City, Utah</w:t>
            </w:r>
          </w:p>
        </w:tc>
        <w:tc>
          <w:tcPr>
            <w:tcW w:w="26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April 30, 2009 ClearOne Communications, Inc. filed a Form 8-K which included an incorrect date of January 29, 2009. This Form 8-K/A is to correct that date.</w:t>
      </w:r>
    </w:p>
    <w:p>
      <w:pPr>
        <w:spacing w:after="0" w:line="190"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On April 30, 2009, ClearOne Communications, Inc. (the “Company”) issued a press release announcing its financial results for the quarter ended March 31, 2009. The full text of the Company’s press release is furnished herewith as 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820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Exhibits.</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 No.</w:t>
            </w:r>
          </w:p>
        </w:tc>
        <w:tc>
          <w:tcPr>
            <w:tcW w:w="3520" w:type="dxa"/>
            <w:vAlign w:val="bottom"/>
          </w:tcPr>
          <w:p>
            <w:pPr>
              <w:spacing w:after="0"/>
              <w:rPr>
                <w:sz w:val="24"/>
                <w:szCs w:val="24"/>
                <w:color w:val="auto"/>
              </w:rPr>
            </w:pPr>
          </w:p>
        </w:tc>
        <w:tc>
          <w:tcPr>
            <w:tcW w:w="468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90"/>
              </w:rPr>
              <w:t>Title of Document</w:t>
            </w:r>
          </w:p>
        </w:tc>
        <w:tc>
          <w:tcPr>
            <w:tcW w:w="11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Location</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2"/>
                <w:szCs w:val="22"/>
                <w:color w:val="auto"/>
              </w:rPr>
            </w:pPr>
          </w:p>
        </w:tc>
        <w:tc>
          <w:tcPr>
            <w:tcW w:w="82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Press Release dated April 30, 2009 captioned “ClearOne Reports Fiscal 2009 Third Quarter Results.”</w:t>
            </w:r>
          </w:p>
        </w:tc>
        <w:tc>
          <w:tcPr>
            <w:tcW w:w="114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This Filing</w:t>
            </w:r>
          </w:p>
        </w:tc>
      </w:tr>
    </w:tbl>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May 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20"/>
          </w:cols>
          <w:pgMar w:left="24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Contact: ClearOne Communications, Inc.</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(801) 303-3555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REPORTS FISCAL 2009 THIRD QUARTER RESULTS</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Salt Lake City, UT – April 30, 2009 – </w:t>
      </w:r>
      <w:r>
        <w:rPr>
          <w:rFonts w:ascii="Arial" w:cs="Arial" w:eastAsia="Arial" w:hAnsi="Arial"/>
          <w:sz w:val="18"/>
          <w:szCs w:val="18"/>
          <w:color w:val="auto"/>
        </w:rPr>
        <w:t>ClearOne Communications, Inc. (NASDAQ: CLRO) today reported financial results for the third quarter and first</w:t>
      </w:r>
      <w:r>
        <w:rPr>
          <w:rFonts w:ascii="Arial" w:cs="Arial" w:eastAsia="Arial" w:hAnsi="Arial"/>
          <w:sz w:val="18"/>
          <w:szCs w:val="18"/>
          <w:b w:val="1"/>
          <w:bCs w:val="1"/>
          <w:color w:val="auto"/>
        </w:rPr>
        <w:t xml:space="preserve"> </w:t>
      </w:r>
      <w:r>
        <w:rPr>
          <w:rFonts w:ascii="Arial" w:cs="Arial" w:eastAsia="Arial" w:hAnsi="Arial"/>
          <w:sz w:val="18"/>
          <w:szCs w:val="18"/>
          <w:color w:val="auto"/>
        </w:rPr>
        <w:t>nine months of fiscal 2009 ended March 31, 2009.</w:t>
      </w:r>
    </w:p>
    <w:p>
      <w:pPr>
        <w:spacing w:after="0" w:line="19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For the fiscal 2009 third quarter, revenue decreased to $7.6 million from $9.2 million in the same quarter of last year. Gross profit was $4.0 million, or 53% of revenue, compared with $5.7 million, or 62% of revenue, for the prior year period. Gross profit as a percentage of revenue in the fiscal 2009 third quarter was lower due to an inventory obsolescence charge of $686,000. Net income was $339,000, or $0.04 per diluted share, which includes the reversal of a $1.1 million contingent legal liability. Net income for the third quarter of last year was $1.1 million, or $0.10 per diluted share.</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third fiscal quarter of 2009 and in accordance with generally accepted accounting principles, the company reversed the approximate $1.1 million balance of a contingent liability associated with the indemnification agreements with two former officers indicted by the U.S. Attorney’s Office in July 2007. A federal criminal trial was held and the jury reached its verdict in February 2009. As a result of the jury’s conviction of the two former officers on some or all of the crimes with which they were charged – and based on the court’s instructions to the jury – it is no longer probable that the company will be required to pay the $1.1 million amount. However, both former officers (and counsel for one of them) are plaintiffs in pending lawsuits seeking payment of defense expenses in addition to what the company has already paid in connection with the criminal proceeding. Therefore, additional payments by the company are reasonably possible. The company is vigorously contesting these lawsuits.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Under a modified Dutch auction tender offer completed in September 2008, the company purchased approximately 1.3 million shares of its common</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stock. Accordingly, diluted weighted average shares outstanding used to calculate earnings per share decreased to 9.0 million for the fiscal 2009 third quarter from 10.7 million for the same period of fiscal 2008.</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topline financial results reflect the global decline in technology spending, as well as increased pricing pressure on certain products,” said Zee Hakimoglu, president, chief executive officer and chairman of ClearOne. “While we currently are seeing signs of improvement, we have and continue to take steps to reduce costs throughout the organization.”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t>Commenting on the company’s current inventory levels, Hakimoglu said the company built up its inventory levels to mitigate supply chain risk, particularly in light of the economic downturn and its current transition to a larger, more global and capable electronic manufacturing services provider for certain product, and supply its new Asia Pacific Support Center in Hong Kong. To a lesser extent, the higher inventory reflects lower demand for products. The company expects to work through the current inventory and return to historical levels.</w:t>
      </w:r>
    </w:p>
    <w:p>
      <w:pPr>
        <w:spacing w:after="0" w:line="21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Hakimoglu added that the company’s Asia Pacific Support Center, which has commenced fulfillment, will better serve the majority of ClearOne’s international partners and enhance profitability due to the favorable Hong Kong business environment.</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nine months of fiscal 2009, revenue was $27.8 million, compared with $29.4 million for the first nine months of last year. Gross profit was $16.4 million, or 59% of revenue, compared with $17.2 million, or 59% of revenue, for the prior year period. Net income increased to $2.1 million, or $0.22 per diluted share, compared with net income of $1.9 million, or $0.18 per diluted share, for the same period last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2009, the company had cash, cash equivalents, and investments of $11.7 million and no long-term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22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color w:val="auto"/>
              </w:rPr>
              <w:t>of $72 and $87,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39,373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8,928,387 and 10,228,902 shares issued and outstanding,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8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28,753</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8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39,373</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6220" w:type="dxa"/>
            <w:vAlign w:val="bottom"/>
            <w:tcBorders>
              <w:top w:val="single" w:sz="8" w:color="CCEEFF"/>
            </w:tcBorders>
          </w:tcPr>
          <w:p>
            <w:pPr>
              <w:ind w:left="4500"/>
              <w:spacing w:after="0"/>
              <w:rPr>
                <w:sz w:val="20"/>
                <w:szCs w:val="20"/>
                <w:color w:val="auto"/>
              </w:rPr>
            </w:pPr>
            <w:r>
              <w:rPr>
                <w:rFonts w:ascii="Arial" w:cs="Arial" w:eastAsia="Arial" w:hAnsi="Arial"/>
                <w:sz w:val="18"/>
                <w:szCs w:val="18"/>
                <w:color w:val="auto"/>
              </w:rPr>
              <w:t>3</w:t>
            </w: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gridSpan w:val="9"/>
          </w:tcPr>
          <w:p>
            <w:pPr>
              <w:jc w:val="center"/>
              <w:ind w:left="219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04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(unaudited)</w:t>
            </w:r>
          </w:p>
        </w:tc>
        <w:tc>
          <w:tcPr>
            <w:tcW w:w="2220" w:type="dxa"/>
            <w:vAlign w:val="bottom"/>
            <w:gridSpan w:val="6"/>
            <w:vMerge w:val="restart"/>
          </w:tcPr>
          <w:p>
            <w:pPr>
              <w:jc w:val="right"/>
              <w:ind w:right="48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6"/>
            <w:vMerge w:val="restart"/>
          </w:tcPr>
          <w:p>
            <w:pPr>
              <w:jc w:val="right"/>
              <w:ind w:right="46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&amp; Marketing</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w w:val="93"/>
              </w:rPr>
              <w:t>Research and product development</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8"/>
                <w:szCs w:val="18"/>
                <w:color w:val="auto"/>
              </w:rPr>
              <w:t>Total other income, net</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96"/>
              </w:rPr>
              <w:t>Income from continuing operations</w:t>
            </w:r>
          </w:p>
        </w:tc>
        <w:tc>
          <w:tcPr>
            <w:tcW w:w="26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3"/>
          </w:tcPr>
          <w:p>
            <w:pPr>
              <w:ind w:left="300"/>
              <w:spacing w:after="0"/>
              <w:rPr>
                <w:sz w:val="20"/>
                <w:szCs w:val="20"/>
                <w:color w:val="auto"/>
              </w:rPr>
            </w:pPr>
            <w:r>
              <w:rPr>
                <w:rFonts w:ascii="Arial" w:cs="Arial" w:eastAsia="Arial" w:hAnsi="Arial"/>
                <w:sz w:val="18"/>
                <w:szCs w:val="18"/>
                <w:color w:val="auto"/>
              </w:rPr>
              <w:t>Income from discontinued operations, net of tax of $0 and $9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sectPr>
      <w:pgSz w:w="11900" w:h="16838" w:orient="portrait"/>
      <w:cols w:equalWidth="0" w:num="1">
        <w:col w:w="10280"/>
      </w:cols>
      <w:pgMar w:left="820" w:top="75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2019-12-10T07:45:21Z</dcterms:created>
  <dcterms:modified xsi:type="dcterms:W3CDTF">2019-12-10T07:45:21Z</dcterms:modified>
</cp:coreProperties>
</file>