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112395</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FORM 8-K</w:t>
      </w:r>
    </w:p>
    <w:p>
      <w:pPr>
        <w:spacing w:after="0" w:line="24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 PURSUANT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TO SECTION 13 OR 15(D) OF</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THE SECURITIES EXCHANGE ACT OF 1934</w:t>
      </w:r>
    </w:p>
    <w:p>
      <w:pPr>
        <w:spacing w:after="0" w:line="23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u w:val="single" w:color="auto"/>
          <w:color w:val="auto"/>
        </w:rPr>
        <w:t>December 4, 2009</w:t>
      </w:r>
    </w:p>
    <w:p>
      <w:pPr>
        <w:spacing w:after="0" w:line="200" w:lineRule="exact"/>
        <w:rPr>
          <w:sz w:val="24"/>
          <w:szCs w:val="24"/>
          <w:color w:val="auto"/>
        </w:rPr>
      </w:pPr>
    </w:p>
    <w:p>
      <w:pPr>
        <w:spacing w:after="0" w:line="291" w:lineRule="exact"/>
        <w:rPr>
          <w:sz w:val="24"/>
          <w:szCs w:val="24"/>
          <w:color w:val="auto"/>
        </w:rPr>
      </w:pPr>
    </w:p>
    <w:p>
      <w:pPr>
        <w:jc w:val="center"/>
        <w:spacing w:after="0"/>
        <w:rPr>
          <w:sz w:val="20"/>
          <w:szCs w:val="20"/>
          <w:color w:val="auto"/>
        </w:rPr>
      </w:pPr>
      <w:r>
        <w:rPr>
          <w:rFonts w:ascii="Arial" w:cs="Arial" w:eastAsia="Arial" w:hAnsi="Arial"/>
          <w:sz w:val="25"/>
          <w:szCs w:val="25"/>
          <w:b w:val="1"/>
          <w:bCs w:val="1"/>
          <w:u w:val="single" w:color="auto"/>
          <w:color w:val="auto"/>
        </w:rPr>
        <w:t>ClearOne Communications, Inc.</w:t>
      </w:r>
    </w:p>
    <w:p>
      <w:pPr>
        <w:spacing w:after="0" w:line="3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32" w:lineRule="exact"/>
        <w:rPr>
          <w:sz w:val="24"/>
          <w:szCs w:val="24"/>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Utah</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(State or Other Jurisdiction of Incorporation)</w:t>
      </w:r>
    </w:p>
    <w:p>
      <w:pPr>
        <w:spacing w:after="0" w:line="234" w:lineRule="exact"/>
        <w:rPr>
          <w:sz w:val="24"/>
          <w:szCs w:val="24"/>
          <w:color w:val="auto"/>
        </w:rPr>
      </w:pPr>
    </w:p>
    <w:tbl>
      <w:tblPr>
        <w:tblLayout w:type="fixed"/>
        <w:tblInd w:w="2880" w:type="dxa"/>
        <w:tblCellMar>
          <w:top w:w="0" w:type="dxa"/>
          <w:left w:w="0" w:type="dxa"/>
          <w:bottom w:w="0" w:type="dxa"/>
          <w:right w:w="0" w:type="dxa"/>
        </w:tblCellMar>
      </w:tblPr>
      <w:tr>
        <w:trPr>
          <w:trHeight w:val="241"/>
        </w:trPr>
        <w:tc>
          <w:tcPr>
            <w:tcW w:w="2840" w:type="dxa"/>
            <w:vAlign w:val="bottom"/>
            <w:tcBorders>
              <w:bottom w:val="single" w:sz="8" w:color="auto"/>
            </w:tcBorders>
          </w:tcPr>
          <w:p>
            <w:pPr>
              <w:jc w:val="right"/>
              <w:ind w:right="950"/>
              <w:spacing w:after="0"/>
              <w:rPr>
                <w:sz w:val="20"/>
                <w:szCs w:val="20"/>
                <w:color w:val="auto"/>
              </w:rPr>
            </w:pPr>
            <w:r>
              <w:rPr>
                <w:rFonts w:ascii="Arial" w:cs="Arial" w:eastAsia="Arial" w:hAnsi="Arial"/>
                <w:sz w:val="18"/>
                <w:szCs w:val="18"/>
                <w:b w:val="1"/>
                <w:bCs w:val="1"/>
                <w:color w:val="auto"/>
              </w:rPr>
              <w:t>001-33660</w:t>
            </w:r>
          </w:p>
        </w:tc>
        <w:tc>
          <w:tcPr>
            <w:tcW w:w="140" w:type="dxa"/>
            <w:vAlign w:val="bottom"/>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2200" w:type="dxa"/>
            <w:vAlign w:val="bottom"/>
            <w:tcBorders>
              <w:bottom w:val="single" w:sz="8" w:color="auto"/>
            </w:tcBorders>
            <w:gridSpan w:val="3"/>
          </w:tcPr>
          <w:p>
            <w:pPr>
              <w:jc w:val="center"/>
              <w:ind w:right="450"/>
              <w:spacing w:after="0"/>
              <w:rPr>
                <w:sz w:val="20"/>
                <w:szCs w:val="20"/>
                <w:color w:val="auto"/>
              </w:rPr>
            </w:pPr>
            <w:r>
              <w:rPr>
                <w:rFonts w:ascii="Arial" w:cs="Arial" w:eastAsia="Arial" w:hAnsi="Arial"/>
                <w:sz w:val="18"/>
                <w:szCs w:val="18"/>
                <w:b w:val="1"/>
                <w:bCs w:val="1"/>
                <w:color w:val="auto"/>
                <w:w w:val="89"/>
              </w:rPr>
              <w:t>87-0398877</w:t>
            </w:r>
          </w:p>
        </w:tc>
      </w:tr>
      <w:tr>
        <w:trPr>
          <w:trHeight w:val="202"/>
        </w:trPr>
        <w:tc>
          <w:tcPr>
            <w:tcW w:w="2840" w:type="dxa"/>
            <w:vAlign w:val="bottom"/>
          </w:tcPr>
          <w:p>
            <w:pPr>
              <w:jc w:val="center"/>
              <w:spacing w:after="0" w:line="201" w:lineRule="exact"/>
              <w:rPr>
                <w:sz w:val="20"/>
                <w:szCs w:val="20"/>
                <w:color w:val="auto"/>
              </w:rPr>
            </w:pPr>
            <w:r>
              <w:rPr>
                <w:rFonts w:ascii="Arial" w:cs="Arial" w:eastAsia="Arial" w:hAnsi="Arial"/>
                <w:sz w:val="18"/>
                <w:szCs w:val="18"/>
                <w:color w:val="auto"/>
                <w:w w:val="92"/>
              </w:rPr>
              <w:t>(Commission File Number)</w:t>
            </w: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0" w:type="dxa"/>
            <w:vAlign w:val="bottom"/>
            <w:gridSpan w:val="3"/>
          </w:tcPr>
          <w:p>
            <w:pPr>
              <w:jc w:val="center"/>
              <w:ind w:right="470"/>
              <w:spacing w:after="0" w:line="201" w:lineRule="exact"/>
              <w:rPr>
                <w:sz w:val="20"/>
                <w:szCs w:val="20"/>
                <w:color w:val="auto"/>
              </w:rPr>
            </w:pPr>
            <w:r>
              <w:rPr>
                <w:rFonts w:ascii="Arial" w:cs="Arial" w:eastAsia="Arial" w:hAnsi="Arial"/>
                <w:sz w:val="18"/>
                <w:szCs w:val="18"/>
                <w:color w:val="auto"/>
                <w:w w:val="92"/>
              </w:rPr>
              <w:t>(I.R.S. employer</w:t>
            </w:r>
          </w:p>
        </w:tc>
      </w:tr>
      <w:tr>
        <w:trPr>
          <w:trHeight w:val="230"/>
        </w:trPr>
        <w:tc>
          <w:tcPr>
            <w:tcW w:w="28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200" w:type="dxa"/>
            <w:vAlign w:val="bottom"/>
            <w:gridSpan w:val="3"/>
          </w:tcPr>
          <w:p>
            <w:pPr>
              <w:jc w:val="center"/>
              <w:ind w:right="450"/>
              <w:spacing w:after="0"/>
              <w:rPr>
                <w:sz w:val="20"/>
                <w:szCs w:val="20"/>
                <w:color w:val="auto"/>
              </w:rPr>
            </w:pPr>
            <w:r>
              <w:rPr>
                <w:rFonts w:ascii="Arial" w:cs="Arial" w:eastAsia="Arial" w:hAnsi="Arial"/>
                <w:sz w:val="18"/>
                <w:szCs w:val="18"/>
                <w:color w:val="auto"/>
                <w:w w:val="94"/>
              </w:rPr>
              <w:t>identification number)</w:t>
            </w:r>
          </w:p>
        </w:tc>
      </w:tr>
      <w:tr>
        <w:trPr>
          <w:trHeight w:val="441"/>
        </w:trPr>
        <w:tc>
          <w:tcPr>
            <w:tcW w:w="3500" w:type="dxa"/>
            <w:vAlign w:val="bottom"/>
            <w:gridSpan w:val="3"/>
          </w:tcPr>
          <w:p>
            <w:pPr>
              <w:jc w:val="center"/>
              <w:ind w:left="490"/>
              <w:spacing w:after="0"/>
              <w:rPr>
                <w:sz w:val="20"/>
                <w:szCs w:val="20"/>
                <w:color w:val="auto"/>
              </w:rPr>
            </w:pPr>
            <w:r>
              <w:rPr>
                <w:rFonts w:ascii="Arial" w:cs="Arial" w:eastAsia="Arial" w:hAnsi="Arial"/>
                <w:sz w:val="18"/>
                <w:szCs w:val="18"/>
                <w:b w:val="1"/>
                <w:bCs w:val="1"/>
                <w:color w:val="auto"/>
                <w:w w:val="89"/>
              </w:rPr>
              <w:t>5225 Wiley Post Way, Suite 500</w:t>
            </w: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241"/>
        </w:trPr>
        <w:tc>
          <w:tcPr>
            <w:tcW w:w="3500" w:type="dxa"/>
            <w:vAlign w:val="bottom"/>
            <w:gridSpan w:val="3"/>
          </w:tcPr>
          <w:p>
            <w:pPr>
              <w:jc w:val="center"/>
              <w:ind w:left="490"/>
              <w:spacing w:after="0"/>
              <w:rPr>
                <w:sz w:val="20"/>
                <w:szCs w:val="20"/>
                <w:color w:val="auto"/>
              </w:rPr>
            </w:pPr>
            <w:r>
              <w:rPr>
                <w:rFonts w:ascii="Arial" w:cs="Arial" w:eastAsia="Arial" w:hAnsi="Arial"/>
                <w:sz w:val="18"/>
                <w:szCs w:val="18"/>
                <w:b w:val="1"/>
                <w:bCs w:val="1"/>
                <w:color w:val="auto"/>
                <w:w w:val="92"/>
              </w:rPr>
              <w:t>Salt Lake City, Utah</w:t>
            </w:r>
          </w:p>
        </w:tc>
        <w:tc>
          <w:tcPr>
            <w:tcW w:w="2200" w:type="dxa"/>
            <w:vAlign w:val="bottom"/>
            <w:gridSpan w:val="3"/>
          </w:tcPr>
          <w:p>
            <w:pPr>
              <w:jc w:val="right"/>
              <w:ind w:right="450"/>
              <w:spacing w:after="0"/>
              <w:rPr>
                <w:sz w:val="20"/>
                <w:szCs w:val="20"/>
                <w:color w:val="auto"/>
              </w:rPr>
            </w:pPr>
            <w:r>
              <w:rPr>
                <w:rFonts w:ascii="Arial" w:cs="Arial" w:eastAsia="Arial" w:hAnsi="Arial"/>
                <w:sz w:val="18"/>
                <w:szCs w:val="18"/>
                <w:b w:val="1"/>
                <w:bCs w:val="1"/>
                <w:color w:val="auto"/>
              </w:rPr>
              <w:t>84116</w:t>
            </w:r>
          </w:p>
        </w:tc>
      </w:tr>
      <w:tr>
        <w:trPr>
          <w:trHeight w:val="230"/>
        </w:trPr>
        <w:tc>
          <w:tcPr>
            <w:tcW w:w="3500" w:type="dxa"/>
            <w:vAlign w:val="bottom"/>
            <w:tcBorders>
              <w:top w:val="single" w:sz="8" w:color="auto"/>
            </w:tcBorders>
            <w:gridSpan w:val="3"/>
          </w:tcPr>
          <w:p>
            <w:pPr>
              <w:jc w:val="center"/>
              <w:ind w:left="510"/>
              <w:spacing w:after="0"/>
              <w:rPr>
                <w:sz w:val="20"/>
                <w:szCs w:val="20"/>
                <w:color w:val="auto"/>
              </w:rPr>
            </w:pPr>
            <w:r>
              <w:rPr>
                <w:rFonts w:ascii="Arial" w:cs="Arial" w:eastAsia="Arial" w:hAnsi="Arial"/>
                <w:sz w:val="18"/>
                <w:szCs w:val="18"/>
                <w:color w:val="auto"/>
                <w:w w:val="92"/>
              </w:rPr>
              <w:t>(Address of principal executive offices)</w:t>
            </w:r>
          </w:p>
        </w:tc>
        <w:tc>
          <w:tcPr>
            <w:tcW w:w="6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(Zip Code)</w:t>
            </w:r>
          </w:p>
        </w:tc>
      </w:tr>
    </w:tbl>
    <w:p>
      <w:pPr>
        <w:spacing w:after="0" w:line="200" w:lineRule="exact"/>
        <w:rPr>
          <w:sz w:val="24"/>
          <w:szCs w:val="24"/>
          <w:color w:val="auto"/>
        </w:rPr>
      </w:pPr>
    </w:p>
    <w:p>
      <w:pPr>
        <w:spacing w:after="0" w:line="254" w:lineRule="exact"/>
        <w:rPr>
          <w:sz w:val="24"/>
          <w:szCs w:val="24"/>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(801) 975-7200</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234" w:lineRule="exact"/>
        <w:rPr>
          <w:sz w:val="24"/>
          <w:szCs w:val="24"/>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Not applicable</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38" w:lineRule="exact"/>
        <w:rPr>
          <w:sz w:val="24"/>
          <w:szCs w:val="24"/>
          <w:color w:val="auto"/>
        </w:rPr>
      </w:pPr>
    </w:p>
    <w:p>
      <w:pPr>
        <w:ind w:right="1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97"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140" w:type="dxa"/>
            <w:vAlign w:val="bottom"/>
          </w:tcPr>
          <w:p>
            <w:pPr>
              <w:jc w:val="right"/>
              <w:spacing w:after="0"/>
              <w:rPr>
                <w:sz w:val="20"/>
                <w:szCs w:val="20"/>
                <w:color w:val="auto"/>
              </w:rPr>
            </w:pPr>
            <w:r>
              <w:rPr>
                <w:rFonts w:ascii="Arial" w:cs="Arial" w:eastAsia="Arial" w:hAnsi="Arial"/>
                <w:sz w:val="18"/>
                <w:szCs w:val="18"/>
                <w:color w:val="auto"/>
                <w:w w:val="78"/>
              </w:rPr>
              <w:t>[</w:t>
            </w:r>
          </w:p>
        </w:tc>
        <w:tc>
          <w:tcPr>
            <w:tcW w:w="11280" w:type="dxa"/>
            <w:vAlign w:val="bottom"/>
            <w:gridSpan w:val="2"/>
          </w:tcPr>
          <w:p>
            <w:pPr>
              <w:ind w:left="60"/>
              <w:spacing w:after="0"/>
              <w:rPr>
                <w:sz w:val="20"/>
                <w:szCs w:val="20"/>
                <w:color w:val="auto"/>
              </w:rPr>
            </w:pPr>
            <w:r>
              <w:rPr>
                <w:rFonts w:ascii="Arial" w:cs="Arial" w:eastAsia="Arial" w:hAnsi="Arial"/>
                <w:sz w:val="18"/>
                <w:szCs w:val="18"/>
                <w:color w:val="auto"/>
              </w:rPr>
              <w:t>] Written communications pursuant to Rule 425 under the Securities Act (17 CFR 30.425)</w:t>
            </w:r>
          </w:p>
        </w:tc>
      </w:tr>
      <w:tr>
        <w:trPr>
          <w:trHeight w:val="216"/>
        </w:trPr>
        <w:tc>
          <w:tcPr>
            <w:tcW w:w="140" w:type="dxa"/>
            <w:vAlign w:val="bottom"/>
          </w:tcPr>
          <w:p>
            <w:pPr>
              <w:jc w:val="right"/>
              <w:spacing w:after="0"/>
              <w:rPr>
                <w:sz w:val="20"/>
                <w:szCs w:val="20"/>
                <w:color w:val="auto"/>
              </w:rPr>
            </w:pPr>
            <w:r>
              <w:rPr>
                <w:rFonts w:ascii="Arial" w:cs="Arial" w:eastAsia="Arial" w:hAnsi="Arial"/>
                <w:sz w:val="18"/>
                <w:szCs w:val="18"/>
                <w:color w:val="auto"/>
                <w:w w:val="78"/>
              </w:rPr>
              <w:t>[</w:t>
            </w:r>
          </w:p>
        </w:tc>
        <w:tc>
          <w:tcPr>
            <w:tcW w:w="160" w:type="dxa"/>
            <w:vAlign w:val="bottom"/>
          </w:tcPr>
          <w:p>
            <w:pPr>
              <w:ind w:left="60"/>
              <w:spacing w:after="0"/>
              <w:rPr>
                <w:sz w:val="20"/>
                <w:szCs w:val="20"/>
                <w:color w:val="auto"/>
              </w:rPr>
            </w:pPr>
            <w:r>
              <w:rPr>
                <w:rFonts w:ascii="Arial" w:cs="Arial" w:eastAsia="Arial" w:hAnsi="Arial"/>
                <w:sz w:val="18"/>
                <w:szCs w:val="18"/>
                <w:color w:val="auto"/>
              </w:rPr>
              <w:t>]</w:t>
            </w:r>
          </w:p>
        </w:tc>
        <w:tc>
          <w:tcPr>
            <w:tcW w:w="11120" w:type="dxa"/>
            <w:vAlign w:val="bottom"/>
          </w:tcPr>
          <w:p>
            <w:pPr>
              <w:ind w:left="60"/>
              <w:spacing w:after="0"/>
              <w:rPr>
                <w:sz w:val="20"/>
                <w:szCs w:val="20"/>
                <w:color w:val="auto"/>
              </w:rPr>
            </w:pPr>
            <w:r>
              <w:rPr>
                <w:rFonts w:ascii="Arial" w:cs="Arial" w:eastAsia="Arial" w:hAnsi="Arial"/>
                <w:sz w:val="18"/>
                <w:szCs w:val="18"/>
                <w:color w:val="auto"/>
              </w:rPr>
              <w:t>Soliciting material pursuant to Rule 14a-12 under the Exchange Act (17 CFR 40.14a-12)</w:t>
            </w:r>
          </w:p>
        </w:tc>
      </w:tr>
      <w:tr>
        <w:trPr>
          <w:trHeight w:val="216"/>
        </w:trPr>
        <w:tc>
          <w:tcPr>
            <w:tcW w:w="140" w:type="dxa"/>
            <w:vAlign w:val="bottom"/>
          </w:tcPr>
          <w:p>
            <w:pPr>
              <w:jc w:val="right"/>
              <w:spacing w:after="0"/>
              <w:rPr>
                <w:sz w:val="20"/>
                <w:szCs w:val="20"/>
                <w:color w:val="auto"/>
              </w:rPr>
            </w:pPr>
            <w:r>
              <w:rPr>
                <w:rFonts w:ascii="Arial" w:cs="Arial" w:eastAsia="Arial" w:hAnsi="Arial"/>
                <w:sz w:val="18"/>
                <w:szCs w:val="18"/>
                <w:color w:val="auto"/>
                <w:w w:val="78"/>
              </w:rPr>
              <w:t>[</w:t>
            </w:r>
          </w:p>
        </w:tc>
        <w:tc>
          <w:tcPr>
            <w:tcW w:w="11280" w:type="dxa"/>
            <w:vAlign w:val="bottom"/>
            <w:gridSpan w:val="2"/>
          </w:tcPr>
          <w:p>
            <w:pPr>
              <w:ind w:left="60"/>
              <w:spacing w:after="0"/>
              <w:rPr>
                <w:sz w:val="20"/>
                <w:szCs w:val="20"/>
                <w:color w:val="auto"/>
              </w:rPr>
            </w:pPr>
            <w:r>
              <w:rPr>
                <w:rFonts w:ascii="Arial" w:cs="Arial" w:eastAsia="Arial" w:hAnsi="Arial"/>
                <w:sz w:val="18"/>
                <w:szCs w:val="18"/>
                <w:color w:val="auto"/>
              </w:rPr>
              <w:t>] Pre-commencement communications pursuant to Rule 14d-2(b) under the Exchange Act (17 CFR 240.14d-2(b))</w:t>
            </w:r>
          </w:p>
        </w:tc>
      </w:tr>
      <w:tr>
        <w:trPr>
          <w:trHeight w:val="230"/>
        </w:trPr>
        <w:tc>
          <w:tcPr>
            <w:tcW w:w="140" w:type="dxa"/>
            <w:vAlign w:val="bottom"/>
          </w:tcPr>
          <w:p>
            <w:pPr>
              <w:jc w:val="right"/>
              <w:spacing w:after="0"/>
              <w:rPr>
                <w:sz w:val="20"/>
                <w:szCs w:val="20"/>
                <w:color w:val="auto"/>
              </w:rPr>
            </w:pPr>
            <w:r>
              <w:rPr>
                <w:rFonts w:ascii="Arial" w:cs="Arial" w:eastAsia="Arial" w:hAnsi="Arial"/>
                <w:sz w:val="18"/>
                <w:szCs w:val="18"/>
                <w:color w:val="auto"/>
                <w:w w:val="78"/>
              </w:rPr>
              <w:t>[</w:t>
            </w:r>
          </w:p>
        </w:tc>
        <w:tc>
          <w:tcPr>
            <w:tcW w:w="160" w:type="dxa"/>
            <w:vAlign w:val="bottom"/>
          </w:tcPr>
          <w:p>
            <w:pPr>
              <w:ind w:left="60"/>
              <w:spacing w:after="0"/>
              <w:rPr>
                <w:sz w:val="20"/>
                <w:szCs w:val="20"/>
                <w:color w:val="auto"/>
              </w:rPr>
            </w:pPr>
            <w:r>
              <w:rPr>
                <w:rFonts w:ascii="Arial" w:cs="Arial" w:eastAsia="Arial" w:hAnsi="Arial"/>
                <w:sz w:val="18"/>
                <w:szCs w:val="18"/>
                <w:color w:val="auto"/>
              </w:rPr>
              <w:t>]</w:t>
            </w:r>
          </w:p>
        </w:tc>
        <w:tc>
          <w:tcPr>
            <w:tcW w:w="11120" w:type="dxa"/>
            <w:vAlign w:val="bottom"/>
          </w:tcPr>
          <w:p>
            <w:pPr>
              <w:ind w:left="60"/>
              <w:spacing w:after="0"/>
              <w:rPr>
                <w:sz w:val="20"/>
                <w:szCs w:val="20"/>
                <w:color w:val="auto"/>
              </w:rPr>
            </w:pPr>
            <w:r>
              <w:rPr>
                <w:rFonts w:ascii="Arial" w:cs="Arial" w:eastAsia="Arial" w:hAnsi="Arial"/>
                <w:sz w:val="18"/>
                <w:szCs w:val="18"/>
                <w:color w:val="auto"/>
              </w:rPr>
              <w:t>Pre-commencement communication pursuant to Rule 13e-4(c) under the Exchange Act (17 CFR 240.13e-4(c))</w:t>
            </w:r>
          </w:p>
        </w:tc>
      </w:tr>
      <w:tr>
        <w:trPr>
          <w:trHeight w:val="361"/>
        </w:trPr>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120" w:type="dxa"/>
            <w:vAlign w:val="bottom"/>
          </w:tcPr>
          <w:p>
            <w:pPr>
              <w:spacing w:after="0"/>
              <w:rPr>
                <w:sz w:val="24"/>
                <w:szCs w:val="24"/>
                <w:color w:val="auto"/>
              </w:rPr>
            </w:pPr>
          </w:p>
        </w:tc>
      </w:tr>
      <w:tr>
        <w:trPr>
          <w:trHeight w:val="71"/>
        </w:trPr>
        <w:tc>
          <w:tcPr>
            <w:tcW w:w="140" w:type="dxa"/>
            <w:vAlign w:val="bottom"/>
            <w:shd w:val="clear" w:color="auto" w:fill="808080"/>
          </w:tcPr>
          <w:p>
            <w:pPr>
              <w:spacing w:after="0"/>
              <w:rPr>
                <w:sz w:val="6"/>
                <w:szCs w:val="6"/>
                <w:color w:val="auto"/>
              </w:rPr>
            </w:pPr>
          </w:p>
        </w:tc>
        <w:tc>
          <w:tcPr>
            <w:tcW w:w="160" w:type="dxa"/>
            <w:vAlign w:val="bottom"/>
            <w:shd w:val="clear" w:color="auto" w:fill="808080"/>
          </w:tcPr>
          <w:p>
            <w:pPr>
              <w:spacing w:after="0"/>
              <w:rPr>
                <w:sz w:val="6"/>
                <w:szCs w:val="6"/>
                <w:color w:val="auto"/>
              </w:rPr>
            </w:pPr>
          </w:p>
        </w:tc>
        <w:tc>
          <w:tcPr>
            <w:tcW w:w="11120" w:type="dxa"/>
            <w:vAlign w:val="bottom"/>
            <w:shd w:val="clear" w:color="auto" w:fill="808080"/>
          </w:tcPr>
          <w:p>
            <w:pPr>
              <w:spacing w:after="0"/>
              <w:rPr>
                <w:sz w:val="6"/>
                <w:szCs w:val="6"/>
                <w:color w:val="auto"/>
              </w:rPr>
            </w:pPr>
          </w:p>
        </w:tc>
      </w:tr>
      <w:tr>
        <w:trPr>
          <w:trHeight w:val="753"/>
        </w:trPr>
        <w:tc>
          <w:tcPr>
            <w:tcW w:w="140" w:type="dxa"/>
            <w:vAlign w:val="bottom"/>
            <w:tcBorders>
              <w:bottom w:val="single" w:sz="8" w:color="808080"/>
            </w:tcBorders>
          </w:tcPr>
          <w:p>
            <w:pPr>
              <w:spacing w:after="0"/>
              <w:rPr>
                <w:sz w:val="24"/>
                <w:szCs w:val="24"/>
                <w:color w:val="auto"/>
              </w:rPr>
            </w:pPr>
          </w:p>
        </w:tc>
        <w:tc>
          <w:tcPr>
            <w:tcW w:w="160" w:type="dxa"/>
            <w:vAlign w:val="bottom"/>
            <w:tcBorders>
              <w:bottom w:val="single" w:sz="8" w:color="808080"/>
            </w:tcBorders>
          </w:tcPr>
          <w:p>
            <w:pPr>
              <w:spacing w:after="0"/>
              <w:rPr>
                <w:sz w:val="24"/>
                <w:szCs w:val="24"/>
                <w:color w:val="auto"/>
              </w:rPr>
            </w:pPr>
          </w:p>
        </w:tc>
        <w:tc>
          <w:tcPr>
            <w:tcW w:w="11120" w:type="dxa"/>
            <w:vAlign w:val="bottom"/>
            <w:tcBorders>
              <w:bottom w:val="single" w:sz="8" w:color="808080"/>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53" w:right="239" w:bottom="1440" w:gutter="0" w:footer="0" w:header="0"/>
        </w:sectPr>
      </w:pPr>
    </w:p>
    <w:bookmarkStart w:id="1" w:name="page2"/>
    <w:bookmarkEnd w:id="1"/>
    <w:p>
      <w:pPr>
        <w:spacing w:after="0"/>
        <w:tabs>
          <w:tab w:leader="none" w:pos="1280" w:val="left"/>
        </w:tabs>
        <w:rPr>
          <w:sz w:val="20"/>
          <w:szCs w:val="20"/>
          <w:color w:val="auto"/>
        </w:rPr>
      </w:pPr>
      <w:r>
        <w:rPr>
          <w:rFonts w:ascii="Arial" w:cs="Arial" w:eastAsia="Arial" w:hAnsi="Arial"/>
          <w:sz w:val="18"/>
          <w:szCs w:val="18"/>
          <w:b w:val="1"/>
          <w:bCs w:val="1"/>
          <w:color w:val="auto"/>
        </w:rPr>
        <w:t>Item 5.03</w:t>
      </w:r>
      <w:r>
        <w:rPr>
          <w:sz w:val="20"/>
          <w:szCs w:val="20"/>
          <w:color w:val="auto"/>
        </w:rPr>
        <w:tab/>
      </w:r>
      <w:r>
        <w:rPr>
          <w:rFonts w:ascii="Arial" w:cs="Arial" w:eastAsia="Arial" w:hAnsi="Arial"/>
          <w:sz w:val="16"/>
          <w:szCs w:val="16"/>
          <w:b w:val="1"/>
          <w:bCs w:val="1"/>
          <w:color w:val="auto"/>
        </w:rPr>
        <w:t>Amendments to Articles of Incorporation or Bylaws; Change in Fiscal Year.</w:t>
      </w:r>
    </w:p>
    <w:p>
      <w:pPr>
        <w:spacing w:after="0" w:line="256" w:lineRule="exact"/>
        <w:rPr>
          <w:sz w:val="20"/>
          <w:szCs w:val="20"/>
          <w:color w:val="auto"/>
        </w:rPr>
      </w:pPr>
    </w:p>
    <w:p>
      <w:pPr>
        <w:jc w:val="both"/>
        <w:ind w:left="340" w:hanging="298"/>
        <w:spacing w:after="0" w:line="255" w:lineRule="auto"/>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On November 30, 2009, the Board of Directors ("the Board") of ClearOne Communications, Inc. (the “Company”) adopted an amendment to Bylaws of the Company. The amendment is effective as of November 30, 2009 and amends section 4(a) of Article II. Section 4(a) of Article II currently specifies the content and mailing requirements of notices for shareholder meetings. Section 4(a) of Article II before amendment required notices to shareholder meetings be mailed no fewer than 10 nor more than 40 days before the date of the meeting. The amendment on November 30, 2009 allows notices to shareholder meetings be mailed no fewer than 10 nor more than 60 days before the date of the meeting. Section 4 (a) of Article II of the By-laws, as amended, reads as set forth below:</w:t>
      </w:r>
    </w:p>
    <w:p>
      <w:pPr>
        <w:spacing w:after="0" w:line="220" w:lineRule="exact"/>
        <w:rPr>
          <w:rFonts w:ascii="Arial" w:cs="Arial" w:eastAsia="Arial" w:hAnsi="Arial"/>
          <w:sz w:val="18"/>
          <w:szCs w:val="18"/>
          <w:color w:val="auto"/>
        </w:rPr>
      </w:pPr>
    </w:p>
    <w:p>
      <w:pPr>
        <w:ind w:left="340"/>
        <w:spacing w:after="0"/>
        <w:rPr>
          <w:rFonts w:ascii="Arial" w:cs="Arial" w:eastAsia="Arial" w:hAnsi="Arial"/>
          <w:sz w:val="18"/>
          <w:szCs w:val="18"/>
          <w:color w:val="auto"/>
        </w:rPr>
      </w:pPr>
      <w:r>
        <w:rPr>
          <w:rFonts w:ascii="Arial" w:cs="Arial" w:eastAsia="Arial" w:hAnsi="Arial"/>
          <w:sz w:val="18"/>
          <w:szCs w:val="18"/>
          <w:color w:val="auto"/>
        </w:rPr>
        <w:t>2.4 Notice of Meeting</w:t>
      </w:r>
    </w:p>
    <w:p>
      <w:pPr>
        <w:spacing w:after="0" w:line="23" w:lineRule="exact"/>
        <w:rPr>
          <w:rFonts w:ascii="Arial" w:cs="Arial" w:eastAsia="Arial" w:hAnsi="Arial"/>
          <w:sz w:val="18"/>
          <w:szCs w:val="18"/>
          <w:color w:val="auto"/>
        </w:rPr>
      </w:pPr>
    </w:p>
    <w:p>
      <w:pPr>
        <w:jc w:val="both"/>
        <w:ind w:left="340"/>
        <w:spacing w:after="0" w:line="253" w:lineRule="auto"/>
        <w:rPr>
          <w:rFonts w:ascii="Arial" w:cs="Arial" w:eastAsia="Arial" w:hAnsi="Arial"/>
          <w:sz w:val="18"/>
          <w:szCs w:val="18"/>
          <w:color w:val="auto"/>
        </w:rPr>
      </w:pPr>
      <w:r>
        <w:rPr>
          <w:rFonts w:ascii="Arial" w:cs="Arial" w:eastAsia="Arial" w:hAnsi="Arial"/>
          <w:sz w:val="18"/>
          <w:szCs w:val="18"/>
          <w:color w:val="auto"/>
        </w:rPr>
        <w:t xml:space="preserve">(a) Content and Mailings Requirements. Written notice stating the date, time and place of each annual or special shareholder meeting shall be delivered no fewer than 10 nor more than </w:t>
      </w:r>
      <w:r>
        <w:rPr>
          <w:rFonts w:ascii="Arial" w:cs="Arial" w:eastAsia="Arial" w:hAnsi="Arial"/>
          <w:sz w:val="18"/>
          <w:szCs w:val="18"/>
          <w:color w:val="auto"/>
          <w:strike w:val="1"/>
        </w:rPr>
        <w:t>40</w:t>
      </w:r>
      <w:r>
        <w:rPr>
          <w:rFonts w:ascii="Arial" w:cs="Arial" w:eastAsia="Arial" w:hAnsi="Arial"/>
          <w:sz w:val="18"/>
          <w:szCs w:val="18"/>
          <w:color w:val="auto"/>
        </w:rPr>
        <w:t xml:space="preserve"> 60 days before the date of the meeting, either personally or by mail, by or at the direction of the president, the board of directors, or other persons calling the meeting, to each shareholder of record entitled to vote at such meeting and to any other shareholder entitled by the Act or the articles of incorporation to receive notice of the meeting. Notice of special shareholder meetings shall include a description of the purpose or purposes for which the meeting is called.</w:t>
      </w:r>
    </w:p>
    <w:p>
      <w:pPr>
        <w:spacing w:after="0" w:line="218" w:lineRule="exact"/>
        <w:rPr>
          <w:rFonts w:ascii="Arial" w:cs="Arial" w:eastAsia="Arial" w:hAnsi="Arial"/>
          <w:sz w:val="18"/>
          <w:szCs w:val="18"/>
          <w:color w:val="auto"/>
        </w:rPr>
      </w:pPr>
    </w:p>
    <w:p>
      <w:pPr>
        <w:jc w:val="both"/>
        <w:ind w:left="340" w:hanging="308"/>
        <w:spacing w:after="0" w:line="259" w:lineRule="auto"/>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On November 30, 2009, the Board of the Company determined to change the Company’s fiscal year end from June 30 to December 31, beginning on January 1, 2010. The next fiscal year for the Company would begin on January 1, 2010 and end on December 31, 2010. Information on the six-month transition period beginning on July 1, 2009 and ending on December 31, 2009 will be included in the Company’s Annual Report on Form 10-K for the six months ended December 31, 2009.</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56"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3" w:lineRule="exact"/>
        <w:rPr>
          <w:sz w:val="20"/>
          <w:szCs w:val="20"/>
          <w:color w:val="auto"/>
        </w:rPr>
      </w:pPr>
    </w:p>
    <w:p>
      <w:pPr>
        <w:ind w:left="4320"/>
        <w:spacing w:after="0"/>
        <w:rPr>
          <w:sz w:val="20"/>
          <w:szCs w:val="20"/>
          <w:color w:val="auto"/>
        </w:rPr>
      </w:pPr>
      <w:r>
        <w:rPr>
          <w:rFonts w:ascii="Arial" w:cs="Arial" w:eastAsia="Arial" w:hAnsi="Arial"/>
          <w:sz w:val="18"/>
          <w:szCs w:val="18"/>
          <w:b w:val="1"/>
          <w:bCs w:val="1"/>
          <w:color w:val="auto"/>
        </w:rPr>
        <w:t>CLEARONE COMMUNICATIONS, INC.</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tabs>
          <w:tab w:leader="none" w:pos="4300" w:val="left"/>
          <w:tab w:leader="none" w:pos="5060" w:val="left"/>
        </w:tabs>
        <w:rPr>
          <w:sz w:val="20"/>
          <w:szCs w:val="20"/>
          <w:color w:val="auto"/>
        </w:rPr>
      </w:pPr>
      <w:r>
        <w:rPr>
          <w:rFonts w:ascii="Arial" w:cs="Arial" w:eastAsia="Arial" w:hAnsi="Arial"/>
          <w:sz w:val="18"/>
          <w:szCs w:val="18"/>
          <w:color w:val="auto"/>
        </w:rPr>
        <w:t>Date: December 4, 2009</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Zeynep Hakimoglu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3229610</wp:posOffset>
            </wp:positionH>
            <wp:positionV relativeFrom="paragraph">
              <wp:posOffset>14605</wp:posOffset>
            </wp:positionV>
            <wp:extent cx="402209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4022090" cy="17145"/>
                    </a:xfrm>
                    <a:prstGeom prst="rect">
                      <a:avLst/>
                    </a:prstGeom>
                    <a:noFill/>
                  </pic:spPr>
                </pic:pic>
              </a:graphicData>
            </a:graphic>
          </wp:anchor>
        </w:drawing>
      </w:r>
    </w:p>
    <w:p>
      <w:pPr>
        <w:spacing w:after="0" w:line="16"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Zeynep Hakimoglu</w:t>
      </w:r>
    </w:p>
    <w:p>
      <w:pPr>
        <w:spacing w:after="0" w:line="23"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Chairman, President and Chief Executive Officer</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sectPr>
      <w:pgSz w:w="11900" w:h="16838" w:orient="portrait"/>
      <w:cols w:equalWidth="0" w:num="1">
        <w:col w:w="11420"/>
      </w:cols>
      <w:pgMar w:left="240" w:top="513"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lowerLetter"/>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2019-12-10T08:28:34Z</dcterms:created>
  <dcterms:modified xsi:type="dcterms:W3CDTF">2019-12-10T08:28:34Z</dcterms:modified>
</cp:coreProperties>
</file>