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260350</wp:posOffset>
            </wp:positionV>
            <wp:extent cx="7255510"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37465"/>
                    </a:xfrm>
                    <a:prstGeom prst="rect">
                      <a:avLst/>
                    </a:prstGeom>
                    <a:noFill/>
                  </pic:spPr>
                </pic:pic>
              </a:graphicData>
            </a:graphic>
          </wp:anchor>
        </w:drawing>
        <w:t>UNITED STATES</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3"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color w:val="auto"/>
        </w:rPr>
        <w:t>WASHINGTON, D.C. 20549</w:t>
      </w:r>
    </w:p>
    <w:p>
      <w:pPr>
        <w:spacing w:after="0" w:line="260" w:lineRule="exact"/>
        <w:rPr>
          <w:sz w:val="24"/>
          <w:szCs w:val="24"/>
          <w:color w:val="auto"/>
        </w:rPr>
      </w:pPr>
    </w:p>
    <w:p>
      <w:pPr>
        <w:jc w:val="center"/>
        <w:ind w:right="-519"/>
        <w:spacing w:after="0"/>
        <w:rPr>
          <w:sz w:val="20"/>
          <w:szCs w:val="20"/>
          <w:color w:val="auto"/>
        </w:rPr>
      </w:pPr>
      <w:r>
        <w:rPr>
          <w:rFonts w:ascii="Arial" w:cs="Arial" w:eastAsia="Arial" w:hAnsi="Arial"/>
          <w:sz w:val="21"/>
          <w:szCs w:val="21"/>
          <w:b w:val="1"/>
          <w:bCs w:val="1"/>
          <w:color w:val="auto"/>
        </w:rPr>
        <w:t>FORM 8-K</w:t>
      </w:r>
    </w:p>
    <w:p>
      <w:pPr>
        <w:spacing w:after="0" w:line="276"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color w:val="auto"/>
        </w:rPr>
        <w:t>CURRENT REPORT PURSUANT</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color w:val="auto"/>
        </w:rPr>
        <w:t>TO SECTION 13 OR 15(D) OF</w:t>
      </w:r>
    </w:p>
    <w:p>
      <w:pPr>
        <w:spacing w:after="0" w:line="13"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color w:val="auto"/>
        </w:rPr>
        <w:t>THE SECURITIES EXCHANGE ACT OF 1934</w:t>
      </w:r>
    </w:p>
    <w:p>
      <w:pPr>
        <w:spacing w:after="0" w:line="256" w:lineRule="exact"/>
        <w:rPr>
          <w:sz w:val="24"/>
          <w:szCs w:val="24"/>
          <w:color w:val="auto"/>
        </w:rPr>
      </w:pPr>
    </w:p>
    <w:p>
      <w:pPr>
        <w:ind w:left="3560"/>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u w:val="single" w:color="auto"/>
          <w:color w:val="auto"/>
        </w:rPr>
        <w:t>July 11, 2006</w:t>
      </w:r>
    </w:p>
    <w:p>
      <w:pPr>
        <w:spacing w:after="0" w:line="274"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u w:val="single" w:color="auto"/>
          <w:color w:val="auto"/>
        </w:rPr>
        <w:t>ClearOne Communications, Inc.</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17"/>
          <w:szCs w:val="17"/>
          <w:color w:val="auto"/>
        </w:rPr>
        <w:t>(Exact Name of Registrant as Specified in Its Charter)</w:t>
      </w:r>
    </w:p>
    <w:p>
      <w:pPr>
        <w:spacing w:after="0" w:line="256"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u w:val="single" w:color="auto"/>
          <w:color w:val="auto"/>
        </w:rPr>
        <w:t>Utah</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17"/>
          <w:szCs w:val="17"/>
          <w:color w:val="auto"/>
        </w:rPr>
        <w:t>(State or Other Jurisdiction of Incorporation)</w:t>
      </w:r>
    </w:p>
    <w:p>
      <w:pPr>
        <w:spacing w:after="0" w:line="200" w:lineRule="exact"/>
        <w:rPr>
          <w:sz w:val="24"/>
          <w:szCs w:val="24"/>
          <w:color w:val="auto"/>
        </w:rPr>
      </w:pPr>
    </w:p>
    <w:p>
      <w:pPr>
        <w:spacing w:after="0" w:line="316" w:lineRule="exact"/>
        <w:rPr>
          <w:sz w:val="24"/>
          <w:szCs w:val="24"/>
          <w:color w:val="auto"/>
        </w:rPr>
      </w:pPr>
    </w:p>
    <w:tbl>
      <w:tblPr>
        <w:tblLayout w:type="fixed"/>
        <w:tblInd w:w="1720" w:type="dxa"/>
        <w:tblCellMar>
          <w:top w:w="0" w:type="dxa"/>
          <w:left w:w="0" w:type="dxa"/>
          <w:bottom w:w="0" w:type="dxa"/>
          <w:right w:w="0" w:type="dxa"/>
        </w:tblCellMar>
      </w:tblPr>
      <w:tr>
        <w:trPr>
          <w:trHeight w:val="233"/>
        </w:trPr>
        <w:tc>
          <w:tcPr>
            <w:tcW w:w="4520" w:type="dxa"/>
            <w:vAlign w:val="bottom"/>
          </w:tcPr>
          <w:p>
            <w:pPr>
              <w:jc w:val="right"/>
              <w:ind w:right="1793"/>
              <w:spacing w:after="0"/>
              <w:rPr>
                <w:sz w:val="20"/>
                <w:szCs w:val="20"/>
                <w:color w:val="auto"/>
              </w:rPr>
            </w:pPr>
            <w:r>
              <w:rPr>
                <w:rFonts w:ascii="Arial" w:cs="Arial" w:eastAsia="Arial" w:hAnsi="Arial"/>
                <w:sz w:val="17"/>
                <w:szCs w:val="17"/>
                <w:b w:val="1"/>
                <w:bCs w:val="1"/>
                <w:color w:val="auto"/>
              </w:rPr>
              <w:t>000-17219</w:t>
            </w:r>
          </w:p>
        </w:tc>
        <w:tc>
          <w:tcPr>
            <w:tcW w:w="3480" w:type="dxa"/>
            <w:vAlign w:val="bottom"/>
            <w:gridSpan w:val="4"/>
          </w:tcPr>
          <w:p>
            <w:pPr>
              <w:jc w:val="center"/>
              <w:ind w:left="233"/>
              <w:spacing w:after="0"/>
              <w:rPr>
                <w:sz w:val="20"/>
                <w:szCs w:val="20"/>
                <w:color w:val="auto"/>
              </w:rPr>
            </w:pPr>
            <w:r>
              <w:rPr>
                <w:rFonts w:ascii="Arial" w:cs="Arial" w:eastAsia="Arial" w:hAnsi="Arial"/>
                <w:sz w:val="17"/>
                <w:szCs w:val="17"/>
                <w:b w:val="1"/>
                <w:bCs w:val="1"/>
                <w:color w:val="auto"/>
                <w:w w:val="92"/>
              </w:rPr>
              <w:t>87-0398877</w:t>
            </w:r>
          </w:p>
        </w:tc>
      </w:tr>
      <w:tr>
        <w:trPr>
          <w:trHeight w:val="196"/>
        </w:trPr>
        <w:tc>
          <w:tcPr>
            <w:tcW w:w="45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(Commission file number)</w:t>
            </w:r>
          </w:p>
        </w:tc>
        <w:tc>
          <w:tcPr>
            <w:tcW w:w="3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gridSpan w:val="2"/>
          </w:tcPr>
          <w:p>
            <w:pPr>
              <w:jc w:val="center"/>
              <w:ind w:right="853"/>
              <w:spacing w:after="0"/>
              <w:rPr>
                <w:sz w:val="20"/>
                <w:szCs w:val="20"/>
                <w:color w:val="auto"/>
              </w:rPr>
            </w:pPr>
            <w:r>
              <w:rPr>
                <w:rFonts w:ascii="Arial" w:cs="Arial" w:eastAsia="Arial" w:hAnsi="Arial"/>
                <w:sz w:val="17"/>
                <w:szCs w:val="17"/>
                <w:color w:val="auto"/>
                <w:w w:val="94"/>
              </w:rPr>
              <w:t>(I.R.S. employer</w:t>
            </w:r>
          </w:p>
        </w:tc>
      </w:tr>
      <w:tr>
        <w:trPr>
          <w:trHeight w:val="221"/>
        </w:trPr>
        <w:tc>
          <w:tcPr>
            <w:tcW w:w="4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40" w:type="dxa"/>
            <w:vAlign w:val="bottom"/>
            <w:gridSpan w:val="3"/>
          </w:tcPr>
          <w:p>
            <w:pPr>
              <w:jc w:val="center"/>
              <w:spacing w:after="0"/>
              <w:rPr>
                <w:sz w:val="20"/>
                <w:szCs w:val="20"/>
                <w:color w:val="auto"/>
              </w:rPr>
            </w:pPr>
            <w:r>
              <w:rPr>
                <w:rFonts w:ascii="Arial" w:cs="Arial" w:eastAsia="Arial" w:hAnsi="Arial"/>
                <w:sz w:val="17"/>
                <w:szCs w:val="17"/>
                <w:color w:val="auto"/>
                <w:w w:val="95"/>
              </w:rPr>
              <w:t>identification number)</w:t>
            </w:r>
          </w:p>
        </w:tc>
      </w:tr>
      <w:tr>
        <w:trPr>
          <w:trHeight w:val="476"/>
        </w:trPr>
        <w:tc>
          <w:tcPr>
            <w:tcW w:w="4520" w:type="dxa"/>
            <w:vAlign w:val="bottom"/>
          </w:tcPr>
          <w:p>
            <w:pPr>
              <w:jc w:val="center"/>
              <w:ind w:left="1153"/>
              <w:spacing w:after="0"/>
              <w:rPr>
                <w:sz w:val="20"/>
                <w:szCs w:val="20"/>
                <w:color w:val="auto"/>
              </w:rPr>
            </w:pPr>
            <w:r>
              <w:rPr>
                <w:rFonts w:ascii="Arial" w:cs="Arial" w:eastAsia="Arial" w:hAnsi="Arial"/>
                <w:sz w:val="17"/>
                <w:szCs w:val="17"/>
                <w:b w:val="1"/>
                <w:bCs w:val="1"/>
                <w:color w:val="auto"/>
                <w:w w:val="92"/>
              </w:rPr>
              <w:t>1825 Research Way, Salt Lake City, Utah</w:t>
            </w:r>
          </w:p>
        </w:tc>
        <w:tc>
          <w:tcPr>
            <w:tcW w:w="3480" w:type="dxa"/>
            <w:vAlign w:val="bottom"/>
            <w:gridSpan w:val="4"/>
          </w:tcPr>
          <w:p>
            <w:pPr>
              <w:jc w:val="right"/>
              <w:ind w:right="653"/>
              <w:spacing w:after="0"/>
              <w:rPr>
                <w:sz w:val="20"/>
                <w:szCs w:val="20"/>
                <w:color w:val="auto"/>
              </w:rPr>
            </w:pPr>
            <w:r>
              <w:rPr>
                <w:rFonts w:ascii="Arial" w:cs="Arial" w:eastAsia="Arial" w:hAnsi="Arial"/>
                <w:sz w:val="17"/>
                <w:szCs w:val="17"/>
                <w:b w:val="1"/>
                <w:bCs w:val="1"/>
                <w:color w:val="auto"/>
              </w:rPr>
              <w:t>84119</w:t>
            </w:r>
          </w:p>
        </w:tc>
      </w:tr>
      <w:tr>
        <w:trPr>
          <w:trHeight w:val="220"/>
        </w:trPr>
        <w:tc>
          <w:tcPr>
            <w:tcW w:w="4520" w:type="dxa"/>
            <w:vAlign w:val="bottom"/>
            <w:tcBorders>
              <w:top w:val="single" w:sz="8" w:color="auto"/>
            </w:tcBorders>
          </w:tcPr>
          <w:p>
            <w:pPr>
              <w:jc w:val="center"/>
              <w:ind w:left="1153"/>
              <w:spacing w:after="0"/>
              <w:rPr>
                <w:sz w:val="20"/>
                <w:szCs w:val="20"/>
                <w:color w:val="auto"/>
              </w:rPr>
            </w:pPr>
            <w:r>
              <w:rPr>
                <w:rFonts w:ascii="Arial" w:cs="Arial" w:eastAsia="Arial" w:hAnsi="Arial"/>
                <w:sz w:val="17"/>
                <w:szCs w:val="17"/>
                <w:color w:val="auto"/>
                <w:w w:val="94"/>
              </w:rPr>
              <w:t>(Address of principal executive offices)</w:t>
            </w: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7"/>
              </w:rPr>
              <w:t>(Zip Code)</w:t>
            </w:r>
          </w:p>
        </w:tc>
      </w:tr>
    </w:tbl>
    <w:p>
      <w:pPr>
        <w:spacing w:after="0" w:line="256"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u w:val="single" w:color="auto"/>
          <w:color w:val="auto"/>
        </w:rPr>
        <w:t>(801) 975-7200</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17"/>
          <w:szCs w:val="17"/>
          <w:color w:val="auto"/>
        </w:rPr>
        <w:t>(Registrant’s Telephone Number, Including Area Code)</w:t>
      </w:r>
    </w:p>
    <w:p>
      <w:pPr>
        <w:spacing w:after="0" w:line="256"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u w:val="single" w:color="auto"/>
          <w:color w:val="auto"/>
        </w:rPr>
        <w:t>Not applicable</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62" w:lineRule="exact"/>
        <w:rPr>
          <w:sz w:val="24"/>
          <w:szCs w:val="24"/>
          <w:color w:val="auto"/>
        </w:rPr>
      </w:pPr>
    </w:p>
    <w:p>
      <w:pPr>
        <w:spacing w:after="0" w:line="287"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100" w:hanging="96"/>
        <w:spacing w:after="0"/>
        <w:tabs>
          <w:tab w:leader="none" w:pos="100"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25" w:lineRule="exact"/>
        <w:rPr>
          <w:rFonts w:ascii="Arial" w:cs="Arial" w:eastAsia="Arial" w:hAnsi="Arial"/>
          <w:sz w:val="17"/>
          <w:szCs w:val="17"/>
          <w:color w:val="auto"/>
        </w:rPr>
      </w:pPr>
    </w:p>
    <w:p>
      <w:pPr>
        <w:ind w:left="100" w:hanging="96"/>
        <w:spacing w:after="0"/>
        <w:tabs>
          <w:tab w:leader="none" w:pos="100" w:val="left"/>
        </w:tabs>
        <w:numPr>
          <w:ilvl w:val="0"/>
          <w:numId w:val="1"/>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13" w:lineRule="exact"/>
        <w:rPr>
          <w:rFonts w:ascii="Arial" w:cs="Arial" w:eastAsia="Arial" w:hAnsi="Arial"/>
          <w:sz w:val="17"/>
          <w:szCs w:val="17"/>
          <w:color w:val="auto"/>
        </w:rPr>
      </w:pPr>
    </w:p>
    <w:p>
      <w:pPr>
        <w:ind w:left="100" w:hanging="96"/>
        <w:spacing w:after="0"/>
        <w:tabs>
          <w:tab w:leader="none" w:pos="100"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3" w:lineRule="exact"/>
        <w:rPr>
          <w:rFonts w:ascii="Arial" w:cs="Arial" w:eastAsia="Arial" w:hAnsi="Arial"/>
          <w:sz w:val="17"/>
          <w:szCs w:val="17"/>
          <w:color w:val="auto"/>
        </w:rPr>
      </w:pPr>
    </w:p>
    <w:p>
      <w:pPr>
        <w:ind w:left="100" w:hanging="96"/>
        <w:spacing w:after="0"/>
        <w:tabs>
          <w:tab w:leader="none" w:pos="100"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255510" cy="43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5510" cy="438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709930</wp:posOffset>
            </wp:positionV>
            <wp:extent cx="72555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900"/>
          </w:cols>
          <w:pgMar w:left="240" w:top="773" w:right="75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8.01 Other Events.</w:t>
      </w:r>
    </w:p>
    <w:p>
      <w:pPr>
        <w:spacing w:after="0" w:line="280"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ClearOne Communications, Inc. (the “Company”) has been advised by the U.S. Securities and Exchange Commission that the investigation initiated by the Commission with regard to ClearOne’s failure to timely file its annual and quarterly reports has been terminated and no enforcement action has been recommended. On July 11, 2006, the Company issued a press release captioned “ClearOne Announces Termination of SEC Investigation.” A copy of the press release is included as Exhibit 99.1 to this report.</w:t>
      </w:r>
    </w:p>
    <w:p>
      <w:pPr>
        <w:spacing w:after="0" w:line="262"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 w:type="dxa"/>
            <w:vAlign w:val="bottom"/>
          </w:tcPr>
          <w:p>
            <w:pPr>
              <w:spacing w:after="0"/>
              <w:rPr>
                <w:sz w:val="20"/>
                <w:szCs w:val="20"/>
                <w:color w:val="auto"/>
              </w:rPr>
            </w:pPr>
            <w:r>
              <w:rPr>
                <w:rFonts w:ascii="Arial" w:cs="Arial" w:eastAsia="Arial" w:hAnsi="Arial"/>
                <w:sz w:val="17"/>
                <w:szCs w:val="17"/>
                <w:color w:val="auto"/>
              </w:rPr>
              <w:t>(d)</w:t>
            </w:r>
          </w:p>
        </w:tc>
        <w:tc>
          <w:tcPr>
            <w:tcW w:w="1080" w:type="dxa"/>
            <w:vAlign w:val="bottom"/>
            <w:gridSpan w:val="2"/>
          </w:tcPr>
          <w:p>
            <w:pPr>
              <w:ind w:left="140"/>
              <w:spacing w:after="0"/>
              <w:rPr>
                <w:sz w:val="20"/>
                <w:szCs w:val="20"/>
                <w:color w:val="auto"/>
              </w:rPr>
            </w:pPr>
            <w:r>
              <w:rPr>
                <w:rFonts w:ascii="Arial" w:cs="Arial" w:eastAsia="Arial" w:hAnsi="Arial"/>
                <w:sz w:val="17"/>
                <w:szCs w:val="17"/>
                <w:color w:val="auto"/>
              </w:rPr>
              <w:t>Exhibits.</w:t>
            </w:r>
          </w:p>
        </w:tc>
        <w:tc>
          <w:tcPr>
            <w:tcW w:w="3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43"/>
        </w:trPr>
        <w:tc>
          <w:tcPr>
            <w:tcW w:w="5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97"/>
              </w:rPr>
              <w:t>Exhibit No.</w:t>
            </w:r>
          </w:p>
        </w:tc>
        <w:tc>
          <w:tcPr>
            <w:tcW w:w="7960" w:type="dxa"/>
            <w:vAlign w:val="bottom"/>
            <w:gridSpan w:val="3"/>
          </w:tcPr>
          <w:p>
            <w:pPr>
              <w:ind w:left="3480"/>
              <w:spacing w:after="0"/>
              <w:rPr>
                <w:sz w:val="20"/>
                <w:szCs w:val="20"/>
                <w:color w:val="auto"/>
              </w:rPr>
            </w:pPr>
            <w:r>
              <w:rPr>
                <w:rFonts w:ascii="Arial" w:cs="Arial" w:eastAsia="Arial" w:hAnsi="Arial"/>
                <w:sz w:val="17"/>
                <w:szCs w:val="17"/>
                <w:color w:val="auto"/>
              </w:rPr>
              <w:t>Title of Document</w:t>
            </w:r>
          </w:p>
        </w:tc>
        <w:tc>
          <w:tcPr>
            <w:tcW w:w="580" w:type="dxa"/>
            <w:vAlign w:val="bottom"/>
          </w:tcPr>
          <w:p>
            <w:pPr>
              <w:spacing w:after="0"/>
              <w:rPr>
                <w:sz w:val="24"/>
                <w:szCs w:val="2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7"/>
                <w:szCs w:val="17"/>
                <w:color w:val="auto"/>
                <w:w w:val="96"/>
              </w:rPr>
              <w:t>Location</w:t>
            </w:r>
          </w:p>
        </w:tc>
      </w:tr>
      <w:tr>
        <w:trPr>
          <w:trHeight w:val="20"/>
        </w:trPr>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800" w:type="dxa"/>
            <w:vAlign w:val="bottom"/>
          </w:tcPr>
          <w:p>
            <w:pPr>
              <w:jc w:val="right"/>
              <w:ind w:right="173"/>
              <w:spacing w:after="0"/>
              <w:rPr>
                <w:sz w:val="20"/>
                <w:szCs w:val="20"/>
                <w:color w:val="auto"/>
              </w:rPr>
            </w:pPr>
            <w:r>
              <w:rPr>
                <w:rFonts w:ascii="Arial" w:cs="Arial" w:eastAsia="Arial" w:hAnsi="Arial"/>
                <w:sz w:val="17"/>
                <w:szCs w:val="17"/>
                <w:color w:val="auto"/>
              </w:rPr>
              <w:t>99.1</w:t>
            </w:r>
          </w:p>
        </w:tc>
        <w:tc>
          <w:tcPr>
            <w:tcW w:w="280" w:type="dxa"/>
            <w:vAlign w:val="bottom"/>
          </w:tcPr>
          <w:p>
            <w:pPr>
              <w:spacing w:after="0"/>
              <w:rPr>
                <w:sz w:val="19"/>
                <w:szCs w:val="19"/>
                <w:color w:val="auto"/>
              </w:rPr>
            </w:pPr>
          </w:p>
        </w:tc>
        <w:tc>
          <w:tcPr>
            <w:tcW w:w="7960" w:type="dxa"/>
            <w:vAlign w:val="bottom"/>
            <w:gridSpan w:val="3"/>
          </w:tcPr>
          <w:p>
            <w:pPr>
              <w:ind w:left="280"/>
              <w:spacing w:after="0"/>
              <w:rPr>
                <w:sz w:val="20"/>
                <w:szCs w:val="20"/>
                <w:color w:val="auto"/>
              </w:rPr>
            </w:pPr>
            <w:r>
              <w:rPr>
                <w:rFonts w:ascii="Arial" w:cs="Arial" w:eastAsia="Arial" w:hAnsi="Arial"/>
                <w:sz w:val="17"/>
                <w:szCs w:val="17"/>
                <w:color w:val="auto"/>
                <w:w w:val="98"/>
              </w:rPr>
              <w:t>Press Release dated July 11, 2006 captioned “ClearOne Announces Termination of SEC Investigation”</w:t>
            </w:r>
          </w:p>
        </w:tc>
        <w:tc>
          <w:tcPr>
            <w:tcW w:w="1280" w:type="dxa"/>
            <w:vAlign w:val="bottom"/>
            <w:gridSpan w:val="3"/>
          </w:tcPr>
          <w:p>
            <w:pPr>
              <w:jc w:val="center"/>
              <w:ind w:left="433"/>
              <w:spacing w:after="0"/>
              <w:rPr>
                <w:sz w:val="20"/>
                <w:szCs w:val="20"/>
                <w:color w:val="auto"/>
              </w:rPr>
            </w:pPr>
            <w:r>
              <w:rPr>
                <w:rFonts w:ascii="Arial" w:cs="Arial" w:eastAsia="Arial" w:hAnsi="Arial"/>
                <w:sz w:val="17"/>
                <w:szCs w:val="17"/>
                <w:color w:val="auto"/>
                <w:w w:val="98"/>
              </w:rPr>
              <w:t>This Filing</w:t>
            </w:r>
          </w:p>
        </w:tc>
      </w:tr>
    </w:tbl>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80" w:lineRule="exact"/>
        <w:rPr>
          <w:sz w:val="20"/>
          <w:szCs w:val="20"/>
          <w:color w:val="auto"/>
        </w:rPr>
      </w:pPr>
    </w:p>
    <w:p>
      <w:pPr>
        <w:ind w:right="600"/>
        <w:spacing w:after="0" w:line="28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40" w:type="dxa"/>
            <w:vAlign w:val="bottom"/>
          </w:tcPr>
          <w:p>
            <w:pPr>
              <w:spacing w:after="0"/>
              <w:rPr>
                <w:sz w:val="19"/>
                <w:szCs w:val="19"/>
                <w:color w:val="auto"/>
              </w:rPr>
            </w:pPr>
          </w:p>
        </w:tc>
        <w:tc>
          <w:tcPr>
            <w:tcW w:w="8580" w:type="dxa"/>
            <w:vAlign w:val="bottom"/>
            <w:gridSpan w:val="2"/>
          </w:tcPr>
          <w:p>
            <w:pPr>
              <w:ind w:left="1480"/>
              <w:spacing w:after="0"/>
              <w:rPr>
                <w:sz w:val="20"/>
                <w:szCs w:val="20"/>
                <w:color w:val="auto"/>
              </w:rPr>
            </w:pPr>
            <w:r>
              <w:rPr>
                <w:rFonts w:ascii="Arial" w:cs="Arial" w:eastAsia="Arial" w:hAnsi="Arial"/>
                <w:sz w:val="17"/>
                <w:szCs w:val="17"/>
                <w:color w:val="auto"/>
              </w:rPr>
              <w:t>CLEARONE COMMUNICATIONS, INC.</w:t>
            </w:r>
          </w:p>
        </w:tc>
      </w:tr>
      <w:tr>
        <w:trPr>
          <w:trHeight w:val="939"/>
        </w:trPr>
        <w:tc>
          <w:tcPr>
            <w:tcW w:w="2840" w:type="dxa"/>
            <w:vAlign w:val="bottom"/>
          </w:tcPr>
          <w:p>
            <w:pPr>
              <w:spacing w:after="0"/>
              <w:rPr>
                <w:sz w:val="20"/>
                <w:szCs w:val="20"/>
                <w:color w:val="auto"/>
              </w:rPr>
            </w:pPr>
            <w:r>
              <w:rPr>
                <w:rFonts w:ascii="Arial" w:cs="Arial" w:eastAsia="Arial" w:hAnsi="Arial"/>
                <w:sz w:val="17"/>
                <w:szCs w:val="17"/>
                <w:color w:val="auto"/>
              </w:rPr>
              <w:t>Date: July 11, 2006</w:t>
            </w:r>
          </w:p>
        </w:tc>
        <w:tc>
          <w:tcPr>
            <w:tcW w:w="2240" w:type="dxa"/>
            <w:vAlign w:val="bottom"/>
          </w:tcPr>
          <w:p>
            <w:pPr>
              <w:ind w:left="1480"/>
              <w:spacing w:after="0"/>
              <w:rPr>
                <w:sz w:val="20"/>
                <w:szCs w:val="20"/>
                <w:color w:val="auto"/>
              </w:rPr>
            </w:pPr>
            <w:r>
              <w:rPr>
                <w:rFonts w:ascii="Arial" w:cs="Arial" w:eastAsia="Arial" w:hAnsi="Arial"/>
                <w:sz w:val="17"/>
                <w:szCs w:val="17"/>
                <w:color w:val="auto"/>
              </w:rPr>
              <w:t>By:</w:t>
            </w:r>
          </w:p>
        </w:tc>
        <w:tc>
          <w:tcPr>
            <w:tcW w:w="63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Zeynep Hakimoglu</w:t>
            </w:r>
          </w:p>
        </w:tc>
      </w:tr>
      <w:tr>
        <w:trPr>
          <w:trHeight w:val="214"/>
        </w:trPr>
        <w:tc>
          <w:tcPr>
            <w:tcW w:w="2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Zeynep Hakimoglu</w:t>
            </w:r>
          </w:p>
        </w:tc>
      </w:tr>
      <w:tr>
        <w:trPr>
          <w:trHeight w:val="222"/>
        </w:trPr>
        <w:tc>
          <w:tcPr>
            <w:tcW w:w="28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420"/>
          </w:cols>
          <w:pgMar w:left="240" w:top="59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240" w:type="dxa"/>
            <w:vAlign w:val="bottom"/>
          </w:tcPr>
          <w:p>
            <w:pPr>
              <w:spacing w:after="0"/>
              <w:rPr>
                <w:sz w:val="22"/>
                <w:szCs w:val="22"/>
                <w:color w:val="auto"/>
              </w:rPr>
            </w:pPr>
          </w:p>
        </w:tc>
        <w:tc>
          <w:tcPr>
            <w:tcW w:w="2220" w:type="dxa"/>
            <w:vAlign w:val="bottom"/>
          </w:tcPr>
          <w:p>
            <w:pPr>
              <w:ind w:left="840"/>
              <w:spacing w:after="0"/>
              <w:rPr>
                <w:sz w:val="20"/>
                <w:szCs w:val="20"/>
                <w:color w:val="auto"/>
              </w:rPr>
            </w:pPr>
            <w:r>
              <w:rPr>
                <w:rFonts w:ascii="Arial" w:cs="Arial" w:eastAsia="Arial" w:hAnsi="Arial"/>
                <w:sz w:val="21"/>
                <w:szCs w:val="21"/>
                <w:color w:val="auto"/>
              </w:rPr>
              <w:t>Contacts:</w:t>
            </w:r>
          </w:p>
        </w:tc>
        <w:tc>
          <w:tcPr>
            <w:tcW w:w="1060" w:type="dxa"/>
            <w:vAlign w:val="bottom"/>
          </w:tcPr>
          <w:p>
            <w:pPr>
              <w:ind w:left="140"/>
              <w:spacing w:after="0"/>
              <w:rPr>
                <w:sz w:val="20"/>
                <w:szCs w:val="20"/>
                <w:color w:val="auto"/>
              </w:rPr>
            </w:pPr>
            <w:r>
              <w:rPr>
                <w:rFonts w:ascii="Arial" w:cs="Arial" w:eastAsia="Arial" w:hAnsi="Arial"/>
                <w:sz w:val="17"/>
                <w:szCs w:val="17"/>
                <w:color w:val="auto"/>
              </w:rPr>
              <w:t>ClearOne</w:t>
            </w:r>
          </w:p>
        </w:tc>
        <w:tc>
          <w:tcPr>
            <w:tcW w:w="0" w:type="dxa"/>
            <w:vAlign w:val="bottom"/>
          </w:tcPr>
          <w:p>
            <w:pPr>
              <w:spacing w:after="0"/>
              <w:rPr>
                <w:sz w:val="1"/>
                <w:szCs w:val="1"/>
                <w:color w:val="auto"/>
              </w:rPr>
            </w:pPr>
          </w:p>
        </w:tc>
      </w:tr>
      <w:tr>
        <w:trPr>
          <w:trHeight w:val="266"/>
        </w:trPr>
        <w:tc>
          <w:tcPr>
            <w:tcW w:w="8240" w:type="dxa"/>
            <w:vAlign w:val="bottom"/>
            <w:vMerge w:val="restart"/>
          </w:tcPr>
          <w:p>
            <w:pPr>
              <w:spacing w:after="0"/>
              <w:rPr>
                <w:sz w:val="20"/>
                <w:szCs w:val="20"/>
                <w:color w:val="auto"/>
              </w:rPr>
            </w:pPr>
            <w:r>
              <w:rPr>
                <w:rFonts w:ascii="Arial" w:cs="Arial" w:eastAsia="Arial" w:hAnsi="Arial"/>
                <w:sz w:val="21"/>
                <w:szCs w:val="21"/>
                <w:color w:val="auto"/>
              </w:rPr>
              <w:t>Relations</w:t>
            </w:r>
          </w:p>
        </w:tc>
        <w:tc>
          <w:tcPr>
            <w:tcW w:w="2220" w:type="dxa"/>
            <w:vAlign w:val="bottom"/>
          </w:tcPr>
          <w:p>
            <w:pPr>
              <w:spacing w:after="0"/>
              <w:rPr>
                <w:sz w:val="23"/>
                <w:szCs w:val="23"/>
                <w:color w:val="auto"/>
              </w:rPr>
            </w:pPr>
          </w:p>
        </w:tc>
        <w:tc>
          <w:tcPr>
            <w:tcW w:w="1060" w:type="dxa"/>
            <w:vAlign w:val="bottom"/>
          </w:tcPr>
          <w:p>
            <w:pPr>
              <w:ind w:left="400"/>
              <w:spacing w:after="0"/>
              <w:rPr>
                <w:sz w:val="20"/>
                <w:szCs w:val="20"/>
                <w:color w:val="auto"/>
              </w:rPr>
            </w:pPr>
            <w:r>
              <w:rPr>
                <w:rFonts w:ascii="Arial" w:cs="Arial" w:eastAsia="Arial" w:hAnsi="Arial"/>
                <w:sz w:val="21"/>
                <w:szCs w:val="21"/>
                <w:color w:val="auto"/>
                <w:w w:val="85"/>
              </w:rPr>
              <w:t>Investor</w:t>
            </w:r>
          </w:p>
        </w:tc>
        <w:tc>
          <w:tcPr>
            <w:tcW w:w="0" w:type="dxa"/>
            <w:vAlign w:val="bottom"/>
          </w:tcPr>
          <w:p>
            <w:pPr>
              <w:spacing w:after="0"/>
              <w:rPr>
                <w:sz w:val="1"/>
                <w:szCs w:val="1"/>
                <w:color w:val="auto"/>
              </w:rPr>
            </w:pPr>
          </w:p>
        </w:tc>
      </w:tr>
      <w:tr>
        <w:trPr>
          <w:trHeight w:val="261"/>
        </w:trPr>
        <w:tc>
          <w:tcPr>
            <w:tcW w:w="8240" w:type="dxa"/>
            <w:vAlign w:val="bottom"/>
            <w:vMerge w:val="continue"/>
          </w:tcPr>
          <w:p>
            <w:pPr>
              <w:spacing w:after="0"/>
              <w:rPr>
                <w:sz w:val="22"/>
                <w:szCs w:val="22"/>
                <w:color w:val="auto"/>
              </w:rPr>
            </w:pPr>
          </w:p>
        </w:tc>
        <w:tc>
          <w:tcPr>
            <w:tcW w:w="2220" w:type="dxa"/>
            <w:vAlign w:val="bottom"/>
          </w:tcPr>
          <w:p>
            <w:pPr>
              <w:spacing w:after="0"/>
              <w:rPr>
                <w:sz w:val="22"/>
                <w:szCs w:val="22"/>
                <w:color w:val="auto"/>
              </w:rPr>
            </w:pPr>
          </w:p>
        </w:tc>
        <w:tc>
          <w:tcPr>
            <w:tcW w:w="1060" w:type="dxa"/>
            <w:vAlign w:val="bottom"/>
            <w:vMerge w:val="restart"/>
          </w:tcPr>
          <w:p>
            <w:pPr>
              <w:ind w:left="400"/>
              <w:spacing w:after="0"/>
              <w:rPr>
                <w:sz w:val="20"/>
                <w:szCs w:val="20"/>
                <w:color w:val="auto"/>
              </w:rPr>
            </w:pPr>
            <w:r>
              <w:rPr>
                <w:rFonts w:ascii="Arial" w:cs="Arial" w:eastAsia="Arial" w:hAnsi="Arial"/>
                <w:sz w:val="21"/>
                <w:szCs w:val="21"/>
                <w:color w:val="auto"/>
              </w:rPr>
              <w:t>(801)</w:t>
            </w:r>
          </w:p>
        </w:tc>
        <w:tc>
          <w:tcPr>
            <w:tcW w:w="0" w:type="dxa"/>
            <w:vAlign w:val="bottom"/>
          </w:tcPr>
          <w:p>
            <w:pPr>
              <w:spacing w:after="0"/>
              <w:rPr>
                <w:sz w:val="1"/>
                <w:szCs w:val="1"/>
                <w:color w:val="auto"/>
              </w:rPr>
            </w:pPr>
          </w:p>
        </w:tc>
      </w:tr>
      <w:tr>
        <w:trPr>
          <w:trHeight w:val="261"/>
        </w:trPr>
        <w:tc>
          <w:tcPr>
            <w:tcW w:w="8240" w:type="dxa"/>
            <w:vAlign w:val="bottom"/>
            <w:vMerge w:val="restart"/>
          </w:tcPr>
          <w:p>
            <w:pPr>
              <w:spacing w:after="0"/>
              <w:rPr>
                <w:sz w:val="20"/>
                <w:szCs w:val="20"/>
                <w:color w:val="auto"/>
              </w:rPr>
            </w:pPr>
            <w:r>
              <w:rPr>
                <w:rFonts w:ascii="Arial" w:cs="Arial" w:eastAsia="Arial" w:hAnsi="Arial"/>
                <w:sz w:val="21"/>
                <w:szCs w:val="21"/>
                <w:color w:val="auto"/>
              </w:rPr>
              <w:t>303-3555</w:t>
            </w:r>
          </w:p>
        </w:tc>
        <w:tc>
          <w:tcPr>
            <w:tcW w:w="222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8240" w:type="dxa"/>
            <w:vAlign w:val="bottom"/>
            <w:vMerge w:val="continue"/>
          </w:tcPr>
          <w:p>
            <w:pPr>
              <w:spacing w:after="0"/>
              <w:rPr>
                <w:sz w:val="22"/>
                <w:szCs w:val="22"/>
                <w:color w:val="auto"/>
              </w:rPr>
            </w:pPr>
          </w:p>
        </w:tc>
        <w:tc>
          <w:tcPr>
            <w:tcW w:w="2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1"/>
        </w:trPr>
        <w:tc>
          <w:tcPr>
            <w:tcW w:w="8240" w:type="dxa"/>
            <w:vAlign w:val="bottom"/>
          </w:tcPr>
          <w:p>
            <w:pPr>
              <w:ind w:left="5640"/>
              <w:spacing w:after="0"/>
              <w:rPr>
                <w:sz w:val="20"/>
                <w:szCs w:val="20"/>
                <w:color w:val="auto"/>
              </w:rPr>
            </w:pPr>
            <w:r>
              <w:rPr>
                <w:rFonts w:ascii="Arial" w:cs="Arial" w:eastAsia="Arial" w:hAnsi="Arial"/>
                <w:sz w:val="17"/>
                <w:szCs w:val="17"/>
                <w:color w:val="auto"/>
              </w:rPr>
              <w:t>60;</w:t>
            </w:r>
          </w:p>
        </w:tc>
        <w:tc>
          <w:tcPr>
            <w:tcW w:w="2220" w:type="dxa"/>
            <w:vAlign w:val="bottom"/>
          </w:tcPr>
          <w:p>
            <w:pPr>
              <w:ind w:left="1240"/>
              <w:spacing w:after="0"/>
              <w:rPr>
                <w:sz w:val="20"/>
                <w:szCs w:val="20"/>
                <w:color w:val="auto"/>
              </w:rPr>
            </w:pPr>
            <w:r>
              <w:rPr>
                <w:rFonts w:ascii="Arial" w:cs="Arial" w:eastAsia="Arial" w:hAnsi="Arial"/>
                <w:sz w:val="17"/>
                <w:szCs w:val="17"/>
                <w:color w:val="auto"/>
              </w:rPr>
              <w:t>Robert Jaffe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240" w:type="dxa"/>
            <w:vAlign w:val="bottom"/>
          </w:tcPr>
          <w:p>
            <w:pPr>
              <w:ind w:left="5640"/>
              <w:spacing w:after="0"/>
              <w:rPr>
                <w:sz w:val="20"/>
                <w:szCs w:val="20"/>
                <w:color w:val="auto"/>
              </w:rPr>
            </w:pPr>
            <w:r>
              <w:rPr>
                <w:rFonts w:ascii="Arial" w:cs="Arial" w:eastAsia="Arial" w:hAnsi="Arial"/>
                <w:sz w:val="17"/>
                <w:szCs w:val="17"/>
                <w:color w:val="auto"/>
              </w:rPr>
              <w:t>60;</w:t>
            </w:r>
          </w:p>
        </w:tc>
        <w:tc>
          <w:tcPr>
            <w:tcW w:w="3280" w:type="dxa"/>
            <w:vAlign w:val="bottom"/>
            <w:gridSpan w:val="2"/>
          </w:tcPr>
          <w:p>
            <w:pPr>
              <w:ind w:left="1240"/>
              <w:spacing w:after="0"/>
              <w:rPr>
                <w:sz w:val="20"/>
                <w:szCs w:val="20"/>
                <w:color w:val="auto"/>
              </w:rPr>
            </w:pPr>
            <w:r>
              <w:rPr>
                <w:rFonts w:ascii="Arial" w:cs="Arial" w:eastAsia="Arial" w:hAnsi="Arial"/>
                <w:sz w:val="17"/>
                <w:szCs w:val="17"/>
                <w:color w:val="auto"/>
              </w:rPr>
              <w:t>PondelWilkinson Inc.</w:t>
            </w:r>
          </w:p>
        </w:tc>
        <w:tc>
          <w:tcPr>
            <w:tcW w:w="0" w:type="dxa"/>
            <w:vAlign w:val="bottom"/>
          </w:tcPr>
          <w:p>
            <w:pPr>
              <w:spacing w:after="0"/>
              <w:rPr>
                <w:sz w:val="1"/>
                <w:szCs w:val="1"/>
                <w:color w:val="auto"/>
              </w:rPr>
            </w:pPr>
          </w:p>
        </w:tc>
      </w:tr>
      <w:tr>
        <w:trPr>
          <w:trHeight w:val="209"/>
        </w:trPr>
        <w:tc>
          <w:tcPr>
            <w:tcW w:w="8240" w:type="dxa"/>
            <w:vAlign w:val="bottom"/>
          </w:tcPr>
          <w:p>
            <w:pPr>
              <w:ind w:left="7180"/>
              <w:spacing w:after="0"/>
              <w:rPr>
                <w:sz w:val="20"/>
                <w:szCs w:val="20"/>
                <w:color w:val="auto"/>
              </w:rPr>
            </w:pPr>
            <w:r>
              <w:rPr>
                <w:rFonts w:ascii="Arial" w:cs="Arial" w:eastAsia="Arial" w:hAnsi="Arial"/>
                <w:sz w:val="17"/>
                <w:szCs w:val="17"/>
                <w:color w:val="auto"/>
              </w:rPr>
              <w:t>60;</w:t>
            </w:r>
          </w:p>
        </w:tc>
        <w:tc>
          <w:tcPr>
            <w:tcW w:w="222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21"/>
        </w:trPr>
        <w:tc>
          <w:tcPr>
            <w:tcW w:w="8240" w:type="dxa"/>
            <w:vAlign w:val="bottom"/>
          </w:tcPr>
          <w:p>
            <w:pPr>
              <w:ind w:left="5640"/>
              <w:spacing w:after="0"/>
              <w:rPr>
                <w:sz w:val="20"/>
                <w:szCs w:val="20"/>
                <w:color w:val="auto"/>
              </w:rPr>
            </w:pPr>
            <w:r>
              <w:rPr>
                <w:rFonts w:ascii="Arial" w:cs="Arial" w:eastAsia="Arial" w:hAnsi="Arial"/>
                <w:sz w:val="17"/>
                <w:szCs w:val="17"/>
                <w:color w:val="auto"/>
              </w:rPr>
              <w:t>279-5969</w:t>
            </w:r>
          </w:p>
        </w:tc>
        <w:tc>
          <w:tcPr>
            <w:tcW w:w="2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CLEARONE ANNOUNCES TERMINATION OF SEC INVESTIGATION</w:t>
      </w:r>
    </w:p>
    <w:p>
      <w:pPr>
        <w:spacing w:after="0" w:line="274"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b w:val="1"/>
          <w:bCs w:val="1"/>
          <w:color w:val="auto"/>
        </w:rPr>
        <w:t xml:space="preserve">Salt Lake City, UT - July 11, 2006 - </w:t>
      </w:r>
      <w:r>
        <w:rPr>
          <w:rFonts w:ascii="Arial" w:cs="Arial" w:eastAsia="Arial" w:hAnsi="Arial"/>
          <w:sz w:val="17"/>
          <w:szCs w:val="17"/>
          <w:color w:val="auto"/>
        </w:rPr>
        <w:t>ClearOne Communications, Inc. (OTC: CLRO.PK) today announced that it has been advised by the U.S. Securities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Commission that the investigation initiated by the Commission with regard to ClearOne’s failure to timely file its annual and quarterly reports has been terminated, and that no enforcement action has been recommended.</w:t>
      </w:r>
    </w:p>
    <w:p>
      <w:pPr>
        <w:spacing w:after="0" w:line="220"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“We are pleased that this matter is now behind us and we can focus our full attention on growing our business,” said Zee Hakimoglu, president and chief executive officer of ClearOne.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ClearOne</w:t>
      </w:r>
    </w:p>
    <w:p>
      <w:pPr>
        <w:spacing w:after="0" w:line="280"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28"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i w:val="1"/>
          <w:iCs w:val="1"/>
          <w:color w:val="auto"/>
        </w:rPr>
        <w:t>This release contains “forward-looking” statements that are based on present circumstances and on ClearOne’s predictions with respect to events that have not occurred, that may occur, or that may occur with different consequences and timing than those now assumed or anticipated. Such forward-looking statements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3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 # #</w:t>
      </w:r>
    </w:p>
    <w:sectPr>
      <w:pgSz w:w="11900" w:h="16838" w:orient="portrait"/>
      <w:cols w:equalWidth="0" w:num="1">
        <w:col w:w="11520"/>
      </w:cols>
      <w:pgMar w:left="240" w:top="91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2019-12-13T18:10:50Z</dcterms:created>
  <dcterms:modified xsi:type="dcterms:W3CDTF">2019-12-13T18:10:50Z</dcterms:modified>
</cp:coreProperties>
</file>