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15, 2014</w:t>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ClearOne, Inc.</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ind w:left="1640"/>
              <w:spacing w:after="0"/>
              <w:rPr>
                <w:sz w:val="20"/>
                <w:szCs w:val="20"/>
                <w:color w:val="auto"/>
              </w:rPr>
            </w:pPr>
            <w:r>
              <w:rPr>
                <w:rFonts w:ascii="Arial" w:cs="Arial" w:eastAsia="Arial" w:hAnsi="Arial"/>
                <w:sz w:val="18"/>
                <w:szCs w:val="18"/>
                <w:b w:val="1"/>
                <w:bCs w:val="1"/>
                <w:color w:val="auto"/>
              </w:rPr>
              <w:t>Utah</w:t>
            </w:r>
          </w:p>
        </w:tc>
        <w:tc>
          <w:tcPr>
            <w:tcW w:w="3400" w:type="dxa"/>
            <w:vAlign w:val="bottom"/>
            <w:gridSpan w:val="4"/>
          </w:tcPr>
          <w:p>
            <w:pPr>
              <w:jc w:val="right"/>
              <w:spacing w:after="0"/>
              <w:rPr>
                <w:sz w:val="20"/>
                <w:szCs w:val="20"/>
                <w:color w:val="auto"/>
              </w:rPr>
            </w:pPr>
            <w:r>
              <w:rPr>
                <w:rFonts w:ascii="Arial" w:cs="Arial" w:eastAsia="Arial" w:hAnsi="Arial"/>
                <w:sz w:val="18"/>
                <w:szCs w:val="18"/>
                <w:b w:val="1"/>
                <w:bCs w:val="1"/>
                <w:color w:val="auto"/>
              </w:rPr>
              <w:t>001-33660</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tcPr>
          <w:p>
            <w:pPr>
              <w:jc w:val="right"/>
              <w:ind w:right="1190"/>
              <w:spacing w:after="0"/>
              <w:rPr>
                <w:sz w:val="20"/>
                <w:szCs w:val="20"/>
                <w:color w:val="auto"/>
              </w:rPr>
            </w:pPr>
            <w:r>
              <w:rPr>
                <w:rFonts w:ascii="Arial" w:cs="Arial" w:eastAsia="Arial" w:hAnsi="Arial"/>
                <w:sz w:val="18"/>
                <w:szCs w:val="18"/>
                <w:b w:val="1"/>
                <w:bCs w:val="1"/>
                <w:color w:val="auto"/>
              </w:rPr>
              <w:t>87-0398877</w:t>
            </w:r>
          </w:p>
        </w:tc>
      </w:tr>
      <w:tr>
        <w:trPr>
          <w:trHeight w:val="27"/>
        </w:trPr>
        <w:tc>
          <w:tcPr>
            <w:tcW w:w="2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jc w:val="center"/>
              <w:ind w:left="750"/>
              <w:spacing w:after="0"/>
              <w:rPr>
                <w:sz w:val="20"/>
                <w:szCs w:val="20"/>
                <w:color w:val="auto"/>
              </w:rPr>
            </w:pPr>
            <w:r>
              <w:rPr>
                <w:rFonts w:ascii="Arial" w:cs="Arial" w:eastAsia="Arial" w:hAnsi="Arial"/>
                <w:sz w:val="18"/>
                <w:szCs w:val="18"/>
                <w:color w:val="auto"/>
                <w:w w:val="92"/>
              </w:rPr>
              <w:t>(State or other jurisdiction</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tcPr>
          <w:p>
            <w:pPr>
              <w:jc w:val="center"/>
              <w:ind w:right="870"/>
              <w:spacing w:after="0"/>
              <w:rPr>
                <w:sz w:val="20"/>
                <w:szCs w:val="20"/>
                <w:color w:val="auto"/>
              </w:rPr>
            </w:pPr>
            <w:r>
              <w:rPr>
                <w:rFonts w:ascii="Arial" w:cs="Arial" w:eastAsia="Arial" w:hAnsi="Arial"/>
                <w:sz w:val="18"/>
                <w:szCs w:val="18"/>
                <w:color w:val="auto"/>
                <w:w w:val="93"/>
              </w:rPr>
              <w:t>(I.R.S. Employer</w:t>
            </w:r>
          </w:p>
        </w:tc>
      </w:tr>
      <w:tr>
        <w:trPr>
          <w:trHeight w:val="243"/>
        </w:trPr>
        <w:tc>
          <w:tcPr>
            <w:tcW w:w="2900" w:type="dxa"/>
            <w:vAlign w:val="bottom"/>
          </w:tcPr>
          <w:p>
            <w:pPr>
              <w:jc w:val="center"/>
              <w:ind w:left="750"/>
              <w:spacing w:after="0"/>
              <w:rPr>
                <w:sz w:val="20"/>
                <w:szCs w:val="20"/>
                <w:color w:val="auto"/>
              </w:rPr>
            </w:pPr>
            <w:r>
              <w:rPr>
                <w:rFonts w:ascii="Arial" w:cs="Arial" w:eastAsia="Arial" w:hAnsi="Arial"/>
                <w:sz w:val="18"/>
                <w:szCs w:val="18"/>
                <w:color w:val="auto"/>
                <w:w w:val="93"/>
              </w:rPr>
              <w:t>of incorporation)</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120" w:type="dxa"/>
            <w:vAlign w:val="bottom"/>
            <w:gridSpan w:val="6"/>
          </w:tcPr>
          <w:p>
            <w:pPr>
              <w:jc w:val="center"/>
              <w:ind w:right="1240"/>
              <w:spacing w:after="0"/>
              <w:rPr>
                <w:sz w:val="20"/>
                <w:szCs w:val="20"/>
                <w:color w:val="auto"/>
              </w:rPr>
            </w:pPr>
            <w:r>
              <w:rPr>
                <w:rFonts w:ascii="Arial" w:cs="Arial" w:eastAsia="Arial" w:hAnsi="Arial"/>
                <w:sz w:val="18"/>
                <w:szCs w:val="18"/>
                <w:color w:val="auto"/>
                <w:w w:val="93"/>
              </w:rPr>
              <w:t>(Commission File Number)</w:t>
            </w:r>
          </w:p>
        </w:tc>
        <w:tc>
          <w:tcPr>
            <w:tcW w:w="2400" w:type="dxa"/>
            <w:vAlign w:val="bottom"/>
          </w:tcPr>
          <w:p>
            <w:pPr>
              <w:jc w:val="center"/>
              <w:ind w:right="890"/>
              <w:spacing w:after="0"/>
              <w:rPr>
                <w:sz w:val="20"/>
                <w:szCs w:val="20"/>
                <w:color w:val="auto"/>
              </w:rPr>
            </w:pPr>
            <w:r>
              <w:rPr>
                <w:rFonts w:ascii="Arial" w:cs="Arial" w:eastAsia="Arial" w:hAnsi="Arial"/>
                <w:sz w:val="18"/>
                <w:szCs w:val="18"/>
                <w:color w:val="auto"/>
                <w:w w:val="95"/>
              </w:rPr>
              <w:t>Identification No.)</w:t>
            </w:r>
          </w:p>
        </w:tc>
      </w:tr>
      <w:tr>
        <w:trPr>
          <w:trHeight w:val="995"/>
        </w:trPr>
        <w:tc>
          <w:tcPr>
            <w:tcW w:w="2900" w:type="dxa"/>
            <w:vAlign w:val="bottom"/>
          </w:tcPr>
          <w:p>
            <w:pPr>
              <w:spacing w:after="0"/>
              <w:rPr>
                <w:sz w:val="24"/>
                <w:szCs w:val="24"/>
                <w:color w:val="auto"/>
              </w:rPr>
            </w:pPr>
          </w:p>
        </w:tc>
        <w:tc>
          <w:tcPr>
            <w:tcW w:w="6120" w:type="dxa"/>
            <w:vAlign w:val="bottom"/>
            <w:gridSpan w:val="8"/>
          </w:tcPr>
          <w:p>
            <w:pPr>
              <w:jc w:val="center"/>
              <w:ind w:right="3060"/>
              <w:spacing w:after="0"/>
              <w:rPr>
                <w:sz w:val="20"/>
                <w:szCs w:val="20"/>
                <w:color w:val="auto"/>
              </w:rPr>
            </w:pPr>
            <w:r>
              <w:rPr>
                <w:rFonts w:ascii="Arial" w:cs="Arial" w:eastAsia="Arial" w:hAnsi="Arial"/>
                <w:sz w:val="18"/>
                <w:szCs w:val="18"/>
                <w:b w:val="1"/>
                <w:bCs w:val="1"/>
                <w:color w:val="auto"/>
                <w:w w:val="90"/>
              </w:rPr>
              <w:t>5225 Wiley Post Way, Suite 500</w:t>
            </w:r>
          </w:p>
        </w:tc>
        <w:tc>
          <w:tcPr>
            <w:tcW w:w="240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6120" w:type="dxa"/>
            <w:vAlign w:val="bottom"/>
            <w:gridSpan w:val="8"/>
          </w:tcPr>
          <w:p>
            <w:pPr>
              <w:jc w:val="center"/>
              <w:ind w:right="3060"/>
              <w:spacing w:after="0"/>
              <w:rPr>
                <w:sz w:val="20"/>
                <w:szCs w:val="20"/>
                <w:color w:val="auto"/>
              </w:rPr>
            </w:pPr>
            <w:r>
              <w:rPr>
                <w:rFonts w:ascii="Arial" w:cs="Arial" w:eastAsia="Arial" w:hAnsi="Arial"/>
                <w:sz w:val="18"/>
                <w:szCs w:val="18"/>
                <w:b w:val="1"/>
                <w:bCs w:val="1"/>
                <w:color w:val="auto"/>
                <w:w w:val="93"/>
              </w:rPr>
              <w:t>Salt Lake City, Utah</w:t>
            </w:r>
          </w:p>
        </w:tc>
        <w:tc>
          <w:tcPr>
            <w:tcW w:w="2400" w:type="dxa"/>
            <w:vAlign w:val="bottom"/>
          </w:tcPr>
          <w:p>
            <w:pPr>
              <w:jc w:val="right"/>
              <w:ind w:right="890"/>
              <w:spacing w:after="0"/>
              <w:rPr>
                <w:sz w:val="20"/>
                <w:szCs w:val="20"/>
                <w:color w:val="auto"/>
              </w:rPr>
            </w:pPr>
            <w:r>
              <w:rPr>
                <w:rFonts w:ascii="Arial" w:cs="Arial" w:eastAsia="Arial" w:hAnsi="Arial"/>
                <w:sz w:val="18"/>
                <w:szCs w:val="18"/>
                <w:b w:val="1"/>
                <w:bCs w:val="1"/>
                <w:color w:val="auto"/>
              </w:rPr>
              <w:t>84116</w:t>
            </w:r>
          </w:p>
        </w:tc>
      </w:tr>
      <w:tr>
        <w:trPr>
          <w:trHeight w:val="27"/>
        </w:trPr>
        <w:tc>
          <w:tcPr>
            <w:tcW w:w="29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spacing w:after="0"/>
              <w:rPr>
                <w:sz w:val="20"/>
                <w:szCs w:val="20"/>
                <w:color w:val="auto"/>
              </w:rPr>
            </w:pPr>
          </w:p>
        </w:tc>
        <w:tc>
          <w:tcPr>
            <w:tcW w:w="6120" w:type="dxa"/>
            <w:vAlign w:val="bottom"/>
            <w:gridSpan w:val="8"/>
          </w:tcPr>
          <w:p>
            <w:pPr>
              <w:ind w:left="8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73"/>
        </w:trPr>
        <w:tc>
          <w:tcPr>
            <w:tcW w:w="2900" w:type="dxa"/>
            <w:vAlign w:val="bottom"/>
          </w:tcPr>
          <w:p>
            <w:pPr>
              <w:spacing w:after="0"/>
              <w:rPr>
                <w:sz w:val="24"/>
                <w:szCs w:val="24"/>
                <w:color w:val="auto"/>
              </w:rPr>
            </w:pPr>
          </w:p>
        </w:tc>
        <w:tc>
          <w:tcPr>
            <w:tcW w:w="3400" w:type="dxa"/>
            <w:vAlign w:val="bottom"/>
            <w:gridSpan w:val="4"/>
          </w:tcPr>
          <w:p>
            <w:pPr>
              <w:jc w:val="center"/>
              <w:ind w:left="2150"/>
              <w:spacing w:after="0"/>
              <w:rPr>
                <w:sz w:val="20"/>
                <w:szCs w:val="20"/>
                <w:color w:val="auto"/>
              </w:rPr>
            </w:pPr>
            <w:r>
              <w:rPr>
                <w:rFonts w:ascii="Arial" w:cs="Arial" w:eastAsia="Arial" w:hAnsi="Arial"/>
                <w:sz w:val="18"/>
                <w:szCs w:val="18"/>
                <w:b w:val="1"/>
                <w:bCs w:val="1"/>
                <w:color w:val="auto"/>
                <w:w w:val="90"/>
              </w:rPr>
              <w:t>(801) 975-7200</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Borders>
              <w:right w:val="single" w:sz="8" w:color="auto"/>
            </w:tcBorders>
            <w:gridSpan w:val="2"/>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31"/>
        </w:trPr>
        <w:tc>
          <w:tcPr>
            <w:tcW w:w="2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1260"/>
              <w:spacing w:after="0"/>
              <w:rPr>
                <w:sz w:val="20"/>
                <w:szCs w:val="20"/>
                <w:color w:val="auto"/>
              </w:rPr>
            </w:pPr>
            <w:r>
              <w:rPr>
                <w:rFonts w:ascii="Arial" w:cs="Arial" w:eastAsia="Arial" w:hAnsi="Arial"/>
                <w:sz w:val="18"/>
                <w:szCs w:val="18"/>
                <w:color w:val="auto"/>
                <w:w w:val="90"/>
              </w:rPr>
              <w:t>(Registrant's Telephone Number, Including Area Code)</w:t>
            </w:r>
          </w:p>
        </w:tc>
        <w:tc>
          <w:tcPr>
            <w:tcW w:w="2400" w:type="dxa"/>
            <w:vAlign w:val="bottom"/>
          </w:tcPr>
          <w:p>
            <w:pPr>
              <w:spacing w:after="0"/>
              <w:rPr>
                <w:sz w:val="24"/>
                <w:szCs w:val="24"/>
                <w:color w:val="auto"/>
              </w:rPr>
            </w:pPr>
          </w:p>
        </w:tc>
      </w:tr>
      <w:tr>
        <w:trPr>
          <w:trHeight w:val="581"/>
        </w:trPr>
        <w:tc>
          <w:tcPr>
            <w:tcW w:w="2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 applicable</w:t>
            </w:r>
          </w:p>
        </w:tc>
        <w:tc>
          <w:tcPr>
            <w:tcW w:w="2720" w:type="dxa"/>
            <w:vAlign w:val="bottom"/>
            <w:gridSpan w:val="4"/>
          </w:tcPr>
          <w:p>
            <w:pPr>
              <w:spacing w:after="0"/>
              <w:rPr>
                <w:sz w:val="24"/>
                <w:szCs w:val="24"/>
                <w:color w:val="auto"/>
              </w:rPr>
            </w:pPr>
          </w:p>
        </w:tc>
        <w:tc>
          <w:tcPr>
            <w:tcW w:w="2400" w:type="dxa"/>
            <w:vAlign w:val="bottom"/>
          </w:tcPr>
          <w:p>
            <w:pPr>
              <w:spacing w:after="0"/>
              <w:rPr>
                <w:sz w:val="24"/>
                <w:szCs w:val="24"/>
                <w:color w:val="auto"/>
              </w:rPr>
            </w:pPr>
          </w:p>
        </w:tc>
      </w:tr>
      <w:tr>
        <w:trPr>
          <w:trHeight w:val="331"/>
        </w:trPr>
        <w:tc>
          <w:tcPr>
            <w:tcW w:w="2900" w:type="dxa"/>
            <w:vAlign w:val="bottom"/>
          </w:tcPr>
          <w:p>
            <w:pPr>
              <w:spacing w:after="0"/>
              <w:rPr>
                <w:sz w:val="24"/>
                <w:szCs w:val="24"/>
                <w:color w:val="auto"/>
              </w:rPr>
            </w:pPr>
          </w:p>
        </w:tc>
        <w:tc>
          <w:tcPr>
            <w:tcW w:w="6120" w:type="dxa"/>
            <w:vAlign w:val="bottom"/>
            <w:gridSpan w:val="8"/>
          </w:tcPr>
          <w:p>
            <w:pPr>
              <w:jc w:val="center"/>
              <w:ind w:right="50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400" w:type="dxa"/>
            <w:vAlign w:val="bottom"/>
          </w:tcPr>
          <w:p>
            <w:pPr>
              <w:spacing w:after="0"/>
              <w:rPr>
                <w:sz w:val="24"/>
                <w:szCs w:val="24"/>
                <w:color w:val="auto"/>
              </w:rPr>
            </w:pPr>
          </w:p>
        </w:tc>
      </w:tr>
    </w:tbl>
    <w:p>
      <w:pPr>
        <w:spacing w:after="0" w:line="391" w:lineRule="exact"/>
        <w:rPr>
          <w:sz w:val="24"/>
          <w:szCs w:val="24"/>
          <w:color w:val="auto"/>
        </w:rPr>
      </w:pPr>
    </w:p>
    <w:p>
      <w:pPr>
        <w:ind w:right="120"/>
        <w:spacing w:after="0" w:line="3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311"/>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311"/>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311"/>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20"/>
          </w:cols>
          <w:pgMar w:left="240" w:top="74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00" w:lineRule="exact"/>
        <w:rPr>
          <w:sz w:val="20"/>
          <w:szCs w:val="20"/>
          <w:color w:val="auto"/>
        </w:rPr>
      </w:pPr>
    </w:p>
    <w:p>
      <w:pPr>
        <w:spacing w:after="0" w:line="218" w:lineRule="exact"/>
        <w:rPr>
          <w:sz w:val="20"/>
          <w:szCs w:val="20"/>
          <w:color w:val="auto"/>
        </w:rPr>
      </w:pPr>
    </w:p>
    <w:p>
      <w:pPr>
        <w:ind w:right="100"/>
        <w:spacing w:after="0" w:line="373" w:lineRule="auto"/>
        <w:rPr>
          <w:sz w:val="20"/>
          <w:szCs w:val="20"/>
          <w:color w:val="auto"/>
        </w:rPr>
      </w:pPr>
      <w:r>
        <w:rPr>
          <w:rFonts w:ascii="Arial" w:cs="Arial" w:eastAsia="Arial" w:hAnsi="Arial"/>
          <w:sz w:val="18"/>
          <w:szCs w:val="18"/>
          <w:color w:val="auto"/>
        </w:rPr>
        <w:t>On December 15, 2014, the Company’s Senior Vice President of Finance, Narsi Narayanan, entered into a 10b5-1(c) Stock Purchase Plan (“Plan”) in regards to his participation in the Company’s Employee Stock Purchase Plan. Mr. Narayanan entered into the Plan in order to facilitate purchases of the Company’s stock under his participation in the Company’s Employee Stock Purchase Plan.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Principal terms of Mr. Narayanan’s Plan include the following:</w:t>
      </w:r>
    </w:p>
    <w:p>
      <w:pPr>
        <w:spacing w:after="0" w:line="200" w:lineRule="exact"/>
        <w:rPr>
          <w:sz w:val="20"/>
          <w:szCs w:val="20"/>
          <w:color w:val="auto"/>
        </w:rPr>
      </w:pPr>
    </w:p>
    <w:p>
      <w:pPr>
        <w:spacing w:after="0" w:line="214" w:lineRule="exact"/>
        <w:rPr>
          <w:sz w:val="20"/>
          <w:szCs w:val="20"/>
          <w:color w:val="auto"/>
        </w:rPr>
      </w:pPr>
    </w:p>
    <w:p>
      <w:pPr>
        <w:ind w:right="200"/>
        <w:spacing w:after="0" w:line="373" w:lineRule="auto"/>
        <w:rPr>
          <w:sz w:val="20"/>
          <w:szCs w:val="20"/>
          <w:color w:val="auto"/>
        </w:rPr>
      </w:pPr>
      <w:r>
        <w:rPr>
          <w:rFonts w:ascii="Arial" w:cs="Arial" w:eastAsia="Arial" w:hAnsi="Arial"/>
          <w:sz w:val="18"/>
          <w:szCs w:val="18"/>
          <w:color w:val="auto"/>
        </w:rPr>
        <w:t>Purchases of Common Stock will be made in accordance with the Plan's offering periods through issuance of shares by the Company to a broker designated by the Company’s Employee Stock Purchase Plan Committee. Value of shares purchased will not exceed $30,000 per year, equally distributed over the offering periods.</w:t>
      </w:r>
    </w:p>
    <w:p>
      <w:pPr>
        <w:spacing w:after="0" w:line="277" w:lineRule="exact"/>
        <w:rPr>
          <w:sz w:val="20"/>
          <w:szCs w:val="20"/>
          <w:color w:val="auto"/>
        </w:rPr>
      </w:pPr>
    </w:p>
    <w:p>
      <w:pPr>
        <w:ind w:right="160"/>
        <w:spacing w:after="0" w:line="387" w:lineRule="auto"/>
        <w:rPr>
          <w:sz w:val="20"/>
          <w:szCs w:val="20"/>
          <w:color w:val="auto"/>
        </w:rPr>
      </w:pPr>
      <w:r>
        <w:rPr>
          <w:rFonts w:ascii="Arial" w:cs="Arial" w:eastAsia="Arial" w:hAnsi="Arial"/>
          <w:sz w:val="18"/>
          <w:szCs w:val="18"/>
          <w:color w:val="auto"/>
        </w:rPr>
        <w:t>All purchases of Plan Shares will be made from the Company. Mr. Narayanan will not provide other instruction or guidance to ClearOne with respect to any purchases. The Company has been provided with a copy of the Plan.</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All purchases under the Plan will be reported by Mr. Narayanan through individual Form 4 filings with the Securities and Exchange Commission.</w:t>
      </w:r>
    </w:p>
    <w:p>
      <w:pPr>
        <w:spacing w:after="0" w:line="200" w:lineRule="exact"/>
        <w:rPr>
          <w:sz w:val="20"/>
          <w:szCs w:val="20"/>
          <w:color w:val="auto"/>
        </w:rPr>
      </w:pPr>
    </w:p>
    <w:p>
      <w:pPr>
        <w:spacing w:after="0" w:line="226" w:lineRule="exact"/>
        <w:rPr>
          <w:sz w:val="20"/>
          <w:szCs w:val="20"/>
          <w:color w:val="auto"/>
        </w:rPr>
      </w:pPr>
    </w:p>
    <w:p>
      <w:pPr>
        <w:spacing w:after="0" w:line="373" w:lineRule="auto"/>
        <w:rPr>
          <w:sz w:val="20"/>
          <w:szCs w:val="20"/>
          <w:color w:val="auto"/>
        </w:rPr>
      </w:pPr>
      <w:r>
        <w:rPr>
          <w:rFonts w:ascii="Arial" w:cs="Arial" w:eastAsia="Arial" w:hAnsi="Arial"/>
          <w:sz w:val="18"/>
          <w:szCs w:val="18"/>
          <w:color w:val="auto"/>
        </w:rPr>
        <w:t>Mr. Narayanan will cease all purchases under the Plan, and will instruct the Company to cease all purchases, promptly upon notice from the CEO of ClearOne that the independent directors of the Company’s Board of Directors have determined that purchases under the Plan must be suspended for the period determined by those directors.</w:t>
      </w:r>
    </w:p>
    <w:p>
      <w:pPr>
        <w:spacing w:after="0" w:line="277" w:lineRule="exact"/>
        <w:rPr>
          <w:sz w:val="20"/>
          <w:szCs w:val="20"/>
          <w:color w:val="auto"/>
        </w:rPr>
      </w:pPr>
    </w:p>
    <w:p>
      <w:pPr>
        <w:ind w:right="640"/>
        <w:spacing w:after="0" w:line="387" w:lineRule="auto"/>
        <w:rPr>
          <w:sz w:val="20"/>
          <w:szCs w:val="20"/>
          <w:color w:val="auto"/>
        </w:rPr>
      </w:pPr>
      <w:r>
        <w:rPr>
          <w:rFonts w:ascii="Arial" w:cs="Arial" w:eastAsia="Arial" w:hAnsi="Arial"/>
          <w:sz w:val="18"/>
          <w:szCs w:val="18"/>
          <w:color w:val="auto"/>
        </w:rPr>
        <w:t>The Plan is intended to comply with the requirements of Rule 10b5-1(c) under the Exchange Act and this Plan shall be interpreted to comply with the requirements of Rule 10b5-1(c).</w:t>
      </w:r>
    </w:p>
    <w:p>
      <w:pPr>
        <w:spacing w:after="0" w:line="264" w:lineRule="exact"/>
        <w:rPr>
          <w:sz w:val="20"/>
          <w:szCs w:val="20"/>
          <w:color w:val="auto"/>
        </w:rPr>
      </w:pPr>
    </w:p>
    <w:p>
      <w:pPr>
        <w:ind w:right="160"/>
        <w:spacing w:after="0" w:line="465" w:lineRule="auto"/>
        <w:rPr>
          <w:sz w:val="20"/>
          <w:szCs w:val="20"/>
          <w:color w:val="auto"/>
        </w:rPr>
      </w:pPr>
      <w:r>
        <w:rPr>
          <w:rFonts w:ascii="Arial" w:cs="Arial" w:eastAsia="Arial" w:hAnsi="Arial"/>
          <w:sz w:val="16"/>
          <w:szCs w:val="16"/>
          <w:color w:val="auto"/>
        </w:rPr>
        <w:t>Notwithstanding this Plan, Mr. Narayanan may sell or purchase shares of the Company’s common stock (other than Plan Shares) pursuant to the Company’s insider trading policy and subject to the terms and conditions included this Plan, and such sales or purchases shall not be subject to this Plan.</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20" w:type="dxa"/>
            <w:vAlign w:val="bottom"/>
          </w:tcPr>
          <w:p>
            <w:pPr>
              <w:spacing w:after="0"/>
              <w:rPr>
                <w:sz w:val="20"/>
                <w:szCs w:val="20"/>
                <w:color w:val="auto"/>
              </w:rPr>
            </w:pPr>
            <w:r>
              <w:rPr>
                <w:rFonts w:ascii="Arial" w:cs="Arial" w:eastAsia="Arial" w:hAnsi="Arial"/>
                <w:sz w:val="18"/>
                <w:szCs w:val="18"/>
                <w:color w:val="auto"/>
              </w:rPr>
              <w:t>Date: December 19, 2014</w:t>
            </w:r>
          </w:p>
        </w:tc>
        <w:tc>
          <w:tcPr>
            <w:tcW w:w="2020" w:type="dxa"/>
            <w:vAlign w:val="bottom"/>
          </w:tcPr>
          <w:p>
            <w:pPr>
              <w:ind w:left="1220"/>
              <w:spacing w:after="0"/>
              <w:rPr>
                <w:sz w:val="20"/>
                <w:szCs w:val="20"/>
                <w:color w:val="auto"/>
              </w:rPr>
            </w:pPr>
            <w:r>
              <w:rPr>
                <w:rFonts w:ascii="Arial" w:cs="Arial" w:eastAsia="Arial" w:hAnsi="Arial"/>
                <w:sz w:val="18"/>
                <w:szCs w:val="18"/>
                <w:color w:val="auto"/>
              </w:rPr>
              <w:t>By:</w:t>
            </w:r>
          </w:p>
        </w:tc>
        <w:tc>
          <w:tcPr>
            <w:tcW w:w="2360" w:type="dxa"/>
            <w:vAlign w:val="bottom"/>
            <w:gridSpan w:val="2"/>
          </w:tcPr>
          <w:p>
            <w:pPr>
              <w:spacing w:after="0"/>
              <w:rPr>
                <w:sz w:val="20"/>
                <w:szCs w:val="20"/>
                <w:color w:val="auto"/>
              </w:rPr>
            </w:pPr>
            <w:r>
              <w:rPr>
                <w:rFonts w:ascii="Arial" w:cs="Arial" w:eastAsia="Arial" w:hAnsi="Arial"/>
                <w:sz w:val="18"/>
                <w:szCs w:val="18"/>
                <w:color w:val="auto"/>
              </w:rPr>
              <w:t>/s/ Narsi Narayanan</w:t>
            </w:r>
          </w:p>
        </w:tc>
      </w:tr>
      <w:tr>
        <w:trPr>
          <w:trHeight w:val="291"/>
        </w:trPr>
        <w:tc>
          <w:tcPr>
            <w:tcW w:w="3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Narsi Narayanan</w:t>
            </w:r>
          </w:p>
        </w:tc>
        <w:tc>
          <w:tcPr>
            <w:tcW w:w="940" w:type="dxa"/>
            <w:vAlign w:val="bottom"/>
          </w:tcPr>
          <w:p>
            <w:pPr>
              <w:spacing w:after="0"/>
              <w:rPr>
                <w:sz w:val="24"/>
                <w:szCs w:val="24"/>
                <w:color w:val="auto"/>
              </w:rPr>
            </w:pPr>
          </w:p>
        </w:tc>
      </w:tr>
      <w:tr>
        <w:trPr>
          <w:trHeight w:val="270"/>
        </w:trPr>
        <w:tc>
          <w:tcPr>
            <w:tcW w:w="3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w w:val="89"/>
              </w:rPr>
              <w:t>Senior Vice President of Finance</w:t>
            </w:r>
          </w:p>
        </w:tc>
      </w:tr>
    </w:tbl>
    <w:p>
      <w:pPr>
        <w:spacing w:after="0" w:line="1" w:lineRule="exact"/>
        <w:rPr>
          <w:sz w:val="20"/>
          <w:szCs w:val="20"/>
          <w:color w:val="auto"/>
        </w:rPr>
      </w:pP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2019-12-06T02:37:16Z</dcterms:created>
  <dcterms:modified xsi:type="dcterms:W3CDTF">2019-12-06T02:37:16Z</dcterms:modified>
</cp:coreProperties>
</file>