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719"/>
        <w:spacing w:after="0" w:line="237"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6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6" w:lineRule="exact"/>
        <w:rPr>
          <w:sz w:val="24"/>
          <w:szCs w:val="24"/>
          <w:color w:val="auto"/>
        </w:rPr>
      </w:pPr>
    </w:p>
    <w:p>
      <w:pPr>
        <w:ind w:left="840" w:right="3519" w:hanging="832"/>
        <w:spacing w:after="0" w:line="235" w:lineRule="auto"/>
        <w:tabs>
          <w:tab w:leader="none" w:pos="8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1"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8"/>
          <w:szCs w:val="18"/>
          <w:color w:val="auto"/>
        </w:rPr>
        <w:t>For the quarterly period ended December 31, 1999</w:t>
      </w:r>
    </w:p>
    <w:p>
      <w:pPr>
        <w:spacing w:after="0" w:line="200" w:lineRule="exact"/>
        <w:rPr>
          <w:sz w:val="24"/>
          <w:szCs w:val="24"/>
          <w:color w:val="auto"/>
        </w:rPr>
      </w:pPr>
    </w:p>
    <w:p>
      <w:pPr>
        <w:ind w:left="410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4"/>
          <w:szCs w:val="24"/>
          <w:color w:val="auto"/>
        </w:rPr>
      </w:pPr>
    </w:p>
    <w:p>
      <w:pPr>
        <w:ind w:left="840" w:right="3399" w:hanging="832"/>
        <w:spacing w:after="0" w:line="235" w:lineRule="auto"/>
        <w:tabs>
          <w:tab w:leader="none" w:pos="21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0-17219</w:t>
      </w:r>
    </w:p>
    <w:p>
      <w:pPr>
        <w:spacing w:after="0" w:line="200"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8"/>
          <w:szCs w:val="18"/>
          <w:color w:val="auto"/>
        </w:rPr>
        <w:t>GENTNER COMMUNICATIONS CORPORATION</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840"/>
        <w:spacing w:after="0" w:line="238" w:lineRule="auto"/>
        <w:rPr>
          <w:sz w:val="20"/>
          <w:szCs w:val="20"/>
          <w:color w:val="auto"/>
        </w:rPr>
      </w:pPr>
      <w:r>
        <w:rPr>
          <w:rFonts w:ascii="Courier New" w:cs="Courier New" w:eastAsia="Courier New" w:hAnsi="Courier New"/>
          <w:sz w:val="18"/>
          <w:szCs w:val="18"/>
          <w:color w:val="auto"/>
        </w:rPr>
        <w:t>(Exact name of small business issuer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5720" w:type="dxa"/>
            <w:vAlign w:val="bottom"/>
          </w:tcPr>
          <w:p>
            <w:pPr>
              <w:jc w:val="center"/>
              <w:ind w:right="1452"/>
              <w:spacing w:after="0"/>
              <w:rPr>
                <w:sz w:val="20"/>
                <w:szCs w:val="20"/>
                <w:color w:val="auto"/>
              </w:rPr>
            </w:pPr>
            <w:r>
              <w:rPr>
                <w:rFonts w:ascii="Courier New" w:cs="Courier New" w:eastAsia="Courier New" w:hAnsi="Courier New"/>
                <w:sz w:val="18"/>
                <w:szCs w:val="18"/>
                <w:color w:val="auto"/>
                <w:w w:val="97"/>
              </w:rPr>
              <w:t>UTAH</w:t>
            </w:r>
          </w:p>
        </w:tc>
        <w:tc>
          <w:tcPr>
            <w:tcW w:w="2260" w:type="dxa"/>
            <w:vAlign w:val="bottom"/>
          </w:tcPr>
          <w:p>
            <w:pPr>
              <w:ind w:left="680"/>
              <w:spacing w:after="0"/>
              <w:rPr>
                <w:sz w:val="20"/>
                <w:szCs w:val="20"/>
                <w:color w:val="auto"/>
              </w:rPr>
            </w:pPr>
            <w:r>
              <w:rPr>
                <w:rFonts w:ascii="Courier New" w:cs="Courier New" w:eastAsia="Courier New" w:hAnsi="Courier New"/>
                <w:sz w:val="18"/>
                <w:szCs w:val="18"/>
                <w:color w:val="auto"/>
              </w:rPr>
              <w:t>87-0398877</w:t>
            </w:r>
          </w:p>
        </w:tc>
      </w:tr>
      <w:tr>
        <w:trPr>
          <w:trHeight w:val="202"/>
        </w:trPr>
        <w:tc>
          <w:tcPr>
            <w:tcW w:w="5720" w:type="dxa"/>
            <w:vAlign w:val="bottom"/>
          </w:tcPr>
          <w:p>
            <w:pPr>
              <w:jc w:val="center"/>
              <w:ind w:right="1452"/>
              <w:spacing w:after="0" w:line="202"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tcPr>
          <w:p>
            <w:pPr>
              <w:ind w:left="680"/>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5720" w:type="dxa"/>
            <w:vAlign w:val="bottom"/>
          </w:tcPr>
          <w:p>
            <w:pPr>
              <w:jc w:val="center"/>
              <w:ind w:right="1332"/>
              <w:spacing w:after="0" w:line="202" w:lineRule="exact"/>
              <w:rPr>
                <w:sz w:val="20"/>
                <w:szCs w:val="20"/>
                <w:color w:val="auto"/>
              </w:rPr>
            </w:pPr>
            <w:r>
              <w:rPr>
                <w:rFonts w:ascii="Courier New" w:cs="Courier New" w:eastAsia="Courier New" w:hAnsi="Courier New"/>
                <w:sz w:val="18"/>
                <w:szCs w:val="18"/>
                <w:color w:val="auto"/>
                <w:w w:val="97"/>
              </w:rPr>
              <w:t>(State or other jurisdiction of</w:t>
            </w:r>
          </w:p>
        </w:tc>
        <w:tc>
          <w:tcPr>
            <w:tcW w:w="2260" w:type="dxa"/>
            <w:vAlign w:val="bottom"/>
          </w:tcPr>
          <w:p>
            <w:pPr>
              <w:jc w:val="center"/>
              <w:ind w:left="172"/>
              <w:spacing w:after="0" w:line="202" w:lineRule="exact"/>
              <w:rPr>
                <w:sz w:val="20"/>
                <w:szCs w:val="20"/>
                <w:color w:val="auto"/>
              </w:rPr>
            </w:pPr>
            <w:r>
              <w:rPr>
                <w:rFonts w:ascii="Courier New" w:cs="Courier New" w:eastAsia="Courier New" w:hAnsi="Courier New"/>
                <w:sz w:val="18"/>
                <w:szCs w:val="18"/>
                <w:color w:val="auto"/>
                <w:w w:val="96"/>
              </w:rPr>
              <w:t>(IRS Employer</w:t>
            </w:r>
          </w:p>
        </w:tc>
      </w:tr>
      <w:tr>
        <w:trPr>
          <w:trHeight w:val="202"/>
        </w:trPr>
        <w:tc>
          <w:tcPr>
            <w:tcW w:w="5720" w:type="dxa"/>
            <w:vAlign w:val="bottom"/>
          </w:tcPr>
          <w:p>
            <w:pPr>
              <w:jc w:val="center"/>
              <w:ind w:right="1432"/>
              <w:spacing w:after="0" w:line="202" w:lineRule="exact"/>
              <w:rPr>
                <w:sz w:val="20"/>
                <w:szCs w:val="20"/>
                <w:color w:val="auto"/>
              </w:rPr>
            </w:pPr>
            <w:r>
              <w:rPr>
                <w:rFonts w:ascii="Courier New" w:cs="Courier New" w:eastAsia="Courier New" w:hAnsi="Courier New"/>
                <w:sz w:val="18"/>
                <w:szCs w:val="18"/>
                <w:color w:val="auto"/>
                <w:w w:val="97"/>
              </w:rPr>
              <w:t>incorporation or organization)</w:t>
            </w:r>
          </w:p>
        </w:tc>
        <w:tc>
          <w:tcPr>
            <w:tcW w:w="2260" w:type="dxa"/>
            <w:vAlign w:val="bottom"/>
          </w:tcPr>
          <w:p>
            <w:pPr>
              <w:jc w:val="center"/>
              <w:ind w:left="172"/>
              <w:spacing w:after="0" w:line="202" w:lineRule="exact"/>
              <w:rPr>
                <w:sz w:val="20"/>
                <w:szCs w:val="20"/>
                <w:color w:val="auto"/>
              </w:rPr>
            </w:pPr>
            <w:r>
              <w:rPr>
                <w:rFonts w:ascii="Courier New" w:cs="Courier New" w:eastAsia="Courier New" w:hAnsi="Courier New"/>
                <w:sz w:val="18"/>
                <w:szCs w:val="18"/>
                <w:color w:val="auto"/>
                <w:w w:val="97"/>
              </w:rPr>
              <w:t>Identification No.)</w:t>
            </w:r>
          </w:p>
        </w:tc>
      </w:tr>
      <w:tr>
        <w:trPr>
          <w:trHeight w:val="404"/>
        </w:trPr>
        <w:tc>
          <w:tcPr>
            <w:tcW w:w="5720" w:type="dxa"/>
            <w:vAlign w:val="bottom"/>
          </w:tcPr>
          <w:p>
            <w:pPr>
              <w:jc w:val="center"/>
              <w:ind w:right="1332"/>
              <w:spacing w:after="0"/>
              <w:rPr>
                <w:sz w:val="20"/>
                <w:szCs w:val="20"/>
                <w:color w:val="auto"/>
              </w:rPr>
            </w:pPr>
            <w:r>
              <w:rPr>
                <w:rFonts w:ascii="Courier New" w:cs="Courier New" w:eastAsia="Courier New" w:hAnsi="Courier New"/>
                <w:sz w:val="18"/>
                <w:szCs w:val="18"/>
                <w:color w:val="auto"/>
                <w:w w:val="97"/>
              </w:rPr>
              <w:t>1825 RESEARCH WAY, SALT LAKE CITY, UTAH</w:t>
            </w:r>
          </w:p>
        </w:tc>
        <w:tc>
          <w:tcPr>
            <w:tcW w:w="2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84119</w:t>
            </w:r>
          </w:p>
        </w:tc>
      </w:tr>
      <w:tr>
        <w:trPr>
          <w:trHeight w:val="202"/>
        </w:trPr>
        <w:tc>
          <w:tcPr>
            <w:tcW w:w="5720" w:type="dxa"/>
            <w:vAlign w:val="bottom"/>
          </w:tcPr>
          <w:p>
            <w:pPr>
              <w:jc w:val="center"/>
              <w:ind w:right="1332"/>
              <w:spacing w:after="0" w:line="202"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tcPr>
          <w:p>
            <w:pPr>
              <w:jc w:val="right"/>
              <w:ind w:right="75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5720" w:type="dxa"/>
            <w:vAlign w:val="bottom"/>
          </w:tcPr>
          <w:p>
            <w:pPr>
              <w:jc w:val="center"/>
              <w:ind w:right="1432"/>
              <w:spacing w:after="0" w:line="202"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260" w:type="dxa"/>
            <w:vAlign w:val="bottom"/>
          </w:tcPr>
          <w:p>
            <w:pPr>
              <w:ind w:left="680"/>
              <w:spacing w:after="0" w:line="202" w:lineRule="exact"/>
              <w:rPr>
                <w:sz w:val="20"/>
                <w:szCs w:val="20"/>
                <w:color w:val="auto"/>
              </w:rPr>
            </w:pPr>
            <w:r>
              <w:rPr>
                <w:rFonts w:ascii="Courier New" w:cs="Courier New" w:eastAsia="Courier New" w:hAnsi="Courier New"/>
                <w:sz w:val="18"/>
                <w:szCs w:val="18"/>
                <w:color w:val="auto"/>
              </w:rPr>
              <w:t>(Zip Code)</w:t>
            </w:r>
          </w:p>
        </w:tc>
      </w:tr>
      <w:tr>
        <w:trPr>
          <w:trHeight w:val="606"/>
        </w:trPr>
        <w:tc>
          <w:tcPr>
            <w:tcW w:w="572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(801) 975-7200</w:t>
            </w:r>
          </w:p>
        </w:tc>
        <w:tc>
          <w:tcPr>
            <w:tcW w:w="2260" w:type="dxa"/>
            <w:vAlign w:val="bottom"/>
          </w:tcPr>
          <w:p>
            <w:pPr>
              <w:spacing w:after="0"/>
              <w:rPr>
                <w:sz w:val="24"/>
                <w:szCs w:val="24"/>
                <w:color w:val="auto"/>
              </w:rPr>
            </w:pPr>
          </w:p>
        </w:tc>
      </w:tr>
      <w:tr>
        <w:trPr>
          <w:trHeight w:val="202"/>
        </w:trPr>
        <w:tc>
          <w:tcPr>
            <w:tcW w:w="572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(Issuer's telephone number)</w:t>
            </w:r>
          </w:p>
        </w:tc>
        <w:tc>
          <w:tcPr>
            <w:tcW w:w="2260" w:type="dxa"/>
            <w:vAlign w:val="bottom"/>
          </w:tcPr>
          <w:p>
            <w:pPr>
              <w:spacing w:after="0"/>
              <w:rPr>
                <w:sz w:val="17"/>
                <w:szCs w:val="17"/>
                <w:color w:val="auto"/>
              </w:rPr>
            </w:pPr>
          </w:p>
        </w:tc>
      </w:tr>
    </w:tbl>
    <w:p>
      <w:pPr>
        <w:spacing w:after="0" w:line="200" w:lineRule="exact"/>
        <w:rPr>
          <w:sz w:val="24"/>
          <w:szCs w:val="24"/>
          <w:color w:val="auto"/>
        </w:rPr>
      </w:pPr>
    </w:p>
    <w:p>
      <w:pPr>
        <w:spacing w:after="0" w:line="20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w:t>
      </w:r>
    </w:p>
    <w:p>
      <w:pPr>
        <w:jc w:val="center"/>
        <w:ind w:right="1719"/>
        <w:spacing w:after="0" w:line="237" w:lineRule="auto"/>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1719"/>
        <w:spacing w:after="0" w:line="238" w:lineRule="auto"/>
        <w:rPr>
          <w:sz w:val="20"/>
          <w:szCs w:val="20"/>
          <w:color w:val="auto"/>
        </w:rPr>
      </w:pPr>
      <w:r>
        <w:rPr>
          <w:rFonts w:ascii="Courier New" w:cs="Courier New" w:eastAsia="Courier New" w:hAnsi="Courier New"/>
          <w:sz w:val="18"/>
          <w:szCs w:val="18"/>
          <w:color w:val="auto"/>
        </w:rPr>
        <w:t>if changed since last report.)</w:t>
      </w:r>
    </w:p>
    <w:p>
      <w:pPr>
        <w:spacing w:after="0" w:line="200" w:lineRule="exact"/>
        <w:rPr>
          <w:sz w:val="24"/>
          <w:szCs w:val="24"/>
          <w:color w:val="auto"/>
        </w:rPr>
      </w:pPr>
    </w:p>
    <w:p>
      <w:pPr>
        <w:spacing w:after="0" w:line="209" w:lineRule="exact"/>
        <w:rPr>
          <w:sz w:val="24"/>
          <w:szCs w:val="24"/>
          <w:color w:val="auto"/>
        </w:rPr>
      </w:pPr>
    </w:p>
    <w:p>
      <w:pPr>
        <w:ind w:right="1939"/>
        <w:spacing w:after="0" w:line="274"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8"/>
          <w:szCs w:val="18"/>
          <w:color w:val="auto"/>
        </w:rPr>
        <w:t>[X] Yes [ ] No</w:t>
      </w:r>
    </w:p>
    <w:p>
      <w:pPr>
        <w:spacing w:after="0" w:line="206" w:lineRule="exact"/>
        <w:rPr>
          <w:sz w:val="24"/>
          <w:szCs w:val="24"/>
          <w:color w:val="auto"/>
        </w:rPr>
      </w:pPr>
    </w:p>
    <w:p>
      <w:pPr>
        <w:ind w:right="1719"/>
        <w:spacing w:after="0" w:line="235" w:lineRule="auto"/>
        <w:rPr>
          <w:sz w:val="20"/>
          <w:szCs w:val="20"/>
          <w:color w:val="auto"/>
        </w:rPr>
      </w:pPr>
      <w:r>
        <w:rPr>
          <w:rFonts w:ascii="Courier New" w:cs="Courier New" w:eastAsia="Courier New" w:hAnsi="Courier New"/>
          <w:sz w:val="18"/>
          <w:szCs w:val="18"/>
          <w:color w:val="auto"/>
        </w:rPr>
        <w:t>State the number of shares outstanding of each of the issuer's classes of common stock as of the latest practicable date.</w:t>
      </w:r>
    </w:p>
    <w:p>
      <w:pPr>
        <w:sectPr>
          <w:pgSz w:w="11900" w:h="16838" w:orient="portrait"/>
          <w:cols w:equalWidth="0" w:num="1">
            <w:col w:w="10139"/>
          </w:cols>
          <w:pgMar w:left="320" w:top="243" w:right="1440" w:bottom="1440" w:gutter="0" w:footer="0" w:header="0"/>
        </w:sect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CLASS OF COMMON STOCK</w:t>
      </w:r>
    </w:p>
    <w:p>
      <w:pPr>
        <w:spacing w:after="0" w:line="15"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FEBRUARY 10, 1999</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8,267,815 SHARES</w:t>
      </w:r>
    </w:p>
    <w:p>
      <w:pPr>
        <w:spacing w:after="0" w:line="200" w:lineRule="exact"/>
        <w:rPr>
          <w:sz w:val="24"/>
          <w:szCs w:val="24"/>
          <w:color w:val="auto"/>
        </w:rPr>
      </w:pPr>
    </w:p>
    <w:p>
      <w:pPr>
        <w:sectPr>
          <w:pgSz w:w="11900" w:h="16838" w:orient="portrait"/>
          <w:cols w:equalWidth="0" w:num="2">
            <w:col w:w="4860" w:space="720"/>
            <w:col w:w="4559"/>
          </w:cols>
          <w:pgMar w:left="320" w:top="243" w:right="1440" w:bottom="1440" w:gutter="0" w:footer="0" w:header="0"/>
          <w:type w:val="continuous"/>
        </w:sectPr>
      </w:pPr>
    </w:p>
    <w:p>
      <w:pPr>
        <w:spacing w:after="0" w:line="6" w:lineRule="exact"/>
        <w:rPr>
          <w:sz w:val="24"/>
          <w:szCs w:val="24"/>
          <w:color w:val="auto"/>
        </w:rPr>
      </w:pPr>
    </w:p>
    <w:p>
      <w:pPr>
        <w:jc w:val="center"/>
        <w:ind w:right="1619"/>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pacing w:after="0" w:line="21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 ] Yes [X] No</w:t>
      </w:r>
    </w:p>
    <w:p>
      <w:pPr>
        <w:sectPr>
          <w:pgSz w:w="11900" w:h="16838" w:orient="portrait"/>
          <w:cols w:equalWidth="0" w:num="1">
            <w:col w:w="10139"/>
          </w:cols>
          <w:pgMar w:left="320" w:top="243"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Pr>
          <w:p>
            <w:pPr>
              <w:ind w:left="4000"/>
              <w:spacing w:after="0"/>
              <w:rPr>
                <w:sz w:val="20"/>
                <w:szCs w:val="20"/>
                <w:color w:val="auto"/>
              </w:rPr>
            </w:pPr>
            <w:r>
              <w:rPr>
                <w:rFonts w:ascii="Courier New" w:cs="Courier New" w:eastAsia="Courier New" w:hAnsi="Courier New"/>
                <w:sz w:val="18"/>
                <w:szCs w:val="18"/>
                <w:color w:val="auto"/>
              </w:rPr>
              <w:t>INDEX</w:t>
            </w:r>
          </w:p>
        </w:tc>
        <w:tc>
          <w:tcPr>
            <w:tcW w:w="620" w:type="dxa"/>
            <w:vAlign w:val="bottom"/>
          </w:tcPr>
          <w:p>
            <w:pPr>
              <w:spacing w:after="0"/>
              <w:rPr>
                <w:sz w:val="17"/>
                <w:szCs w:val="17"/>
                <w:color w:val="auto"/>
              </w:rPr>
            </w:pPr>
          </w:p>
        </w:tc>
      </w:tr>
      <w:tr>
        <w:trPr>
          <w:trHeight w:val="1010"/>
        </w:trPr>
        <w:tc>
          <w:tcPr>
            <w:tcW w:w="800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PAGE</w:t>
            </w:r>
          </w:p>
        </w:tc>
      </w:tr>
      <w:tr>
        <w:trPr>
          <w:trHeight w:val="202"/>
        </w:trPr>
        <w:tc>
          <w:tcPr>
            <w:tcW w:w="8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NUMBER</w:t>
            </w:r>
          </w:p>
        </w:tc>
      </w:tr>
      <w:tr>
        <w:trPr>
          <w:trHeight w:val="202"/>
        </w:trPr>
        <w:tc>
          <w:tcPr>
            <w:tcW w:w="8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w:t>
            </w:r>
          </w:p>
        </w:tc>
      </w:tr>
      <w:tr>
        <w:trPr>
          <w:trHeight w:val="404"/>
        </w:trPr>
        <w:tc>
          <w:tcPr>
            <w:tcW w:w="8000" w:type="dxa"/>
            <w:vAlign w:val="bottom"/>
          </w:tcPr>
          <w:p>
            <w:pPr>
              <w:spacing w:after="0"/>
              <w:rPr>
                <w:sz w:val="20"/>
                <w:szCs w:val="20"/>
                <w:color w:val="auto"/>
              </w:rPr>
            </w:pPr>
            <w:r>
              <w:rPr>
                <w:rFonts w:ascii="Courier New" w:cs="Courier New" w:eastAsia="Courier New" w:hAnsi="Courier New"/>
                <w:sz w:val="18"/>
                <w:szCs w:val="18"/>
                <w:color w:val="auto"/>
              </w:rPr>
              <w:t>PART I - FINANCIAL  INFORMATION</w:t>
            </w:r>
          </w:p>
        </w:tc>
        <w:tc>
          <w:tcPr>
            <w:tcW w:w="620" w:type="dxa"/>
            <w:vAlign w:val="bottom"/>
          </w:tcPr>
          <w:p>
            <w:pPr>
              <w:spacing w:after="0"/>
              <w:rPr>
                <w:sz w:val="24"/>
                <w:szCs w:val="24"/>
                <w:color w:val="auto"/>
              </w:rPr>
            </w:pPr>
          </w:p>
        </w:tc>
      </w:tr>
      <w:tr>
        <w:trPr>
          <w:trHeight w:val="404"/>
        </w:trPr>
        <w:tc>
          <w:tcPr>
            <w:tcW w:w="8000" w:type="dxa"/>
            <w:vAlign w:val="bottom"/>
          </w:tcPr>
          <w:p>
            <w:pPr>
              <w:ind w:left="220"/>
              <w:spacing w:after="0"/>
              <w:rPr>
                <w:sz w:val="20"/>
                <w:szCs w:val="20"/>
                <w:color w:val="auto"/>
              </w:rPr>
            </w:pPr>
            <w:r>
              <w:rPr>
                <w:rFonts w:ascii="Courier New" w:cs="Courier New" w:eastAsia="Courier New" w:hAnsi="Courier New"/>
                <w:sz w:val="18"/>
                <w:szCs w:val="18"/>
                <w:color w:val="auto"/>
              </w:rPr>
              <w:t>Item 1. Financial Statements</w:t>
            </w:r>
          </w:p>
        </w:tc>
        <w:tc>
          <w:tcPr>
            <w:tcW w:w="620" w:type="dxa"/>
            <w:vAlign w:val="bottom"/>
          </w:tcPr>
          <w:p>
            <w:pPr>
              <w:spacing w:after="0"/>
              <w:rPr>
                <w:sz w:val="24"/>
                <w:szCs w:val="24"/>
                <w:color w:val="auto"/>
              </w:rPr>
            </w:pPr>
          </w:p>
        </w:tc>
      </w:tr>
      <w:tr>
        <w:trPr>
          <w:trHeight w:val="404"/>
        </w:trPr>
        <w:tc>
          <w:tcPr>
            <w:tcW w:w="8000" w:type="dxa"/>
            <w:vAlign w:val="bottom"/>
          </w:tcPr>
          <w:p>
            <w:pPr>
              <w:ind w:left="960"/>
              <w:spacing w:after="0"/>
              <w:rPr>
                <w:sz w:val="20"/>
                <w:szCs w:val="20"/>
                <w:color w:val="auto"/>
              </w:rPr>
            </w:pPr>
            <w:r>
              <w:rPr>
                <w:rFonts w:ascii="Courier New" w:cs="Courier New" w:eastAsia="Courier New" w:hAnsi="Courier New"/>
                <w:sz w:val="18"/>
                <w:szCs w:val="18"/>
                <w:color w:val="auto"/>
              </w:rPr>
              <w:t>Balance Sheets</w:t>
            </w:r>
          </w:p>
        </w:tc>
        <w:tc>
          <w:tcPr>
            <w:tcW w:w="620" w:type="dxa"/>
            <w:vAlign w:val="bottom"/>
          </w:tcPr>
          <w:p>
            <w:pPr>
              <w:spacing w:after="0"/>
              <w:rPr>
                <w:sz w:val="24"/>
                <w:szCs w:val="24"/>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w w:val="94"/>
              </w:rPr>
              <w:t>December 31, 1999 (unaudited) and June 30, 1999....................</w:t>
            </w:r>
          </w:p>
        </w:tc>
        <w:tc>
          <w:tcPr>
            <w:tcW w:w="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3</w:t>
            </w:r>
          </w:p>
        </w:tc>
      </w:tr>
      <w:tr>
        <w:trPr>
          <w:trHeight w:val="606"/>
        </w:trPr>
        <w:tc>
          <w:tcPr>
            <w:tcW w:w="8000" w:type="dxa"/>
            <w:vAlign w:val="bottom"/>
          </w:tcPr>
          <w:p>
            <w:pPr>
              <w:ind w:left="960"/>
              <w:spacing w:after="0"/>
              <w:rPr>
                <w:sz w:val="20"/>
                <w:szCs w:val="20"/>
                <w:color w:val="auto"/>
              </w:rPr>
            </w:pPr>
            <w:r>
              <w:rPr>
                <w:rFonts w:ascii="Courier New" w:cs="Courier New" w:eastAsia="Courier New" w:hAnsi="Courier New"/>
                <w:sz w:val="18"/>
                <w:szCs w:val="18"/>
                <w:color w:val="auto"/>
              </w:rPr>
              <w:t>Statements of Income</w:t>
            </w:r>
          </w:p>
        </w:tc>
        <w:tc>
          <w:tcPr>
            <w:tcW w:w="620" w:type="dxa"/>
            <w:vAlign w:val="bottom"/>
          </w:tcPr>
          <w:p>
            <w:pPr>
              <w:spacing w:after="0"/>
              <w:rPr>
                <w:sz w:val="24"/>
                <w:szCs w:val="24"/>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rPr>
              <w:t>Three Months Ended December 31, 1999 and</w:t>
            </w:r>
          </w:p>
        </w:tc>
        <w:tc>
          <w:tcPr>
            <w:tcW w:w="620" w:type="dxa"/>
            <w:vAlign w:val="bottom"/>
          </w:tcPr>
          <w:p>
            <w:pPr>
              <w:spacing w:after="0"/>
              <w:rPr>
                <w:sz w:val="17"/>
                <w:szCs w:val="17"/>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w w:val="94"/>
              </w:rPr>
              <w:t>1998 (unaudited)...................................................</w:t>
            </w:r>
          </w:p>
        </w:tc>
        <w:tc>
          <w:tcPr>
            <w:tcW w:w="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4</w:t>
            </w:r>
          </w:p>
        </w:tc>
      </w:tr>
      <w:tr>
        <w:trPr>
          <w:trHeight w:val="606"/>
        </w:trPr>
        <w:tc>
          <w:tcPr>
            <w:tcW w:w="8000" w:type="dxa"/>
            <w:vAlign w:val="bottom"/>
          </w:tcPr>
          <w:p>
            <w:pPr>
              <w:ind w:left="960"/>
              <w:spacing w:after="0"/>
              <w:rPr>
                <w:sz w:val="20"/>
                <w:szCs w:val="20"/>
                <w:color w:val="auto"/>
              </w:rPr>
            </w:pPr>
            <w:r>
              <w:rPr>
                <w:rFonts w:ascii="Courier New" w:cs="Courier New" w:eastAsia="Courier New" w:hAnsi="Courier New"/>
                <w:sz w:val="18"/>
                <w:szCs w:val="18"/>
                <w:color w:val="auto"/>
              </w:rPr>
              <w:t>Statements of Income</w:t>
            </w:r>
          </w:p>
        </w:tc>
        <w:tc>
          <w:tcPr>
            <w:tcW w:w="620" w:type="dxa"/>
            <w:vAlign w:val="bottom"/>
          </w:tcPr>
          <w:p>
            <w:pPr>
              <w:spacing w:after="0"/>
              <w:rPr>
                <w:sz w:val="24"/>
                <w:szCs w:val="24"/>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rPr>
              <w:t>Six Months Ended December 31, 1999 and</w:t>
            </w:r>
          </w:p>
        </w:tc>
        <w:tc>
          <w:tcPr>
            <w:tcW w:w="620" w:type="dxa"/>
            <w:vAlign w:val="bottom"/>
          </w:tcPr>
          <w:p>
            <w:pPr>
              <w:spacing w:after="0"/>
              <w:rPr>
                <w:sz w:val="17"/>
                <w:szCs w:val="17"/>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w w:val="94"/>
              </w:rPr>
              <w:t>1998 (unaudited)...................................................</w:t>
            </w:r>
          </w:p>
        </w:tc>
        <w:tc>
          <w:tcPr>
            <w:tcW w:w="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5</w:t>
            </w:r>
          </w:p>
        </w:tc>
      </w:tr>
      <w:tr>
        <w:trPr>
          <w:trHeight w:val="606"/>
        </w:trPr>
        <w:tc>
          <w:tcPr>
            <w:tcW w:w="8000" w:type="dxa"/>
            <w:vAlign w:val="bottom"/>
          </w:tcPr>
          <w:p>
            <w:pPr>
              <w:ind w:left="960"/>
              <w:spacing w:after="0"/>
              <w:rPr>
                <w:sz w:val="20"/>
                <w:szCs w:val="20"/>
                <w:color w:val="auto"/>
              </w:rPr>
            </w:pPr>
            <w:r>
              <w:rPr>
                <w:rFonts w:ascii="Courier New" w:cs="Courier New" w:eastAsia="Courier New" w:hAnsi="Courier New"/>
                <w:sz w:val="18"/>
                <w:szCs w:val="18"/>
                <w:color w:val="auto"/>
              </w:rPr>
              <w:t>Statements of Cash Flows</w:t>
            </w:r>
          </w:p>
        </w:tc>
        <w:tc>
          <w:tcPr>
            <w:tcW w:w="620" w:type="dxa"/>
            <w:vAlign w:val="bottom"/>
          </w:tcPr>
          <w:p>
            <w:pPr>
              <w:spacing w:after="0"/>
              <w:rPr>
                <w:sz w:val="24"/>
                <w:szCs w:val="24"/>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rPr>
              <w:t>Six Months Ended December 31, 1999 and</w:t>
            </w:r>
          </w:p>
        </w:tc>
        <w:tc>
          <w:tcPr>
            <w:tcW w:w="620" w:type="dxa"/>
            <w:vAlign w:val="bottom"/>
          </w:tcPr>
          <w:p>
            <w:pPr>
              <w:spacing w:after="0"/>
              <w:rPr>
                <w:sz w:val="17"/>
                <w:szCs w:val="17"/>
                <w:color w:val="auto"/>
              </w:rPr>
            </w:pPr>
          </w:p>
        </w:tc>
      </w:tr>
      <w:tr>
        <w:trPr>
          <w:trHeight w:val="202"/>
        </w:trPr>
        <w:tc>
          <w:tcPr>
            <w:tcW w:w="8000" w:type="dxa"/>
            <w:vAlign w:val="bottom"/>
          </w:tcPr>
          <w:p>
            <w:pPr>
              <w:ind w:left="1160"/>
              <w:spacing w:after="0" w:line="202" w:lineRule="exact"/>
              <w:rPr>
                <w:sz w:val="20"/>
                <w:szCs w:val="20"/>
                <w:color w:val="auto"/>
              </w:rPr>
            </w:pPr>
            <w:r>
              <w:rPr>
                <w:rFonts w:ascii="Courier New" w:cs="Courier New" w:eastAsia="Courier New" w:hAnsi="Courier New"/>
                <w:sz w:val="18"/>
                <w:szCs w:val="18"/>
                <w:color w:val="auto"/>
                <w:w w:val="94"/>
              </w:rPr>
              <w:t>1998 (unaudited)...................................................</w:t>
            </w:r>
          </w:p>
        </w:tc>
        <w:tc>
          <w:tcPr>
            <w:tcW w:w="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6</w:t>
            </w:r>
          </w:p>
        </w:tc>
      </w:tr>
      <w:tr>
        <w:trPr>
          <w:trHeight w:val="606"/>
        </w:trPr>
        <w:tc>
          <w:tcPr>
            <w:tcW w:w="8000" w:type="dxa"/>
            <w:vAlign w:val="bottom"/>
          </w:tcPr>
          <w:p>
            <w:pPr>
              <w:ind w:left="960"/>
              <w:spacing w:after="0"/>
              <w:rPr>
                <w:sz w:val="20"/>
                <w:szCs w:val="20"/>
                <w:color w:val="auto"/>
              </w:rPr>
            </w:pPr>
            <w:r>
              <w:rPr>
                <w:rFonts w:ascii="Courier New" w:cs="Courier New" w:eastAsia="Courier New" w:hAnsi="Courier New"/>
                <w:sz w:val="18"/>
                <w:szCs w:val="18"/>
                <w:color w:val="auto"/>
                <w:w w:val="94"/>
              </w:rPr>
              <w:t>Notes to Financial Statements........................................</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r>
      <w:tr>
        <w:trPr>
          <w:trHeight w:val="606"/>
        </w:trPr>
        <w:tc>
          <w:tcPr>
            <w:tcW w:w="8000" w:type="dxa"/>
            <w:vAlign w:val="bottom"/>
          </w:tcPr>
          <w:p>
            <w:pPr>
              <w:ind w:left="220"/>
              <w:spacing w:after="0"/>
              <w:rPr>
                <w:sz w:val="20"/>
                <w:szCs w:val="20"/>
                <w:color w:val="auto"/>
              </w:rPr>
            </w:pPr>
            <w:r>
              <w:rPr>
                <w:rFonts w:ascii="Courier New" w:cs="Courier New" w:eastAsia="Courier New" w:hAnsi="Courier New"/>
                <w:sz w:val="18"/>
                <w:szCs w:val="18"/>
                <w:color w:val="auto"/>
              </w:rPr>
              <w:t>Item 2. Management's Discussion and Analysis of Financial</w:t>
            </w:r>
          </w:p>
        </w:tc>
        <w:tc>
          <w:tcPr>
            <w:tcW w:w="620" w:type="dxa"/>
            <w:vAlign w:val="bottom"/>
          </w:tcPr>
          <w:p>
            <w:pPr>
              <w:spacing w:after="0"/>
              <w:rPr>
                <w:sz w:val="24"/>
                <w:szCs w:val="24"/>
                <w:color w:val="auto"/>
              </w:rPr>
            </w:pPr>
          </w:p>
        </w:tc>
      </w:tr>
      <w:tr>
        <w:trPr>
          <w:trHeight w:val="202"/>
        </w:trPr>
        <w:tc>
          <w:tcPr>
            <w:tcW w:w="8000" w:type="dxa"/>
            <w:vAlign w:val="bottom"/>
          </w:tcPr>
          <w:p>
            <w:pPr>
              <w:ind w:left="960"/>
              <w:spacing w:after="0" w:line="202" w:lineRule="exact"/>
              <w:rPr>
                <w:sz w:val="20"/>
                <w:szCs w:val="20"/>
                <w:color w:val="auto"/>
              </w:rPr>
            </w:pPr>
            <w:r>
              <w:rPr>
                <w:rFonts w:ascii="Courier New" w:cs="Courier New" w:eastAsia="Courier New" w:hAnsi="Courier New"/>
                <w:sz w:val="18"/>
                <w:szCs w:val="18"/>
                <w:color w:val="auto"/>
                <w:w w:val="94"/>
              </w:rPr>
              <w:t>Condition and Results of Operations..................................</w:t>
            </w:r>
          </w:p>
        </w:tc>
        <w:tc>
          <w:tcPr>
            <w:tcW w:w="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11</w:t>
            </w:r>
          </w:p>
        </w:tc>
      </w:tr>
      <w:tr>
        <w:trPr>
          <w:trHeight w:val="808"/>
        </w:trPr>
        <w:tc>
          <w:tcPr>
            <w:tcW w:w="8000" w:type="dxa"/>
            <w:vAlign w:val="bottom"/>
          </w:tcPr>
          <w:p>
            <w:pPr>
              <w:spacing w:after="0"/>
              <w:rPr>
                <w:sz w:val="20"/>
                <w:szCs w:val="20"/>
                <w:color w:val="auto"/>
              </w:rPr>
            </w:pPr>
            <w:r>
              <w:rPr>
                <w:rFonts w:ascii="Courier New" w:cs="Courier New" w:eastAsia="Courier New" w:hAnsi="Courier New"/>
                <w:sz w:val="18"/>
                <w:szCs w:val="18"/>
                <w:color w:val="auto"/>
              </w:rPr>
              <w:t>PART II - OTHER  INFORMATION</w:t>
            </w:r>
          </w:p>
        </w:tc>
        <w:tc>
          <w:tcPr>
            <w:tcW w:w="620" w:type="dxa"/>
            <w:vAlign w:val="bottom"/>
          </w:tcPr>
          <w:p>
            <w:pPr>
              <w:spacing w:after="0"/>
              <w:rPr>
                <w:sz w:val="24"/>
                <w:szCs w:val="24"/>
                <w:color w:val="auto"/>
              </w:rPr>
            </w:pPr>
          </w:p>
        </w:tc>
      </w:tr>
      <w:tr>
        <w:trPr>
          <w:trHeight w:val="404"/>
        </w:trPr>
        <w:tc>
          <w:tcPr>
            <w:tcW w:w="8000" w:type="dxa"/>
            <w:vAlign w:val="bottom"/>
          </w:tcPr>
          <w:p>
            <w:pPr>
              <w:ind w:left="220"/>
              <w:spacing w:after="0"/>
              <w:rPr>
                <w:sz w:val="20"/>
                <w:szCs w:val="20"/>
                <w:color w:val="auto"/>
              </w:rPr>
            </w:pPr>
            <w:r>
              <w:rPr>
                <w:rFonts w:ascii="Courier New" w:cs="Courier New" w:eastAsia="Courier New" w:hAnsi="Courier New"/>
                <w:sz w:val="18"/>
                <w:szCs w:val="18"/>
                <w:color w:val="auto"/>
                <w:w w:val="94"/>
              </w:rPr>
              <w:t>Item 6.  Exhibits and Reports on Form 8-K...................................</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w:t>
            </w:r>
          </w:p>
        </w:tc>
      </w:tr>
      <w:tr>
        <w:trPr>
          <w:trHeight w:val="1010"/>
        </w:trPr>
        <w:tc>
          <w:tcPr>
            <w:tcW w:w="8000" w:type="dxa"/>
            <w:vAlign w:val="bottom"/>
          </w:tcPr>
          <w:p>
            <w:pPr>
              <w:ind w:left="4100"/>
              <w:spacing w:after="0"/>
              <w:rPr>
                <w:sz w:val="20"/>
                <w:szCs w:val="20"/>
                <w:color w:val="auto"/>
              </w:rPr>
            </w:pPr>
            <w:r>
              <w:rPr>
                <w:rFonts w:ascii="Courier New" w:cs="Courier New" w:eastAsia="Courier New" w:hAnsi="Courier New"/>
                <w:sz w:val="18"/>
                <w:szCs w:val="18"/>
                <w:color w:val="auto"/>
              </w:rPr>
              <w:t>2</w:t>
            </w:r>
          </w:p>
        </w:tc>
        <w:tc>
          <w:tcPr>
            <w:tcW w:w="620" w:type="dxa"/>
            <w:vAlign w:val="bottom"/>
          </w:tcPr>
          <w:p>
            <w:pPr>
              <w:spacing w:after="0"/>
              <w:rPr>
                <w:sz w:val="24"/>
                <w:szCs w:val="24"/>
                <w:color w:val="auto"/>
              </w:rPr>
            </w:pPr>
          </w:p>
        </w:tc>
      </w:tr>
    </w:tbl>
    <w:p>
      <w:pPr>
        <w:sectPr>
          <w:pgSz w:w="11900" w:h="16838" w:orient="portrait"/>
          <w:cols w:equalWidth="0" w:num="1">
            <w:col w:w="10139"/>
          </w:cols>
          <w:pgMar w:left="32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(Unaudited)</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(Audited)</w:t>
            </w:r>
          </w:p>
        </w:tc>
      </w:tr>
      <w:tr>
        <w:trPr>
          <w:trHeight w:val="202"/>
        </w:trPr>
        <w:tc>
          <w:tcPr>
            <w:tcW w:w="7460" w:type="dxa"/>
            <w:vAlign w:val="bottom"/>
          </w:tcPr>
          <w:p>
            <w:pPr>
              <w:spacing w:after="0"/>
              <w:rPr>
                <w:sz w:val="17"/>
                <w:szCs w:val="17"/>
                <w:color w:val="auto"/>
              </w:rPr>
            </w:pPr>
          </w:p>
        </w:tc>
        <w:tc>
          <w:tcPr>
            <w:tcW w:w="190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rPr>
              <w:t>December 31,</w:t>
            </w:r>
          </w:p>
        </w:tc>
        <w:tc>
          <w:tcPr>
            <w:tcW w:w="52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w w:val="94"/>
              </w:rPr>
              <w:t>June 30,</w:t>
            </w:r>
          </w:p>
        </w:tc>
      </w:tr>
      <w:tr>
        <w:trPr>
          <w:trHeight w:val="202"/>
        </w:trPr>
        <w:tc>
          <w:tcPr>
            <w:tcW w:w="7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852"/>
              <w:spacing w:after="0" w:line="202" w:lineRule="exact"/>
              <w:rPr>
                <w:sz w:val="20"/>
                <w:szCs w:val="20"/>
                <w:color w:val="auto"/>
              </w:rPr>
            </w:pPr>
            <w:r>
              <w:rPr>
                <w:rFonts w:ascii="Courier New" w:cs="Courier New" w:eastAsia="Courier New" w:hAnsi="Courier New"/>
                <w:sz w:val="18"/>
                <w:szCs w:val="18"/>
                <w:color w:val="auto"/>
              </w:rPr>
              <w:t>1999</w:t>
            </w:r>
          </w:p>
        </w:tc>
        <w:tc>
          <w:tcPr>
            <w:tcW w:w="520" w:type="dxa"/>
            <w:vAlign w:val="bottom"/>
          </w:tcPr>
          <w:p>
            <w:pPr>
              <w:spacing w:after="0"/>
              <w:rPr>
                <w:sz w:val="17"/>
                <w:szCs w:val="17"/>
                <w:color w:val="auto"/>
              </w:rPr>
            </w:pPr>
          </w:p>
        </w:tc>
        <w:tc>
          <w:tcPr>
            <w:tcW w:w="10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1999</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7460" w:type="dxa"/>
            <w:vAlign w:val="bottom"/>
          </w:tcPr>
          <w:p>
            <w:pPr>
              <w:jc w:val="right"/>
              <w:ind w:right="2852"/>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4"/>
        </w:trPr>
        <w:tc>
          <w:tcPr>
            <w:tcW w:w="74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Cash and cash equivalents ........................................</w:t>
            </w:r>
          </w:p>
        </w:tc>
        <w:tc>
          <w:tcPr>
            <w:tcW w:w="22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w w:val="73"/>
              </w:rPr>
              <w:t>$</w:t>
            </w: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4,173,089</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$ 3,922,183</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Accounts receivable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3,174,904</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2,242,294</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Inventory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2,901,939</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2,858,835</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Deferred taxes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115,000</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115,000</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Other current assets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483,623</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143,441</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current assets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10,848,555</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9,281,753</w:t>
            </w:r>
          </w:p>
        </w:tc>
      </w:tr>
      <w:tr>
        <w:trPr>
          <w:trHeight w:val="404"/>
        </w:trPr>
        <w:tc>
          <w:tcPr>
            <w:tcW w:w="7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Property and equipment, net ..........................................</w:t>
            </w:r>
          </w:p>
        </w:tc>
        <w:tc>
          <w:tcPr>
            <w:tcW w:w="22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2,192,408</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2,125,959</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Other assets, net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82,855</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111,702</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7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assets .................................................</w:t>
            </w:r>
          </w:p>
        </w:tc>
        <w:tc>
          <w:tcPr>
            <w:tcW w:w="1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$ 13,123,818</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$11,519,414</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606"/>
        </w:trPr>
        <w:tc>
          <w:tcPr>
            <w:tcW w:w="746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LIABILITIES AND SHAREHOLDERS' EQUITY</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4"/>
        </w:trPr>
        <w:tc>
          <w:tcPr>
            <w:tcW w:w="74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Accounts payable .................................................</w:t>
            </w:r>
          </w:p>
        </w:tc>
        <w:tc>
          <w:tcPr>
            <w:tcW w:w="22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w w:val="73"/>
              </w:rPr>
              <w:t>$</w:t>
            </w: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678,465</w:t>
            </w:r>
          </w:p>
        </w:tc>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725,193</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Accrued compensation and other benefits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461,780</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762,345</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Accrued federal and state income taxes ...........................</w:t>
            </w:r>
          </w:p>
        </w:tc>
        <w:tc>
          <w:tcPr>
            <w:tcW w:w="220" w:type="dxa"/>
            <w:vAlign w:val="bottom"/>
          </w:tcPr>
          <w:p>
            <w:pPr>
              <w:spacing w:after="0"/>
              <w:rPr>
                <w:sz w:val="17"/>
                <w:szCs w:val="17"/>
                <w:color w:val="auto"/>
              </w:rPr>
            </w:pPr>
          </w:p>
        </w:tc>
        <w:tc>
          <w:tcPr>
            <w:tcW w:w="168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(44,913)</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229,087</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Other accrued expenses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618,073</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562,187</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Current portion of capital lease obligations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238,679</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215,854</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current liabilities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1,952,084</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2,494,666</w:t>
            </w:r>
          </w:p>
        </w:tc>
      </w:tr>
      <w:tr>
        <w:trPr>
          <w:trHeight w:val="404"/>
        </w:trPr>
        <w:tc>
          <w:tcPr>
            <w:tcW w:w="7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Capital lease obligations ............................................</w:t>
            </w:r>
          </w:p>
        </w:tc>
        <w:tc>
          <w:tcPr>
            <w:tcW w:w="22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327,526</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455,389</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Deferred tax liability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217,000</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217,000</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liabilities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2,496,610</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3,167,055</w:t>
            </w:r>
          </w:p>
        </w:tc>
      </w:tr>
      <w:tr>
        <w:trPr>
          <w:trHeight w:val="404"/>
        </w:trPr>
        <w:tc>
          <w:tcPr>
            <w:tcW w:w="74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746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Common stock, 50,000,000 shares authorized, par value $.001,</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7460" w:type="dxa"/>
            <w:vAlign w:val="bottom"/>
          </w:tcPr>
          <w:p>
            <w:pPr>
              <w:jc w:val="right"/>
              <w:ind w:right="852"/>
              <w:spacing w:after="0" w:line="202" w:lineRule="exact"/>
              <w:rPr>
                <w:sz w:val="20"/>
                <w:szCs w:val="20"/>
                <w:color w:val="auto"/>
              </w:rPr>
            </w:pPr>
            <w:r>
              <w:rPr>
                <w:rFonts w:ascii="Courier New" w:cs="Courier New" w:eastAsia="Courier New" w:hAnsi="Courier New"/>
                <w:sz w:val="18"/>
                <w:szCs w:val="18"/>
                <w:color w:val="auto"/>
              </w:rPr>
              <w:t>8,229,170 and 8,129,691 shares issued and outstanding at</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December 31, 1999 and June 30, 1999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8,229</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8,130</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Additional paid-in capital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5,167,446</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5,024,858</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Retained earnings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5,451,533</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3,319,371</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4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shareholders' equity ...................................</w:t>
            </w:r>
          </w:p>
        </w:tc>
        <w:tc>
          <w:tcPr>
            <w:tcW w:w="22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10,627,208</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8,352,359</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7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liabilities and shareholders' equity ...................</w:t>
            </w:r>
          </w:p>
        </w:tc>
        <w:tc>
          <w:tcPr>
            <w:tcW w:w="1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$ 13,123,818</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$11,519,414</w:t>
            </w:r>
          </w:p>
        </w:tc>
      </w:tr>
      <w:tr>
        <w:trPr>
          <w:trHeight w:val="202"/>
        </w:trPr>
        <w:tc>
          <w:tcPr>
            <w:tcW w:w="7460" w:type="dxa"/>
            <w:vAlign w:val="bottom"/>
          </w:tcPr>
          <w:p>
            <w:pPr>
              <w:spacing w:after="0"/>
              <w:rPr>
                <w:sz w:val="17"/>
                <w:szCs w:val="17"/>
                <w:color w:val="auto"/>
              </w:rPr>
            </w:pPr>
          </w:p>
        </w:tc>
        <w:tc>
          <w:tcPr>
            <w:tcW w:w="190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940"/>
          </w:cols>
          <w:pgMar w:left="320" w:top="31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940"/>
          </w:cols>
          <w:pgMar w:left="320" w:top="311" w:right="63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r>
      <w:tr>
        <w:trPr>
          <w:trHeight w:val="202"/>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3"/>
          </w:tcPr>
          <w:p>
            <w:pPr>
              <w:jc w:val="right"/>
              <w:ind w:right="752"/>
              <w:spacing w:after="0" w:line="202" w:lineRule="exact"/>
              <w:rPr>
                <w:sz w:val="20"/>
                <w:szCs w:val="20"/>
                <w:color w:val="auto"/>
              </w:rPr>
            </w:pPr>
            <w:r>
              <w:rPr>
                <w:rFonts w:ascii="Courier New" w:cs="Courier New" w:eastAsia="Courier New" w:hAnsi="Courier New"/>
                <w:sz w:val="18"/>
                <w:szCs w:val="18"/>
                <w:color w:val="auto"/>
              </w:rPr>
              <w:t>Three Months Ended</w:t>
            </w:r>
          </w:p>
        </w:tc>
      </w:tr>
      <w:tr>
        <w:trPr>
          <w:trHeight w:val="202"/>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December 31,</w:t>
            </w:r>
          </w:p>
        </w:tc>
        <w:tc>
          <w:tcPr>
            <w:tcW w:w="1060" w:type="dxa"/>
            <w:vAlign w:val="bottom"/>
          </w:tcPr>
          <w:p>
            <w:pPr>
              <w:spacing w:after="0"/>
              <w:rPr>
                <w:sz w:val="17"/>
                <w:szCs w:val="17"/>
                <w:color w:val="auto"/>
              </w:rPr>
            </w:pPr>
          </w:p>
        </w:tc>
      </w:tr>
      <w:tr>
        <w:trPr>
          <w:trHeight w:val="202"/>
        </w:trPr>
        <w:tc>
          <w:tcPr>
            <w:tcW w:w="4940" w:type="dxa"/>
            <w:vAlign w:val="bottom"/>
          </w:tcPr>
          <w:p>
            <w:pPr>
              <w:spacing w:after="0"/>
              <w:rPr>
                <w:sz w:val="17"/>
                <w:szCs w:val="17"/>
                <w:color w:val="auto"/>
              </w:rPr>
            </w:pPr>
          </w:p>
        </w:tc>
        <w:tc>
          <w:tcPr>
            <w:tcW w:w="3480" w:type="dxa"/>
            <w:vAlign w:val="bottom"/>
            <w:gridSpan w:val="4"/>
          </w:tcPr>
          <w:p>
            <w:pPr>
              <w:jc w:val="right"/>
              <w:ind w:right="32"/>
              <w:spacing w:after="0" w:line="202"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872"/>
              <w:spacing w:after="0" w:line="202"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spacing w:after="0"/>
              <w:rPr>
                <w:sz w:val="17"/>
                <w:szCs w:val="17"/>
                <w:color w:val="auto"/>
              </w:rPr>
            </w:pPr>
          </w:p>
        </w:tc>
        <w:tc>
          <w:tcPr>
            <w:tcW w:w="106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1998</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Product sales ................................</w:t>
            </w: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$ 6,114,738</w:t>
            </w:r>
          </w:p>
        </w:tc>
        <w:tc>
          <w:tcPr>
            <w:tcW w:w="16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$ 4,478,778</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Service sales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w w:val="94"/>
              </w:rPr>
              <w:t>1,301,101</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774,699</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net sales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w w:val="94"/>
              </w:rPr>
              <w:t>7,415,839</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4"/>
              </w:rPr>
              <w:t>5,253,477</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Cost of goods sold - products ................</w:t>
            </w:r>
          </w:p>
        </w:tc>
        <w:tc>
          <w:tcPr>
            <w:tcW w:w="32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4"/>
              </w:rPr>
              <w:t>2,262,365</w:t>
            </w:r>
          </w:p>
        </w:tc>
        <w:tc>
          <w:tcPr>
            <w:tcW w:w="6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1,731,335</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Cost of goods sold - services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696,304</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630,829</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cost of goods sold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w w:val="94"/>
              </w:rPr>
              <w:t>2,958,669</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4"/>
              </w:rPr>
              <w:t>2,362,164</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Gross profit .................................</w:t>
            </w:r>
          </w:p>
        </w:tc>
        <w:tc>
          <w:tcPr>
            <w:tcW w:w="32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4"/>
              </w:rPr>
              <w:t>4,457,170</w:t>
            </w:r>
          </w:p>
        </w:tc>
        <w:tc>
          <w:tcPr>
            <w:tcW w:w="6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2,891,313</w:t>
            </w:r>
          </w:p>
        </w:tc>
      </w:tr>
      <w:tr>
        <w:trPr>
          <w:trHeight w:val="4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Marketing and selling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w w:val="94"/>
              </w:rPr>
              <w:t>1,564,876</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4"/>
              </w:rPr>
              <w:t>1,090,110</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General and administrative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750,392</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553,087</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Product development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495,912</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407,406</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operating expense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w w:val="94"/>
              </w:rPr>
              <w:t>2,811,180</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4"/>
              </w:rPr>
              <w:t>2,050,603</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Operating income .....................</w:t>
            </w:r>
          </w:p>
        </w:tc>
        <w:tc>
          <w:tcPr>
            <w:tcW w:w="32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4"/>
              </w:rPr>
              <w:t>1,645,990</w:t>
            </w:r>
          </w:p>
        </w:tc>
        <w:tc>
          <w:tcPr>
            <w:tcW w:w="6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840,710</w:t>
            </w:r>
          </w:p>
        </w:tc>
      </w:tr>
      <w:tr>
        <w:trPr>
          <w:trHeight w:val="4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Interest income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55,361</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35,611</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Interest expense .........................</w:t>
            </w:r>
          </w:p>
        </w:tc>
        <w:tc>
          <w:tcPr>
            <w:tcW w:w="320" w:type="dxa"/>
            <w:vAlign w:val="bottom"/>
          </w:tcPr>
          <w:p>
            <w:pPr>
              <w:spacing w:after="0"/>
              <w:rPr>
                <w:sz w:val="17"/>
                <w:szCs w:val="17"/>
                <w:color w:val="auto"/>
              </w:rPr>
            </w:pPr>
          </w:p>
        </w:tc>
        <w:tc>
          <w:tcPr>
            <w:tcW w:w="148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(17,411)</w:t>
            </w:r>
          </w:p>
        </w:tc>
        <w:tc>
          <w:tcPr>
            <w:tcW w:w="6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(55,830)</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Other, net ...............................</w:t>
            </w:r>
          </w:p>
        </w:tc>
        <w:tc>
          <w:tcPr>
            <w:tcW w:w="320" w:type="dxa"/>
            <w:vAlign w:val="bottom"/>
          </w:tcPr>
          <w:p>
            <w:pPr>
              <w:spacing w:after="0"/>
              <w:rPr>
                <w:sz w:val="17"/>
                <w:szCs w:val="17"/>
                <w:color w:val="auto"/>
              </w:rPr>
            </w:pPr>
          </w:p>
        </w:tc>
        <w:tc>
          <w:tcPr>
            <w:tcW w:w="148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(6,174)</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4,590</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other income (expense) .........</w:t>
            </w:r>
          </w:p>
        </w:tc>
        <w:tc>
          <w:tcPr>
            <w:tcW w:w="32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31,776</w:t>
            </w:r>
          </w:p>
        </w:tc>
        <w:tc>
          <w:tcPr>
            <w:tcW w:w="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(15,629)</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Income before income taxes ...................</w:t>
            </w:r>
          </w:p>
        </w:tc>
        <w:tc>
          <w:tcPr>
            <w:tcW w:w="32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4"/>
              </w:rPr>
              <w:t>1,677,766</w:t>
            </w:r>
          </w:p>
        </w:tc>
        <w:tc>
          <w:tcPr>
            <w:tcW w:w="6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825,081</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Provision for income taxes ...................</w:t>
            </w:r>
          </w:p>
        </w:tc>
        <w:tc>
          <w:tcPr>
            <w:tcW w:w="320" w:type="dxa"/>
            <w:vAlign w:val="bottom"/>
          </w:tcPr>
          <w:p>
            <w:pPr>
              <w:spacing w:after="0"/>
              <w:rPr>
                <w:sz w:val="17"/>
                <w:szCs w:val="17"/>
                <w:color w:val="auto"/>
              </w:rPr>
            </w:pPr>
          </w:p>
        </w:tc>
        <w:tc>
          <w:tcPr>
            <w:tcW w:w="14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626,000</w:t>
            </w:r>
          </w:p>
        </w:tc>
        <w:tc>
          <w:tcPr>
            <w:tcW w:w="6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308,000</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Net income ...........................</w:t>
            </w: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$ 1,051,766</w:t>
            </w:r>
          </w:p>
        </w:tc>
        <w:tc>
          <w:tcPr>
            <w:tcW w:w="6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517,081</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606"/>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earnings per common share ..............</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0.13</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0.06</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Diluted earnings per common share ............</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0.12</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0.06</w:t>
            </w:r>
          </w:p>
        </w:tc>
      </w:tr>
      <w:tr>
        <w:trPr>
          <w:trHeight w:val="202"/>
        </w:trPr>
        <w:tc>
          <w:tcPr>
            <w:tcW w:w="4940" w:type="dxa"/>
            <w:vAlign w:val="bottom"/>
          </w:tcPr>
          <w:p>
            <w:pPr>
              <w:spacing w:after="0"/>
              <w:rPr>
                <w:sz w:val="17"/>
                <w:szCs w:val="17"/>
                <w:color w:val="auto"/>
              </w:rPr>
            </w:pPr>
          </w:p>
        </w:tc>
        <w:tc>
          <w:tcPr>
            <w:tcW w:w="180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139"/>
          </w:cols>
          <w:pgMar w:left="32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311"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r>
      <w:tr>
        <w:trPr>
          <w:trHeight w:val="202"/>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gridSpan w:val="3"/>
          </w:tcPr>
          <w:p>
            <w:pPr>
              <w:jc w:val="right"/>
              <w:ind w:right="872"/>
              <w:spacing w:after="0" w:line="202" w:lineRule="exact"/>
              <w:rPr>
                <w:sz w:val="20"/>
                <w:szCs w:val="20"/>
                <w:color w:val="auto"/>
              </w:rPr>
            </w:pPr>
            <w:r>
              <w:rPr>
                <w:rFonts w:ascii="Courier New" w:cs="Courier New" w:eastAsia="Courier New" w:hAnsi="Courier New"/>
                <w:sz w:val="18"/>
                <w:szCs w:val="18"/>
                <w:color w:val="auto"/>
              </w:rPr>
              <w:t>Six Months Ended</w:t>
            </w:r>
          </w:p>
        </w:tc>
      </w:tr>
      <w:tr>
        <w:trPr>
          <w:trHeight w:val="202"/>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December 31,</w:t>
            </w:r>
          </w:p>
        </w:tc>
        <w:tc>
          <w:tcPr>
            <w:tcW w:w="1160" w:type="dxa"/>
            <w:vAlign w:val="bottom"/>
          </w:tcPr>
          <w:p>
            <w:pPr>
              <w:spacing w:after="0"/>
              <w:rPr>
                <w:sz w:val="17"/>
                <w:szCs w:val="17"/>
                <w:color w:val="auto"/>
              </w:rPr>
            </w:pPr>
          </w:p>
        </w:tc>
      </w:tr>
      <w:tr>
        <w:trPr>
          <w:trHeight w:val="202"/>
        </w:trPr>
        <w:tc>
          <w:tcPr>
            <w:tcW w:w="4740" w:type="dxa"/>
            <w:vAlign w:val="bottom"/>
          </w:tcPr>
          <w:p>
            <w:pPr>
              <w:spacing w:after="0"/>
              <w:rPr>
                <w:sz w:val="17"/>
                <w:szCs w:val="17"/>
                <w:color w:val="auto"/>
              </w:rPr>
            </w:pPr>
          </w:p>
        </w:tc>
        <w:tc>
          <w:tcPr>
            <w:tcW w:w="3680" w:type="dxa"/>
            <w:vAlign w:val="bottom"/>
            <w:gridSpan w:val="4"/>
          </w:tcPr>
          <w:p>
            <w:pPr>
              <w:jc w:val="right"/>
              <w:ind w:right="32"/>
              <w:spacing w:after="0" w:line="202"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852"/>
              <w:spacing w:after="0" w:line="202"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spacing w:after="0"/>
              <w:rPr>
                <w:sz w:val="17"/>
                <w:szCs w:val="17"/>
                <w:color w:val="auto"/>
              </w:rPr>
            </w:pPr>
          </w:p>
        </w:tc>
        <w:tc>
          <w:tcPr>
            <w:tcW w:w="116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1998</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Product sales ..............................</w:t>
            </w:r>
          </w:p>
        </w:tc>
        <w:tc>
          <w:tcPr>
            <w:tcW w:w="18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$ 12,122,283</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9,193,674</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Service sales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2,377,829</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1,557,745</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net sales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14,500,112</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4"/>
              </w:rPr>
              <w:t>10,751,419</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Cost of goods sold - products ..............</w:t>
            </w:r>
          </w:p>
        </w:tc>
        <w:tc>
          <w:tcPr>
            <w:tcW w:w="2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4,363,690</w:t>
            </w:r>
          </w:p>
        </w:tc>
        <w:tc>
          <w:tcPr>
            <w:tcW w:w="6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3,657,240</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Cost of goods sold - services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1,310,597</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1,222,285</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cost of goods sold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5,674,287</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4,879,525</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Gross profit ...............................</w:t>
            </w:r>
          </w:p>
        </w:tc>
        <w:tc>
          <w:tcPr>
            <w:tcW w:w="2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8,825,825</w:t>
            </w:r>
          </w:p>
        </w:tc>
        <w:tc>
          <w:tcPr>
            <w:tcW w:w="6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5,871,894</w:t>
            </w:r>
          </w:p>
        </w:tc>
      </w:tr>
      <w:tr>
        <w:trPr>
          <w:trHeight w:val="4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Marketing and selling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3,036,772</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2,219,290</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General and administrative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1,497,013</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1,188,718</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Product development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956,588</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770,935</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Total operating expense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5,490,373</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4,178,943</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Operating income ...................</w:t>
            </w:r>
          </w:p>
        </w:tc>
        <w:tc>
          <w:tcPr>
            <w:tcW w:w="2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3,335,452</w:t>
            </w:r>
          </w:p>
        </w:tc>
        <w:tc>
          <w:tcPr>
            <w:tcW w:w="6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1,692,951</w:t>
            </w:r>
          </w:p>
        </w:tc>
      </w:tr>
      <w:tr>
        <w:trPr>
          <w:trHeight w:val="4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Interest income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101,129</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44,436</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Interest expense .......................</w:t>
            </w:r>
          </w:p>
        </w:tc>
        <w:tc>
          <w:tcPr>
            <w:tcW w:w="200" w:type="dxa"/>
            <w:vAlign w:val="bottom"/>
          </w:tcPr>
          <w:p>
            <w:pPr>
              <w:spacing w:after="0"/>
              <w:rPr>
                <w:sz w:val="17"/>
                <w:szCs w:val="17"/>
                <w:color w:val="auto"/>
              </w:rPr>
            </w:pPr>
          </w:p>
        </w:tc>
        <w:tc>
          <w:tcPr>
            <w:tcW w:w="168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(35,961)</w:t>
            </w: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(90,290)</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Other, net .............................</w:t>
            </w:r>
          </w:p>
        </w:tc>
        <w:tc>
          <w:tcPr>
            <w:tcW w:w="200" w:type="dxa"/>
            <w:vAlign w:val="bottom"/>
          </w:tcPr>
          <w:p>
            <w:pPr>
              <w:spacing w:after="0"/>
              <w:rPr>
                <w:sz w:val="17"/>
                <w:szCs w:val="17"/>
                <w:color w:val="auto"/>
              </w:rPr>
            </w:pPr>
          </w:p>
        </w:tc>
        <w:tc>
          <w:tcPr>
            <w:tcW w:w="168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(1,458)</w:t>
            </w: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(5,218)</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other income (expense) .......</w:t>
            </w:r>
          </w:p>
        </w:tc>
        <w:tc>
          <w:tcPr>
            <w:tcW w:w="2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63,710</w:t>
            </w: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(51,072)</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Income before income taxes .................</w:t>
            </w:r>
          </w:p>
        </w:tc>
        <w:tc>
          <w:tcPr>
            <w:tcW w:w="2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3,399,162</w:t>
            </w:r>
          </w:p>
        </w:tc>
        <w:tc>
          <w:tcPr>
            <w:tcW w:w="6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1,641,879</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Provision for income taxes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1,267,000</w:t>
            </w:r>
          </w:p>
        </w:tc>
        <w:tc>
          <w:tcPr>
            <w:tcW w:w="6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616,000</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Net income .........................</w:t>
            </w:r>
          </w:p>
        </w:tc>
        <w:tc>
          <w:tcPr>
            <w:tcW w:w="200" w:type="dxa"/>
            <w:vAlign w:val="bottom"/>
          </w:tcPr>
          <w:p>
            <w:pPr>
              <w:spacing w:after="0"/>
              <w:rPr>
                <w:sz w:val="17"/>
                <w:szCs w:val="17"/>
                <w:color w:val="auto"/>
              </w:rPr>
            </w:pPr>
          </w:p>
        </w:tc>
        <w:tc>
          <w:tcPr>
            <w:tcW w:w="168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w w:val="95"/>
              </w:rPr>
              <w:t>$ 2,132,162</w:t>
            </w:r>
          </w:p>
        </w:tc>
        <w:tc>
          <w:tcPr>
            <w:tcW w:w="6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1,025,879</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606"/>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earnings per common share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0.26</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0.13</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Diluted earnings per common share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0.24</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0.12</w:t>
            </w:r>
          </w:p>
        </w:tc>
      </w:tr>
      <w:tr>
        <w:trPr>
          <w:trHeight w:val="202"/>
        </w:trPr>
        <w:tc>
          <w:tcPr>
            <w:tcW w:w="4740" w:type="dxa"/>
            <w:vAlign w:val="bottom"/>
          </w:tcPr>
          <w:p>
            <w:pPr>
              <w:spacing w:after="0"/>
              <w:rPr>
                <w:sz w:val="17"/>
                <w:szCs w:val="17"/>
                <w:color w:val="auto"/>
              </w:rPr>
            </w:pPr>
          </w:p>
        </w:tc>
        <w:tc>
          <w:tcPr>
            <w:tcW w:w="18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139"/>
          </w:cols>
          <w:pgMar w:left="32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311"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(Unaudited)</w:t>
            </w:r>
          </w:p>
        </w:tc>
        <w:tc>
          <w:tcPr>
            <w:tcW w:w="1040" w:type="dxa"/>
            <w:vAlign w:val="bottom"/>
          </w:tcPr>
          <w:p>
            <w:pPr>
              <w:spacing w:after="0"/>
              <w:rPr>
                <w:sz w:val="17"/>
                <w:szCs w:val="17"/>
                <w:color w:val="auto"/>
              </w:rPr>
            </w:pPr>
          </w:p>
        </w:tc>
      </w:tr>
      <w:tr>
        <w:trPr>
          <w:trHeight w:val="202"/>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3"/>
          </w:tcPr>
          <w:p>
            <w:pPr>
              <w:jc w:val="right"/>
              <w:ind w:right="852"/>
              <w:spacing w:after="0" w:line="202" w:lineRule="exact"/>
              <w:rPr>
                <w:sz w:val="20"/>
                <w:szCs w:val="20"/>
                <w:color w:val="auto"/>
              </w:rPr>
            </w:pPr>
            <w:r>
              <w:rPr>
                <w:rFonts w:ascii="Courier New" w:cs="Courier New" w:eastAsia="Courier New" w:hAnsi="Courier New"/>
                <w:sz w:val="18"/>
                <w:szCs w:val="18"/>
                <w:color w:val="auto"/>
              </w:rPr>
              <w:t>Six Months Ended</w:t>
            </w:r>
          </w:p>
        </w:tc>
      </w:tr>
      <w:tr>
        <w:trPr>
          <w:trHeight w:val="202"/>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December 31,</w:t>
            </w:r>
          </w:p>
        </w:tc>
        <w:tc>
          <w:tcPr>
            <w:tcW w:w="1040" w:type="dxa"/>
            <w:vAlign w:val="bottom"/>
          </w:tcPr>
          <w:p>
            <w:pPr>
              <w:spacing w:after="0"/>
              <w:rPr>
                <w:sz w:val="17"/>
                <w:szCs w:val="17"/>
                <w:color w:val="auto"/>
              </w:rPr>
            </w:pPr>
          </w:p>
        </w:tc>
      </w:tr>
      <w:tr>
        <w:trPr>
          <w:trHeight w:val="202"/>
        </w:trPr>
        <w:tc>
          <w:tcPr>
            <w:tcW w:w="6420" w:type="dxa"/>
            <w:vAlign w:val="bottom"/>
          </w:tcPr>
          <w:p>
            <w:pPr>
              <w:spacing w:after="0"/>
              <w:rPr>
                <w:sz w:val="17"/>
                <w:szCs w:val="17"/>
                <w:color w:val="auto"/>
              </w:rPr>
            </w:pPr>
          </w:p>
        </w:tc>
        <w:tc>
          <w:tcPr>
            <w:tcW w:w="3460" w:type="dxa"/>
            <w:vAlign w:val="bottom"/>
            <w:gridSpan w:val="4"/>
          </w:tcPr>
          <w:p>
            <w:pPr>
              <w:jc w:val="right"/>
              <w:ind w:right="12"/>
              <w:spacing w:after="0" w:line="202"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752"/>
              <w:spacing w:after="0" w:line="202"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spacing w:after="0"/>
              <w:rPr>
                <w:sz w:val="17"/>
                <w:szCs w:val="17"/>
                <w:color w:val="auto"/>
              </w:rPr>
            </w:pPr>
          </w:p>
        </w:tc>
        <w:tc>
          <w:tcPr>
            <w:tcW w:w="10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1998</w:t>
            </w:r>
          </w:p>
        </w:tc>
      </w:tr>
      <w:tr>
        <w:trPr>
          <w:trHeight w:val="202"/>
        </w:trPr>
        <w:tc>
          <w:tcPr>
            <w:tcW w:w="6420" w:type="dxa"/>
            <w:vAlign w:val="bottom"/>
          </w:tcPr>
          <w:p>
            <w:pPr>
              <w:spacing w:after="0"/>
              <w:rPr>
                <w:sz w:val="17"/>
                <w:szCs w:val="17"/>
                <w:color w:val="auto"/>
              </w:rPr>
            </w:pP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Net income .............................................</w:t>
            </w: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$ 2,132,162</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$ 1,025,879</w:t>
            </w:r>
          </w:p>
        </w:tc>
      </w:tr>
      <w:tr>
        <w:trPr>
          <w:trHeight w:val="202"/>
        </w:trPr>
        <w:tc>
          <w:tcPr>
            <w:tcW w:w="6420" w:type="dxa"/>
            <w:vAlign w:val="bottom"/>
          </w:tcPr>
          <w:p>
            <w:pPr>
              <w:jc w:val="right"/>
              <w:ind w:right="972"/>
              <w:spacing w:after="0" w:line="202"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6420" w:type="dxa"/>
            <w:vAlign w:val="bottom"/>
          </w:tcPr>
          <w:p>
            <w:pPr>
              <w:jc w:val="right"/>
              <w:ind w:right="2232"/>
              <w:spacing w:after="0" w:line="202"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6420" w:type="dxa"/>
            <w:vAlign w:val="bottom"/>
          </w:tcPr>
          <w:p>
            <w:pPr>
              <w:ind w:left="840"/>
              <w:spacing w:after="0" w:line="202" w:lineRule="exact"/>
              <w:rPr>
                <w:sz w:val="20"/>
                <w:szCs w:val="20"/>
                <w:color w:val="auto"/>
              </w:rPr>
            </w:pPr>
            <w:r>
              <w:rPr>
                <w:rFonts w:ascii="Courier New" w:cs="Courier New" w:eastAsia="Courier New" w:hAnsi="Courier New"/>
                <w:sz w:val="18"/>
                <w:szCs w:val="18"/>
                <w:color w:val="auto"/>
              </w:rPr>
              <w:t>Depreciation and amortization of property and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equipment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362,954</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376,402</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Amortization of other assets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7,508</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10,916</w:t>
            </w:r>
          </w:p>
        </w:tc>
      </w:tr>
      <w:tr>
        <w:trPr>
          <w:trHeight w:val="202"/>
        </w:trPr>
        <w:tc>
          <w:tcPr>
            <w:tcW w:w="6420" w:type="dxa"/>
            <w:vAlign w:val="bottom"/>
          </w:tcPr>
          <w:p>
            <w:pPr>
              <w:ind w:left="840"/>
              <w:spacing w:after="0" w:line="202"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Accounts receivable .............................</w:t>
            </w:r>
          </w:p>
        </w:tc>
        <w:tc>
          <w:tcPr>
            <w:tcW w:w="320" w:type="dxa"/>
            <w:vAlign w:val="bottom"/>
          </w:tcPr>
          <w:p>
            <w:pPr>
              <w:spacing w:after="0"/>
              <w:rPr>
                <w:sz w:val="17"/>
                <w:szCs w:val="17"/>
                <w:color w:val="auto"/>
              </w:rPr>
            </w:pP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(932,610)</w:t>
            </w: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(758,345)</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Inventory .......................................</w:t>
            </w:r>
          </w:p>
        </w:tc>
        <w:tc>
          <w:tcPr>
            <w:tcW w:w="320" w:type="dxa"/>
            <w:vAlign w:val="bottom"/>
          </w:tcPr>
          <w:p>
            <w:pPr>
              <w:spacing w:after="0"/>
              <w:rPr>
                <w:sz w:val="17"/>
                <w:szCs w:val="17"/>
                <w:color w:val="auto"/>
              </w:rPr>
            </w:pP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(43,104)</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932,808</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Other current assets ............................</w:t>
            </w:r>
          </w:p>
        </w:tc>
        <w:tc>
          <w:tcPr>
            <w:tcW w:w="320" w:type="dxa"/>
            <w:vAlign w:val="bottom"/>
          </w:tcPr>
          <w:p>
            <w:pPr>
              <w:spacing w:after="0"/>
              <w:rPr>
                <w:sz w:val="17"/>
                <w:szCs w:val="17"/>
                <w:color w:val="auto"/>
              </w:rPr>
            </w:pP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(340,182)</w:t>
            </w: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(112,088)</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Accounts payable and other accrued expenses .....</w:t>
            </w:r>
          </w:p>
        </w:tc>
        <w:tc>
          <w:tcPr>
            <w:tcW w:w="320" w:type="dxa"/>
            <w:vAlign w:val="bottom"/>
          </w:tcPr>
          <w:p>
            <w:pPr>
              <w:spacing w:after="0"/>
              <w:rPr>
                <w:sz w:val="17"/>
                <w:szCs w:val="17"/>
                <w:color w:val="auto"/>
              </w:rPr>
            </w:pP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(565,407)</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572,778</w:t>
            </w:r>
          </w:p>
        </w:tc>
      </w:tr>
      <w:tr>
        <w:trPr>
          <w:trHeight w:val="202"/>
        </w:trPr>
        <w:tc>
          <w:tcPr>
            <w:tcW w:w="6420" w:type="dxa"/>
            <w:vAlign w:val="bottom"/>
          </w:tcPr>
          <w:p>
            <w:pPr>
              <w:spacing w:after="0"/>
              <w:rPr>
                <w:sz w:val="17"/>
                <w:szCs w:val="17"/>
                <w:color w:val="auto"/>
              </w:rPr>
            </w:pP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cash provided by operating activities .......</w:t>
            </w:r>
          </w:p>
        </w:tc>
        <w:tc>
          <w:tcPr>
            <w:tcW w:w="320" w:type="dxa"/>
            <w:vAlign w:val="bottom"/>
          </w:tcPr>
          <w:p>
            <w:pPr>
              <w:spacing w:after="0"/>
              <w:rPr>
                <w:sz w:val="24"/>
                <w:szCs w:val="24"/>
                <w:color w:val="auto"/>
              </w:rPr>
            </w:pP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621,321</w:t>
            </w:r>
          </w:p>
        </w:tc>
        <w:tc>
          <w:tcPr>
            <w:tcW w:w="6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2,048,350</w:t>
            </w:r>
          </w:p>
        </w:tc>
      </w:tr>
      <w:tr>
        <w:trPr>
          <w:trHeight w:val="404"/>
        </w:trPr>
        <w:tc>
          <w:tcPr>
            <w:tcW w:w="64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Purchases of property and equipment ....................</w:t>
            </w:r>
          </w:p>
        </w:tc>
        <w:tc>
          <w:tcPr>
            <w:tcW w:w="320" w:type="dxa"/>
            <w:vAlign w:val="bottom"/>
          </w:tcPr>
          <w:p>
            <w:pPr>
              <w:spacing w:after="0"/>
              <w:rPr>
                <w:sz w:val="17"/>
                <w:szCs w:val="17"/>
                <w:color w:val="auto"/>
              </w:rPr>
            </w:pP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(429,403)</w:t>
            </w: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(282,348)</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Repayment of note receivable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21,339</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10,277</w:t>
            </w:r>
          </w:p>
        </w:tc>
      </w:tr>
      <w:tr>
        <w:trPr>
          <w:trHeight w:val="202"/>
        </w:trPr>
        <w:tc>
          <w:tcPr>
            <w:tcW w:w="6420" w:type="dxa"/>
            <w:vAlign w:val="bottom"/>
          </w:tcPr>
          <w:p>
            <w:pPr>
              <w:spacing w:after="0"/>
              <w:rPr>
                <w:sz w:val="17"/>
                <w:szCs w:val="17"/>
                <w:color w:val="auto"/>
              </w:rPr>
            </w:pP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cash used in investing activities ...........</w:t>
            </w:r>
          </w:p>
        </w:tc>
        <w:tc>
          <w:tcPr>
            <w:tcW w:w="32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(408,064)</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(272,071)</w:t>
            </w:r>
          </w:p>
        </w:tc>
      </w:tr>
      <w:tr>
        <w:trPr>
          <w:trHeight w:val="404"/>
        </w:trPr>
        <w:tc>
          <w:tcPr>
            <w:tcW w:w="64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Proceeds from issuance of common stock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41,746</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2,073</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Exercise of employee stock options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100,941</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317,040</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Principal payments of capital lease obligations ........</w:t>
            </w:r>
          </w:p>
        </w:tc>
        <w:tc>
          <w:tcPr>
            <w:tcW w:w="320" w:type="dxa"/>
            <w:vAlign w:val="bottom"/>
          </w:tcPr>
          <w:p>
            <w:pPr>
              <w:spacing w:after="0"/>
              <w:rPr>
                <w:sz w:val="17"/>
                <w:szCs w:val="17"/>
                <w:color w:val="auto"/>
              </w:rPr>
            </w:pP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(105,038)</w:t>
            </w: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(104,569)</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Principal payments of long-term debt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(138,743)</w:t>
            </w:r>
          </w:p>
        </w:tc>
      </w:tr>
      <w:tr>
        <w:trPr>
          <w:trHeight w:val="202"/>
        </w:trPr>
        <w:tc>
          <w:tcPr>
            <w:tcW w:w="6420" w:type="dxa"/>
            <w:vAlign w:val="bottom"/>
          </w:tcPr>
          <w:p>
            <w:pPr>
              <w:spacing w:after="0"/>
              <w:rPr>
                <w:sz w:val="17"/>
                <w:szCs w:val="17"/>
                <w:color w:val="auto"/>
              </w:rPr>
            </w:pP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cash provided by financing activities .......</w:t>
            </w:r>
          </w:p>
        </w:tc>
        <w:tc>
          <w:tcPr>
            <w:tcW w:w="320" w:type="dxa"/>
            <w:vAlign w:val="bottom"/>
          </w:tcPr>
          <w:p>
            <w:pPr>
              <w:spacing w:after="0"/>
              <w:rPr>
                <w:sz w:val="24"/>
                <w:szCs w:val="24"/>
                <w:color w:val="auto"/>
              </w:rPr>
            </w:pP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37,649</w:t>
            </w:r>
          </w:p>
        </w:tc>
        <w:tc>
          <w:tcPr>
            <w:tcW w:w="6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75,801</w:t>
            </w:r>
          </w:p>
        </w:tc>
      </w:tr>
      <w:tr>
        <w:trPr>
          <w:trHeight w:val="404"/>
        </w:trPr>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Net increase in cash .......................................</w:t>
            </w:r>
          </w:p>
        </w:tc>
        <w:tc>
          <w:tcPr>
            <w:tcW w:w="320" w:type="dxa"/>
            <w:vAlign w:val="bottom"/>
          </w:tcPr>
          <w:p>
            <w:pPr>
              <w:spacing w:after="0"/>
              <w:rPr>
                <w:sz w:val="24"/>
                <w:szCs w:val="24"/>
                <w:color w:val="auto"/>
              </w:rPr>
            </w:pP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250,906</w:t>
            </w:r>
          </w:p>
        </w:tc>
        <w:tc>
          <w:tcPr>
            <w:tcW w:w="6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1,852,080</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Cash at the beginning of the year ..........................</w:t>
            </w:r>
          </w:p>
        </w:tc>
        <w:tc>
          <w:tcPr>
            <w:tcW w:w="320" w:type="dxa"/>
            <w:vAlign w:val="bottom"/>
          </w:tcPr>
          <w:p>
            <w:pPr>
              <w:spacing w:after="0"/>
              <w:rPr>
                <w:sz w:val="17"/>
                <w:szCs w:val="17"/>
                <w:color w:val="auto"/>
              </w:rPr>
            </w:pPr>
          </w:p>
        </w:tc>
        <w:tc>
          <w:tcPr>
            <w:tcW w:w="14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w w:val="94"/>
              </w:rPr>
              <w:t>3,922,183</w:t>
            </w: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715,325</w:t>
            </w:r>
          </w:p>
        </w:tc>
      </w:tr>
      <w:tr>
        <w:trPr>
          <w:trHeight w:val="202"/>
        </w:trPr>
        <w:tc>
          <w:tcPr>
            <w:tcW w:w="6420" w:type="dxa"/>
            <w:vAlign w:val="bottom"/>
          </w:tcPr>
          <w:p>
            <w:pPr>
              <w:spacing w:after="0"/>
              <w:rPr>
                <w:sz w:val="17"/>
                <w:szCs w:val="17"/>
                <w:color w:val="auto"/>
              </w:rPr>
            </w:pP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Cash at the end of the period ..............................</w:t>
            </w:r>
          </w:p>
        </w:tc>
        <w:tc>
          <w:tcPr>
            <w:tcW w:w="17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$ 4,173,089</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$ 2,567,405</w:t>
            </w:r>
          </w:p>
        </w:tc>
      </w:tr>
      <w:tr>
        <w:trPr>
          <w:trHeight w:val="202"/>
        </w:trPr>
        <w:tc>
          <w:tcPr>
            <w:tcW w:w="6420" w:type="dxa"/>
            <w:vAlign w:val="bottom"/>
          </w:tcPr>
          <w:p>
            <w:pPr>
              <w:spacing w:after="0"/>
              <w:rPr>
                <w:sz w:val="17"/>
                <w:szCs w:val="17"/>
                <w:color w:val="auto"/>
              </w:rPr>
            </w:pPr>
          </w:p>
        </w:tc>
        <w:tc>
          <w:tcPr>
            <w:tcW w:w="1780" w:type="dxa"/>
            <w:vAlign w:val="bottom"/>
            <w:gridSpan w:val="2"/>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Income taxes paid ...............................</w:t>
            </w:r>
          </w:p>
        </w:tc>
        <w:tc>
          <w:tcPr>
            <w:tcW w:w="1780" w:type="dxa"/>
            <w:vAlign w:val="bottom"/>
            <w:gridSpan w:val="2"/>
          </w:tcPr>
          <w:p>
            <w:pPr>
              <w:jc w:val="right"/>
              <w:ind w:right="332"/>
              <w:spacing w:after="0" w:line="202" w:lineRule="exact"/>
              <w:rPr>
                <w:sz w:val="20"/>
                <w:szCs w:val="20"/>
                <w:color w:val="auto"/>
              </w:rPr>
            </w:pPr>
            <w:r>
              <w:rPr>
                <w:rFonts w:ascii="Courier New" w:cs="Courier New" w:eastAsia="Courier New" w:hAnsi="Courier New"/>
                <w:sz w:val="18"/>
                <w:szCs w:val="18"/>
                <w:color w:val="auto"/>
              </w:rPr>
              <w:t>$(1,541,000)</w:t>
            </w:r>
          </w:p>
        </w:tc>
        <w:tc>
          <w:tcPr>
            <w:tcW w:w="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(93,800)</w:t>
            </w:r>
          </w:p>
        </w:tc>
      </w:tr>
      <w:tr>
        <w:trPr>
          <w:trHeight w:val="202"/>
        </w:trPr>
        <w:tc>
          <w:tcPr>
            <w:tcW w:w="64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Interest paid ...................................</w:t>
            </w:r>
          </w:p>
        </w:tc>
        <w:tc>
          <w:tcPr>
            <w:tcW w:w="32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(35,768)</w:t>
            </w:r>
          </w:p>
        </w:tc>
        <w:tc>
          <w:tcPr>
            <w:tcW w:w="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(93,018)</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139"/>
          </w:cols>
          <w:pgMar w:left="32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311" w:right="1440" w:bottom="1440" w:gutter="0" w:footer="0" w:header="0"/>
          <w:type w:val="continuous"/>
        </w:sectPr>
      </w:pPr>
    </w:p>
    <w:bookmarkStart w:id="6" w:name="page7"/>
    <w:bookmarkEnd w:id="6"/>
    <w:p>
      <w:pPr>
        <w:spacing w:after="0" w:line="2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8"/>
          <w:szCs w:val="18"/>
          <w:color w:val="auto"/>
        </w:rPr>
        <w:t>NOTES TO FINANCIAL STATEMENTS</w:t>
      </w:r>
    </w:p>
    <w:p>
      <w:pPr>
        <w:jc w:val="center"/>
        <w:ind w:right="2820"/>
        <w:spacing w:after="0" w:line="237" w:lineRule="auto"/>
        <w:rPr>
          <w:sz w:val="20"/>
          <w:szCs w:val="20"/>
          <w:color w:val="auto"/>
        </w:rPr>
      </w:pPr>
      <w:r>
        <w:rPr>
          <w:rFonts w:ascii="Courier New" w:cs="Courier New" w:eastAsia="Courier New" w:hAnsi="Courier New"/>
          <w:sz w:val="18"/>
          <w:szCs w:val="18"/>
          <w:color w:val="auto"/>
        </w:rPr>
        <w:t>DECEMBER 31, 1999</w:t>
      </w:r>
    </w:p>
    <w:p>
      <w:pPr>
        <w:jc w:val="center"/>
        <w:ind w:right="282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6" w:lineRule="exact"/>
        <w:rPr>
          <w:sz w:val="20"/>
          <w:szCs w:val="20"/>
          <w:color w:val="auto"/>
        </w:rPr>
      </w:pPr>
    </w:p>
    <w:p>
      <w:pPr>
        <w:ind w:right="2920"/>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1999 Annual Report and Form 10-KSB.</w:t>
      </w:r>
    </w:p>
    <w:p>
      <w:pPr>
        <w:spacing w:after="0" w:line="184" w:lineRule="exact"/>
        <w:rPr>
          <w:sz w:val="20"/>
          <w:szCs w:val="20"/>
          <w:color w:val="auto"/>
        </w:rPr>
      </w:pPr>
    </w:p>
    <w:p>
      <w:pPr>
        <w:ind w:right="3040"/>
        <w:spacing w:after="0" w:line="274"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7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6" w:lineRule="exact"/>
        <w:rPr>
          <w:sz w:val="20"/>
          <w:szCs w:val="20"/>
          <w:color w:val="auto"/>
        </w:rPr>
      </w:pPr>
    </w:p>
    <w:p>
      <w:pPr>
        <w:ind w:right="3140"/>
        <w:spacing w:after="0" w:line="235" w:lineRule="auto"/>
        <w:rPr>
          <w:sz w:val="20"/>
          <w:szCs w:val="20"/>
          <w:color w:val="auto"/>
        </w:rPr>
      </w:pPr>
      <w:r>
        <w:rPr>
          <w:rFonts w:ascii="Courier New" w:cs="Courier New" w:eastAsia="Courier New" w:hAnsi="Courier New"/>
          <w:sz w:val="18"/>
          <w:szCs w:val="18"/>
          <w:color w:val="auto"/>
        </w:rPr>
        <w:t>The following tables set forth the computation of basic and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0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ended</w:t>
            </w:r>
          </w:p>
        </w:tc>
      </w:tr>
      <w:tr>
        <w:trPr>
          <w:trHeight w:val="202"/>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3"/>
          </w:tcPr>
          <w:p>
            <w:pPr>
              <w:jc w:val="right"/>
              <w:ind w:right="632"/>
              <w:spacing w:after="0" w:line="202" w:lineRule="exact"/>
              <w:rPr>
                <w:sz w:val="20"/>
                <w:szCs w:val="20"/>
                <w:color w:val="auto"/>
              </w:rPr>
            </w:pPr>
            <w:r>
              <w:rPr>
                <w:rFonts w:ascii="Courier New" w:cs="Courier New" w:eastAsia="Courier New" w:hAnsi="Courier New"/>
                <w:sz w:val="18"/>
                <w:szCs w:val="18"/>
                <w:color w:val="auto"/>
              </w:rPr>
              <w:t>December 31,</w:t>
            </w:r>
          </w:p>
        </w:tc>
      </w:tr>
      <w:tr>
        <w:trPr>
          <w:trHeight w:val="202"/>
        </w:trPr>
        <w:tc>
          <w:tcPr>
            <w:tcW w:w="8300" w:type="dxa"/>
            <w:vAlign w:val="bottom"/>
          </w:tcPr>
          <w:p>
            <w:pPr>
              <w:spacing w:after="0"/>
              <w:rPr>
                <w:sz w:val="17"/>
                <w:szCs w:val="17"/>
                <w:color w:val="auto"/>
              </w:rPr>
            </w:pPr>
          </w:p>
        </w:tc>
        <w:tc>
          <w:tcPr>
            <w:tcW w:w="304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ind w:right="1032"/>
              <w:spacing w:after="0" w:line="202" w:lineRule="exact"/>
              <w:rPr>
                <w:sz w:val="20"/>
                <w:szCs w:val="20"/>
                <w:color w:val="auto"/>
              </w:rPr>
            </w:pPr>
            <w:r>
              <w:rPr>
                <w:rFonts w:ascii="Courier New" w:cs="Courier New" w:eastAsia="Courier New" w:hAnsi="Courier New"/>
                <w:sz w:val="18"/>
                <w:szCs w:val="18"/>
                <w:color w:val="auto"/>
              </w:rPr>
              <w:t>1999</w:t>
            </w:r>
          </w:p>
        </w:tc>
        <w:tc>
          <w:tcPr>
            <w:tcW w:w="140" w:type="dxa"/>
            <w:vAlign w:val="bottom"/>
          </w:tcPr>
          <w:p>
            <w:pPr>
              <w:spacing w:after="0"/>
              <w:rPr>
                <w:sz w:val="17"/>
                <w:szCs w:val="17"/>
                <w:color w:val="auto"/>
              </w:rPr>
            </w:pPr>
          </w:p>
        </w:tc>
        <w:tc>
          <w:tcPr>
            <w:tcW w:w="940" w:type="dxa"/>
            <w:vAlign w:val="bottom"/>
          </w:tcPr>
          <w:p>
            <w:pPr>
              <w:jc w:val="right"/>
              <w:ind w:right="212"/>
              <w:spacing w:after="0" w:line="202" w:lineRule="exact"/>
              <w:rPr>
                <w:sz w:val="20"/>
                <w:szCs w:val="20"/>
                <w:color w:val="auto"/>
              </w:rPr>
            </w:pPr>
            <w:r>
              <w:rPr>
                <w:rFonts w:ascii="Courier New" w:cs="Courier New" w:eastAsia="Courier New" w:hAnsi="Courier New"/>
                <w:sz w:val="18"/>
                <w:szCs w:val="18"/>
                <w:color w:val="auto"/>
              </w:rPr>
              <w:t>1998</w:t>
            </w:r>
          </w:p>
        </w:tc>
      </w:tr>
      <w:tr>
        <w:trPr>
          <w:trHeight w:val="202"/>
        </w:trPr>
        <w:tc>
          <w:tcPr>
            <w:tcW w:w="8300" w:type="dxa"/>
            <w:vAlign w:val="bottom"/>
          </w:tcPr>
          <w:p>
            <w:pPr>
              <w:spacing w:after="0"/>
              <w:rPr>
                <w:sz w:val="17"/>
                <w:szCs w:val="17"/>
                <w:color w:val="auto"/>
              </w:rPr>
            </w:pPr>
          </w:p>
        </w:tc>
        <w:tc>
          <w:tcPr>
            <w:tcW w:w="1960" w:type="dxa"/>
            <w:vAlign w:val="bottom"/>
            <w:gridSpan w:val="2"/>
          </w:tcPr>
          <w:p>
            <w:pPr>
              <w:jc w:val="right"/>
              <w:ind w:right="712"/>
              <w:spacing w:after="0" w:line="202" w:lineRule="exact"/>
              <w:rPr>
                <w:sz w:val="20"/>
                <w:szCs w:val="20"/>
                <w:color w:val="auto"/>
              </w:rPr>
            </w:pPr>
            <w:r>
              <w:rPr>
                <w:rFonts w:ascii="Courier New" w:cs="Courier New" w:eastAsia="Courier New" w:hAnsi="Courier New"/>
                <w:sz w:val="18"/>
                <w:szCs w:val="18"/>
                <w:color w:val="auto"/>
              </w:rPr>
              <w:t>----------</w:t>
            </w:r>
          </w:p>
        </w:tc>
        <w:tc>
          <w:tcPr>
            <w:tcW w:w="10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w:t>
            </w:r>
          </w:p>
        </w:tc>
      </w:tr>
      <w:tr>
        <w:trPr>
          <w:trHeight w:val="404"/>
        </w:trPr>
        <w:tc>
          <w:tcPr>
            <w:tcW w:w="830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8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Net income ...............................................................</w:t>
            </w:r>
          </w:p>
        </w:tc>
        <w:tc>
          <w:tcPr>
            <w:tcW w:w="1960" w:type="dxa"/>
            <w:vAlign w:val="bottom"/>
            <w:gridSpan w:val="2"/>
          </w:tcPr>
          <w:p>
            <w:pPr>
              <w:jc w:val="right"/>
              <w:ind w:right="712"/>
              <w:spacing w:after="0" w:line="202" w:lineRule="exact"/>
              <w:rPr>
                <w:sz w:val="20"/>
                <w:szCs w:val="20"/>
                <w:color w:val="auto"/>
              </w:rPr>
            </w:pPr>
            <w:r>
              <w:rPr>
                <w:rFonts w:ascii="Courier New" w:cs="Courier New" w:eastAsia="Courier New" w:hAnsi="Courier New"/>
                <w:sz w:val="18"/>
                <w:szCs w:val="18"/>
                <w:color w:val="auto"/>
              </w:rPr>
              <w:t>$1,051,766</w:t>
            </w:r>
          </w:p>
        </w:tc>
        <w:tc>
          <w:tcPr>
            <w:tcW w:w="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517,081</w:t>
            </w:r>
          </w:p>
        </w:tc>
      </w:tr>
      <w:tr>
        <w:trPr>
          <w:trHeight w:val="202"/>
        </w:trPr>
        <w:tc>
          <w:tcPr>
            <w:tcW w:w="8300" w:type="dxa"/>
            <w:vAlign w:val="bottom"/>
          </w:tcPr>
          <w:p>
            <w:pPr>
              <w:spacing w:after="0"/>
              <w:rPr>
                <w:sz w:val="17"/>
                <w:szCs w:val="17"/>
                <w:color w:val="auto"/>
              </w:rPr>
            </w:pPr>
          </w:p>
        </w:tc>
        <w:tc>
          <w:tcPr>
            <w:tcW w:w="1960" w:type="dxa"/>
            <w:vAlign w:val="bottom"/>
            <w:gridSpan w:val="2"/>
          </w:tcPr>
          <w:p>
            <w:pPr>
              <w:jc w:val="right"/>
              <w:ind w:right="712"/>
              <w:spacing w:after="0" w:line="202" w:lineRule="exact"/>
              <w:rPr>
                <w:sz w:val="20"/>
                <w:szCs w:val="20"/>
                <w:color w:val="auto"/>
              </w:rPr>
            </w:pPr>
            <w:r>
              <w:rPr>
                <w:rFonts w:ascii="Courier New" w:cs="Courier New" w:eastAsia="Courier New" w:hAnsi="Courier New"/>
                <w:sz w:val="18"/>
                <w:szCs w:val="18"/>
                <w:color w:val="auto"/>
              </w:rPr>
              <w:t>==========</w:t>
            </w:r>
          </w:p>
        </w:tc>
        <w:tc>
          <w:tcPr>
            <w:tcW w:w="10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8300" w:type="dxa"/>
            <w:vAlign w:val="bottom"/>
          </w:tcPr>
          <w:p>
            <w:pPr>
              <w:spacing w:after="0" w:line="202" w:lineRule="exact"/>
              <w:rPr>
                <w:sz w:val="20"/>
                <w:szCs w:val="20"/>
                <w:color w:val="auto"/>
              </w:rPr>
            </w:pPr>
            <w:r>
              <w:rPr>
                <w:rFonts w:ascii="Courier New" w:cs="Courier New" w:eastAsia="Courier New" w:hAnsi="Courier New"/>
                <w:sz w:val="18"/>
                <w:szCs w:val="18"/>
                <w:color w:val="auto"/>
              </w:rPr>
              <w:t>Denominator:</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8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Denominator for basic net income per share - weighted average shares .....</w:t>
            </w:r>
          </w:p>
        </w:tc>
        <w:tc>
          <w:tcPr>
            <w:tcW w:w="220" w:type="dxa"/>
            <w:vAlign w:val="bottom"/>
          </w:tcPr>
          <w:p>
            <w:pPr>
              <w:spacing w:after="0"/>
              <w:rPr>
                <w:sz w:val="17"/>
                <w:szCs w:val="17"/>
                <w:color w:val="auto"/>
              </w:rPr>
            </w:pPr>
          </w:p>
        </w:tc>
        <w:tc>
          <w:tcPr>
            <w:tcW w:w="1740" w:type="dxa"/>
            <w:vAlign w:val="bottom"/>
          </w:tcPr>
          <w:p>
            <w:pPr>
              <w:jc w:val="right"/>
              <w:ind w:right="712"/>
              <w:spacing w:after="0" w:line="202" w:lineRule="exact"/>
              <w:rPr>
                <w:sz w:val="20"/>
                <w:szCs w:val="20"/>
                <w:color w:val="auto"/>
              </w:rPr>
            </w:pPr>
            <w:r>
              <w:rPr>
                <w:rFonts w:ascii="Courier New" w:cs="Courier New" w:eastAsia="Courier New" w:hAnsi="Courier New"/>
                <w:sz w:val="18"/>
                <w:szCs w:val="18"/>
                <w:color w:val="auto"/>
                <w:w w:val="94"/>
              </w:rPr>
              <w:t>8,218,818</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8,122,593</w:t>
            </w:r>
          </w:p>
        </w:tc>
      </w:tr>
      <w:tr>
        <w:trPr>
          <w:trHeight w:val="202"/>
        </w:trPr>
        <w:tc>
          <w:tcPr>
            <w:tcW w:w="8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Effect of dilutive securities using treasury stock method ................</w:t>
            </w:r>
          </w:p>
        </w:tc>
        <w:tc>
          <w:tcPr>
            <w:tcW w:w="220" w:type="dxa"/>
            <w:vAlign w:val="bottom"/>
          </w:tcPr>
          <w:p>
            <w:pPr>
              <w:spacing w:after="0"/>
              <w:rPr>
                <w:sz w:val="17"/>
                <w:szCs w:val="17"/>
                <w:color w:val="auto"/>
              </w:rPr>
            </w:pPr>
          </w:p>
        </w:tc>
        <w:tc>
          <w:tcPr>
            <w:tcW w:w="1740" w:type="dxa"/>
            <w:vAlign w:val="bottom"/>
          </w:tcPr>
          <w:p>
            <w:pPr>
              <w:jc w:val="right"/>
              <w:ind w:right="712"/>
              <w:spacing w:after="0" w:line="202" w:lineRule="exact"/>
              <w:rPr>
                <w:sz w:val="20"/>
                <w:szCs w:val="20"/>
                <w:color w:val="auto"/>
              </w:rPr>
            </w:pPr>
            <w:r>
              <w:rPr>
                <w:rFonts w:ascii="Courier New" w:cs="Courier New" w:eastAsia="Courier New" w:hAnsi="Courier New"/>
                <w:sz w:val="18"/>
                <w:szCs w:val="18"/>
                <w:color w:val="auto"/>
              </w:rPr>
              <w:t>571,762</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297,682</w:t>
            </w:r>
          </w:p>
        </w:tc>
      </w:tr>
      <w:tr>
        <w:trPr>
          <w:trHeight w:val="202"/>
        </w:trPr>
        <w:tc>
          <w:tcPr>
            <w:tcW w:w="8300" w:type="dxa"/>
            <w:vAlign w:val="bottom"/>
          </w:tcPr>
          <w:p>
            <w:pPr>
              <w:spacing w:after="0"/>
              <w:rPr>
                <w:sz w:val="17"/>
                <w:szCs w:val="17"/>
                <w:color w:val="auto"/>
              </w:rPr>
            </w:pPr>
          </w:p>
        </w:tc>
        <w:tc>
          <w:tcPr>
            <w:tcW w:w="1960" w:type="dxa"/>
            <w:vAlign w:val="bottom"/>
            <w:gridSpan w:val="2"/>
          </w:tcPr>
          <w:p>
            <w:pPr>
              <w:jc w:val="right"/>
              <w:ind w:right="712"/>
              <w:spacing w:after="0" w:line="202" w:lineRule="exact"/>
              <w:rPr>
                <w:sz w:val="20"/>
                <w:szCs w:val="20"/>
                <w:color w:val="auto"/>
              </w:rPr>
            </w:pPr>
            <w:r>
              <w:rPr>
                <w:rFonts w:ascii="Courier New" w:cs="Courier New" w:eastAsia="Courier New" w:hAnsi="Courier New"/>
                <w:sz w:val="18"/>
                <w:szCs w:val="18"/>
                <w:color w:val="auto"/>
              </w:rPr>
              <w:t>----------</w:t>
            </w:r>
          </w:p>
        </w:tc>
        <w:tc>
          <w:tcPr>
            <w:tcW w:w="10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ind w:right="712"/>
              <w:spacing w:after="0" w:line="202" w:lineRule="exact"/>
              <w:rPr>
                <w:sz w:val="20"/>
                <w:szCs w:val="20"/>
                <w:color w:val="auto"/>
              </w:rPr>
            </w:pPr>
            <w:r>
              <w:rPr>
                <w:rFonts w:ascii="Courier New" w:cs="Courier New" w:eastAsia="Courier New" w:hAnsi="Courier New"/>
                <w:sz w:val="18"/>
                <w:szCs w:val="18"/>
                <w:color w:val="auto"/>
                <w:w w:val="94"/>
              </w:rPr>
              <w:t>8,790,580</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8,420,275</w:t>
            </w:r>
          </w:p>
        </w:tc>
      </w:tr>
      <w:tr>
        <w:trPr>
          <w:trHeight w:val="202"/>
        </w:trPr>
        <w:tc>
          <w:tcPr>
            <w:tcW w:w="8300" w:type="dxa"/>
            <w:vAlign w:val="bottom"/>
          </w:tcPr>
          <w:p>
            <w:pPr>
              <w:spacing w:after="0"/>
              <w:rPr>
                <w:sz w:val="17"/>
                <w:szCs w:val="17"/>
                <w:color w:val="auto"/>
              </w:rPr>
            </w:pPr>
          </w:p>
        </w:tc>
        <w:tc>
          <w:tcPr>
            <w:tcW w:w="1960" w:type="dxa"/>
            <w:vAlign w:val="bottom"/>
            <w:gridSpan w:val="2"/>
          </w:tcPr>
          <w:p>
            <w:pPr>
              <w:jc w:val="right"/>
              <w:ind w:right="712"/>
              <w:spacing w:after="0" w:line="202" w:lineRule="exact"/>
              <w:rPr>
                <w:sz w:val="20"/>
                <w:szCs w:val="20"/>
                <w:color w:val="auto"/>
              </w:rPr>
            </w:pPr>
            <w:r>
              <w:rPr>
                <w:rFonts w:ascii="Courier New" w:cs="Courier New" w:eastAsia="Courier New" w:hAnsi="Courier New"/>
                <w:sz w:val="18"/>
                <w:szCs w:val="18"/>
                <w:color w:val="auto"/>
              </w:rPr>
              <w:t>==========</w:t>
            </w:r>
          </w:p>
        </w:tc>
        <w:tc>
          <w:tcPr>
            <w:tcW w:w="10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8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Net income per share - basic .................................................</w:t>
            </w:r>
          </w:p>
        </w:tc>
        <w:tc>
          <w:tcPr>
            <w:tcW w:w="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12"/>
              <w:spacing w:after="0" w:line="202" w:lineRule="exact"/>
              <w:rPr>
                <w:sz w:val="20"/>
                <w:szCs w:val="20"/>
                <w:color w:val="auto"/>
              </w:rPr>
            </w:pPr>
            <w:r>
              <w:rPr>
                <w:rFonts w:ascii="Courier New" w:cs="Courier New" w:eastAsia="Courier New" w:hAnsi="Courier New"/>
                <w:sz w:val="18"/>
                <w:szCs w:val="18"/>
                <w:color w:val="auto"/>
              </w:rPr>
              <w:t>0.13</w:t>
            </w:r>
          </w:p>
        </w:tc>
        <w:tc>
          <w:tcPr>
            <w:tcW w:w="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0.06</w:t>
            </w:r>
          </w:p>
        </w:tc>
      </w:tr>
      <w:tr>
        <w:trPr>
          <w:trHeight w:val="202"/>
        </w:trPr>
        <w:tc>
          <w:tcPr>
            <w:tcW w:w="8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Net income per share - dilutive ..............................................</w:t>
            </w:r>
          </w:p>
        </w:tc>
        <w:tc>
          <w:tcPr>
            <w:tcW w:w="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12"/>
              <w:spacing w:after="0" w:line="202" w:lineRule="exact"/>
              <w:rPr>
                <w:sz w:val="20"/>
                <w:szCs w:val="20"/>
                <w:color w:val="auto"/>
              </w:rPr>
            </w:pPr>
            <w:r>
              <w:rPr>
                <w:rFonts w:ascii="Courier New" w:cs="Courier New" w:eastAsia="Courier New" w:hAnsi="Courier New"/>
                <w:sz w:val="18"/>
                <w:szCs w:val="18"/>
                <w:color w:val="auto"/>
              </w:rPr>
              <w:t>0.12</w:t>
            </w:r>
          </w:p>
        </w:tc>
        <w:tc>
          <w:tcPr>
            <w:tcW w:w="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Six months ended</w:t>
            </w:r>
          </w:p>
        </w:tc>
      </w:tr>
      <w:tr>
        <w:trPr>
          <w:trHeight w:val="202"/>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3"/>
          </w:tcPr>
          <w:p>
            <w:pPr>
              <w:jc w:val="right"/>
              <w:ind w:right="632"/>
              <w:spacing w:after="0" w:line="202" w:lineRule="exact"/>
              <w:rPr>
                <w:sz w:val="20"/>
                <w:szCs w:val="20"/>
                <w:color w:val="auto"/>
              </w:rPr>
            </w:pPr>
            <w:r>
              <w:rPr>
                <w:rFonts w:ascii="Courier New" w:cs="Courier New" w:eastAsia="Courier New" w:hAnsi="Courier New"/>
                <w:sz w:val="18"/>
                <w:szCs w:val="18"/>
                <w:color w:val="auto"/>
              </w:rPr>
              <w:t>December 31,</w:t>
            </w:r>
          </w:p>
        </w:tc>
      </w:tr>
      <w:tr>
        <w:trPr>
          <w:trHeight w:val="202"/>
        </w:trPr>
        <w:tc>
          <w:tcPr>
            <w:tcW w:w="8420" w:type="dxa"/>
            <w:vAlign w:val="bottom"/>
          </w:tcPr>
          <w:p>
            <w:pPr>
              <w:spacing w:after="0"/>
              <w:rPr>
                <w:sz w:val="17"/>
                <w:szCs w:val="17"/>
                <w:color w:val="auto"/>
              </w:rPr>
            </w:pPr>
          </w:p>
        </w:tc>
        <w:tc>
          <w:tcPr>
            <w:tcW w:w="292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w w:val="92"/>
              </w:rPr>
              <w:t>1999</w:t>
            </w:r>
          </w:p>
        </w:tc>
        <w:tc>
          <w:tcPr>
            <w:tcW w:w="420" w:type="dxa"/>
            <w:vAlign w:val="bottom"/>
          </w:tcPr>
          <w:p>
            <w:pPr>
              <w:spacing w:after="0"/>
              <w:rPr>
                <w:sz w:val="17"/>
                <w:szCs w:val="17"/>
                <w:color w:val="auto"/>
              </w:rPr>
            </w:pPr>
          </w:p>
        </w:tc>
        <w:tc>
          <w:tcPr>
            <w:tcW w:w="1200" w:type="dxa"/>
            <w:vAlign w:val="bottom"/>
          </w:tcPr>
          <w:p>
            <w:pPr>
              <w:jc w:val="right"/>
              <w:ind w:right="212"/>
              <w:spacing w:after="0" w:line="202" w:lineRule="exact"/>
              <w:rPr>
                <w:sz w:val="20"/>
                <w:szCs w:val="20"/>
                <w:color w:val="auto"/>
              </w:rPr>
            </w:pPr>
            <w:r>
              <w:rPr>
                <w:rFonts w:ascii="Courier New" w:cs="Courier New" w:eastAsia="Courier New" w:hAnsi="Courier New"/>
                <w:sz w:val="18"/>
                <w:szCs w:val="18"/>
                <w:color w:val="auto"/>
              </w:rPr>
              <w:t>1998</w:t>
            </w:r>
          </w:p>
        </w:tc>
      </w:tr>
      <w:tr>
        <w:trPr>
          <w:trHeight w:val="202"/>
        </w:trPr>
        <w:tc>
          <w:tcPr>
            <w:tcW w:w="8420" w:type="dxa"/>
            <w:vAlign w:val="bottom"/>
          </w:tcPr>
          <w:p>
            <w:pPr>
              <w:spacing w:after="0"/>
              <w:rPr>
                <w:sz w:val="17"/>
                <w:szCs w:val="17"/>
                <w:color w:val="auto"/>
              </w:rPr>
            </w:pPr>
          </w:p>
        </w:tc>
        <w:tc>
          <w:tcPr>
            <w:tcW w:w="13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842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84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9"/>
              </w:rPr>
              <w:t>Net income ...............................................................</w:t>
            </w:r>
          </w:p>
        </w:tc>
        <w:tc>
          <w:tcPr>
            <w:tcW w:w="130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w w:val="94"/>
              </w:rPr>
              <w:t>$ 2,132,162</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$1,025,879</w:t>
            </w:r>
          </w:p>
        </w:tc>
      </w:tr>
      <w:tr>
        <w:trPr>
          <w:trHeight w:val="202"/>
        </w:trPr>
        <w:tc>
          <w:tcPr>
            <w:tcW w:w="8420" w:type="dxa"/>
            <w:vAlign w:val="bottom"/>
          </w:tcPr>
          <w:p>
            <w:pPr>
              <w:spacing w:after="0"/>
              <w:rPr>
                <w:sz w:val="17"/>
                <w:szCs w:val="17"/>
                <w:color w:val="auto"/>
              </w:rPr>
            </w:pPr>
          </w:p>
        </w:tc>
        <w:tc>
          <w:tcPr>
            <w:tcW w:w="13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8420" w:type="dxa"/>
            <w:vAlign w:val="bottom"/>
          </w:tcPr>
          <w:p>
            <w:pPr>
              <w:spacing w:after="0" w:line="202" w:lineRule="exact"/>
              <w:rPr>
                <w:sz w:val="20"/>
                <w:szCs w:val="20"/>
                <w:color w:val="auto"/>
              </w:rPr>
            </w:pPr>
            <w:r>
              <w:rPr>
                <w:rFonts w:ascii="Courier New" w:cs="Courier New" w:eastAsia="Courier New" w:hAnsi="Courier New"/>
                <w:sz w:val="18"/>
                <w:szCs w:val="18"/>
                <w:color w:val="auto"/>
              </w:rPr>
              <w:t>Denominator: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84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9"/>
              </w:rPr>
              <w:t>Denominator for basic net income per share - weighted average shares .....</w:t>
            </w:r>
          </w:p>
        </w:tc>
        <w:tc>
          <w:tcPr>
            <w:tcW w:w="13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rPr>
              <w:t>8,195,398</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8,036,454</w:t>
            </w:r>
          </w:p>
        </w:tc>
      </w:tr>
      <w:tr>
        <w:trPr>
          <w:trHeight w:val="202"/>
        </w:trPr>
        <w:tc>
          <w:tcPr>
            <w:tcW w:w="84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9"/>
              </w:rPr>
              <w:t>Effect of dilutive securities using treasury stock method ................</w:t>
            </w:r>
          </w:p>
        </w:tc>
        <w:tc>
          <w:tcPr>
            <w:tcW w:w="300" w:type="dxa"/>
            <w:vAlign w:val="bottom"/>
          </w:tcPr>
          <w:p>
            <w:pPr>
              <w:spacing w:after="0"/>
              <w:rPr>
                <w:sz w:val="17"/>
                <w:szCs w:val="17"/>
                <w:color w:val="auto"/>
              </w:rPr>
            </w:pPr>
          </w:p>
        </w:tc>
        <w:tc>
          <w:tcPr>
            <w:tcW w:w="10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w w:val="95"/>
              </w:rPr>
              <w:t>519,286</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244,964</w:t>
            </w:r>
          </w:p>
        </w:tc>
      </w:tr>
      <w:tr>
        <w:trPr>
          <w:trHeight w:val="202"/>
        </w:trPr>
        <w:tc>
          <w:tcPr>
            <w:tcW w:w="8420" w:type="dxa"/>
            <w:vAlign w:val="bottom"/>
          </w:tcPr>
          <w:p>
            <w:pPr>
              <w:spacing w:after="0"/>
              <w:rPr>
                <w:sz w:val="17"/>
                <w:szCs w:val="17"/>
                <w:color w:val="auto"/>
              </w:rPr>
            </w:pPr>
          </w:p>
        </w:tc>
        <w:tc>
          <w:tcPr>
            <w:tcW w:w="13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8420" w:type="dxa"/>
            <w:vAlign w:val="bottom"/>
          </w:tcPr>
          <w:p>
            <w:pPr>
              <w:spacing w:after="0"/>
              <w:rPr>
                <w:sz w:val="17"/>
                <w:szCs w:val="17"/>
                <w:color w:val="auto"/>
              </w:rPr>
            </w:pPr>
          </w:p>
        </w:tc>
        <w:tc>
          <w:tcPr>
            <w:tcW w:w="13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rPr>
              <w:t>8,714,684</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8,281,418</w:t>
            </w:r>
          </w:p>
        </w:tc>
      </w:tr>
      <w:tr>
        <w:trPr>
          <w:trHeight w:val="202"/>
        </w:trPr>
        <w:tc>
          <w:tcPr>
            <w:tcW w:w="8420" w:type="dxa"/>
            <w:vAlign w:val="bottom"/>
          </w:tcPr>
          <w:p>
            <w:pPr>
              <w:spacing w:after="0"/>
              <w:rPr>
                <w:sz w:val="17"/>
                <w:szCs w:val="17"/>
                <w:color w:val="auto"/>
              </w:rPr>
            </w:pPr>
          </w:p>
        </w:tc>
        <w:tc>
          <w:tcPr>
            <w:tcW w:w="13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8420" w:type="dxa"/>
            <w:vAlign w:val="bottom"/>
          </w:tcPr>
          <w:p>
            <w:pPr>
              <w:spacing w:after="0" w:line="202" w:lineRule="exact"/>
              <w:rPr>
                <w:sz w:val="20"/>
                <w:szCs w:val="20"/>
                <w:color w:val="auto"/>
              </w:rPr>
            </w:pPr>
            <w:r>
              <w:rPr>
                <w:rFonts w:ascii="Courier New" w:cs="Courier New" w:eastAsia="Courier New" w:hAnsi="Courier New"/>
                <w:sz w:val="18"/>
                <w:szCs w:val="18"/>
                <w:color w:val="auto"/>
                <w:w w:val="97"/>
              </w:rPr>
              <w:t>Net income per share - basic....................................................</w:t>
            </w:r>
          </w:p>
        </w:tc>
        <w:tc>
          <w:tcPr>
            <w:tcW w:w="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0.26</w:t>
            </w:r>
          </w:p>
        </w:tc>
        <w:tc>
          <w:tcPr>
            <w:tcW w:w="42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12"/>
              <w:spacing w:after="0" w:line="202" w:lineRule="exact"/>
              <w:rPr>
                <w:sz w:val="20"/>
                <w:szCs w:val="20"/>
                <w:color w:val="auto"/>
              </w:rPr>
            </w:pPr>
            <w:r>
              <w:rPr>
                <w:rFonts w:ascii="Courier New" w:cs="Courier New" w:eastAsia="Courier New" w:hAnsi="Courier New"/>
                <w:sz w:val="18"/>
                <w:szCs w:val="18"/>
                <w:color w:val="auto"/>
              </w:rPr>
              <w:t>0.13</w:t>
            </w:r>
          </w:p>
        </w:tc>
      </w:tr>
      <w:tr>
        <w:trPr>
          <w:trHeight w:val="202"/>
        </w:trPr>
        <w:tc>
          <w:tcPr>
            <w:tcW w:w="8420" w:type="dxa"/>
            <w:vAlign w:val="bottom"/>
          </w:tcPr>
          <w:p>
            <w:pPr>
              <w:spacing w:after="0" w:line="202" w:lineRule="exact"/>
              <w:rPr>
                <w:sz w:val="20"/>
                <w:szCs w:val="20"/>
                <w:color w:val="auto"/>
              </w:rPr>
            </w:pPr>
            <w:r>
              <w:rPr>
                <w:rFonts w:ascii="Courier New" w:cs="Courier New" w:eastAsia="Courier New" w:hAnsi="Courier New"/>
                <w:sz w:val="18"/>
                <w:szCs w:val="18"/>
                <w:color w:val="auto"/>
                <w:w w:val="97"/>
              </w:rPr>
              <w:t>Net income per share - dilutive.................................................</w:t>
            </w:r>
          </w:p>
        </w:tc>
        <w:tc>
          <w:tcPr>
            <w:tcW w:w="3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0.24</w:t>
            </w:r>
          </w:p>
        </w:tc>
        <w:tc>
          <w:tcPr>
            <w:tcW w:w="42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12"/>
              <w:spacing w:after="0" w:line="202" w:lineRule="exact"/>
              <w:rPr>
                <w:sz w:val="20"/>
                <w:szCs w:val="20"/>
                <w:color w:val="auto"/>
              </w:rPr>
            </w:pPr>
            <w:r>
              <w:rPr>
                <w:rFonts w:ascii="Courier New" w:cs="Courier New" w:eastAsia="Courier New" w:hAnsi="Courier New"/>
                <w:sz w:val="18"/>
                <w:szCs w:val="18"/>
                <w:color w:val="auto"/>
              </w:rPr>
              <w:t>0.12</w:t>
            </w:r>
          </w:p>
        </w:tc>
      </w:tr>
    </w:tbl>
    <w:p>
      <w:pPr>
        <w:spacing w:after="0" w:line="200" w:lineRule="exact"/>
        <w:rPr>
          <w:sz w:val="20"/>
          <w:szCs w:val="20"/>
          <w:color w:val="auto"/>
        </w:rPr>
      </w:pPr>
    </w:p>
    <w:p>
      <w:pPr>
        <w:spacing w:after="0" w:line="202"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6" w:lineRule="exact"/>
        <w:rPr>
          <w:sz w:val="20"/>
          <w:szCs w:val="20"/>
          <w:color w:val="auto"/>
        </w:rPr>
      </w:pPr>
    </w:p>
    <w:p>
      <w:pPr>
        <w:ind w:right="3040"/>
        <w:spacing w:after="0" w:line="278" w:lineRule="auto"/>
        <w:rPr>
          <w:sz w:val="20"/>
          <w:szCs w:val="20"/>
          <w:color w:val="auto"/>
        </w:rPr>
      </w:pPr>
      <w:r>
        <w:rPr>
          <w:rFonts w:ascii="Courier New" w:cs="Courier New" w:eastAsia="Courier New" w:hAnsi="Courier New"/>
          <w:sz w:val="16"/>
          <w:szCs w:val="16"/>
          <w:color w:val="auto"/>
        </w:rPr>
        <w:t>As of July 1, 1998, the Company adopted Statement of Financial Accounting Standards No. 130, "Reporting Comprehensive Income." Comprehensive income for the six-month periods ended December 31, 1999 and 1998 was equal to net income.</w:t>
      </w:r>
    </w:p>
    <w:p>
      <w:pPr>
        <w:sectPr>
          <w:pgSz w:w="11900" w:h="16861" w:orient="portrait"/>
          <w:cols w:equalWidth="0" w:num="1">
            <w:col w:w="11340"/>
          </w:cols>
          <w:pgMar w:left="320" w:top="311" w:right="239" w:bottom="0" w:gutter="0" w:footer="0" w:header="0"/>
        </w:sectPr>
      </w:pPr>
    </w:p>
    <w:p>
      <w:pPr>
        <w:spacing w:after="0" w:line="200" w:lineRule="exact"/>
        <w:rPr>
          <w:sz w:val="20"/>
          <w:szCs w:val="20"/>
          <w:color w:val="auto"/>
        </w:rPr>
      </w:pPr>
    </w:p>
    <w:p>
      <w:pPr>
        <w:spacing w:after="0" w:line="38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7</w:t>
      </w:r>
    </w:p>
    <w:p>
      <w:pPr>
        <w:sectPr>
          <w:pgSz w:w="11900" w:h="16861" w:orient="portrait"/>
          <w:cols w:equalWidth="0" w:num="1">
            <w:col w:w="11340"/>
          </w:cols>
          <w:pgMar w:left="320" w:top="311" w:right="239" w:bottom="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6"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(Unaudited)</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(Audited)</w:t>
            </w:r>
          </w:p>
        </w:tc>
      </w:tr>
      <w:tr>
        <w:trPr>
          <w:trHeight w:val="202"/>
        </w:trPr>
        <w:tc>
          <w:tcPr>
            <w:tcW w:w="2940" w:type="dxa"/>
            <w:vAlign w:val="bottom"/>
          </w:tcPr>
          <w:p>
            <w:pPr>
              <w:spacing w:after="0"/>
              <w:rPr>
                <w:sz w:val="17"/>
                <w:szCs w:val="17"/>
                <w:color w:val="auto"/>
              </w:rPr>
            </w:pPr>
          </w:p>
        </w:tc>
        <w:tc>
          <w:tcPr>
            <w:tcW w:w="232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December 31,</w:t>
            </w:r>
          </w:p>
        </w:tc>
        <w:tc>
          <w:tcPr>
            <w:tcW w:w="14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June 30,</w:t>
            </w:r>
          </w:p>
        </w:tc>
      </w:tr>
      <w:tr>
        <w:trPr>
          <w:trHeight w:val="202"/>
        </w:trPr>
        <w:tc>
          <w:tcPr>
            <w:tcW w:w="2940" w:type="dxa"/>
            <w:vAlign w:val="bottom"/>
          </w:tcPr>
          <w:p>
            <w:pPr>
              <w:spacing w:after="0"/>
              <w:rPr>
                <w:sz w:val="17"/>
                <w:szCs w:val="17"/>
                <w:color w:val="auto"/>
              </w:rPr>
            </w:pPr>
          </w:p>
        </w:tc>
        <w:tc>
          <w:tcPr>
            <w:tcW w:w="2320" w:type="dxa"/>
            <w:vAlign w:val="bottom"/>
          </w:tcPr>
          <w:p>
            <w:pPr>
              <w:jc w:val="right"/>
              <w:ind w:right="752"/>
              <w:spacing w:after="0" w:line="202"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1999</w:t>
            </w:r>
          </w:p>
        </w:tc>
      </w:tr>
      <w:tr>
        <w:trPr>
          <w:trHeight w:val="202"/>
        </w:trPr>
        <w:tc>
          <w:tcPr>
            <w:tcW w:w="2940" w:type="dxa"/>
            <w:vAlign w:val="bottom"/>
          </w:tcPr>
          <w:p>
            <w:pPr>
              <w:spacing w:after="0"/>
              <w:rPr>
                <w:sz w:val="17"/>
                <w:szCs w:val="17"/>
                <w:color w:val="auto"/>
              </w:rPr>
            </w:pPr>
          </w:p>
        </w:tc>
        <w:tc>
          <w:tcPr>
            <w:tcW w:w="232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294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$1,054,402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$1,055,615</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Work in progress</w:t>
            </w:r>
          </w:p>
        </w:tc>
        <w:tc>
          <w:tcPr>
            <w:tcW w:w="232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414,293</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347,898</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Finished Goods</w:t>
            </w:r>
          </w:p>
        </w:tc>
        <w:tc>
          <w:tcPr>
            <w:tcW w:w="232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1,433,244</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1,455,322</w:t>
            </w:r>
          </w:p>
        </w:tc>
      </w:tr>
      <w:tr>
        <w:trPr>
          <w:trHeight w:val="202"/>
        </w:trPr>
        <w:tc>
          <w:tcPr>
            <w:tcW w:w="2940" w:type="dxa"/>
            <w:vAlign w:val="bottom"/>
          </w:tcPr>
          <w:p>
            <w:pPr>
              <w:spacing w:after="0"/>
              <w:rPr>
                <w:sz w:val="17"/>
                <w:szCs w:val="17"/>
                <w:color w:val="auto"/>
              </w:rPr>
            </w:pPr>
          </w:p>
        </w:tc>
        <w:tc>
          <w:tcPr>
            <w:tcW w:w="232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2940" w:type="dxa"/>
            <w:vAlign w:val="bottom"/>
          </w:tcPr>
          <w:p>
            <w:pPr>
              <w:ind w:left="740"/>
              <w:spacing w:after="0" w:line="202" w:lineRule="exact"/>
              <w:rPr>
                <w:sz w:val="20"/>
                <w:szCs w:val="20"/>
                <w:color w:val="auto"/>
              </w:rPr>
            </w:pPr>
            <w:r>
              <w:rPr>
                <w:rFonts w:ascii="Courier New" w:cs="Courier New" w:eastAsia="Courier New" w:hAnsi="Courier New"/>
                <w:sz w:val="18"/>
                <w:szCs w:val="18"/>
                <w:color w:val="auto"/>
              </w:rPr>
              <w:t>Total inventory</w:t>
            </w:r>
          </w:p>
        </w:tc>
        <w:tc>
          <w:tcPr>
            <w:tcW w:w="232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$2,901,939</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$2,858,835</w:t>
            </w:r>
          </w:p>
        </w:tc>
      </w:tr>
      <w:tr>
        <w:trPr>
          <w:trHeight w:val="202"/>
        </w:trPr>
        <w:tc>
          <w:tcPr>
            <w:tcW w:w="2940" w:type="dxa"/>
            <w:vAlign w:val="bottom"/>
          </w:tcPr>
          <w:p>
            <w:pPr>
              <w:spacing w:after="0"/>
              <w:rPr>
                <w:sz w:val="17"/>
                <w:szCs w:val="17"/>
                <w:color w:val="auto"/>
              </w:rPr>
            </w:pPr>
          </w:p>
        </w:tc>
        <w:tc>
          <w:tcPr>
            <w:tcW w:w="232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w:t>
      </w:r>
    </w:p>
    <w:p>
      <w:pPr>
        <w:spacing w:after="0" w:line="200"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The following table shows the changes in stock options outstanding.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ind w:left="780"/>
              <w:spacing w:after="0"/>
              <w:rPr>
                <w:sz w:val="20"/>
                <w:szCs w:val="20"/>
                <w:color w:val="auto"/>
              </w:rPr>
            </w:pPr>
            <w:r>
              <w:rPr>
                <w:rFonts w:ascii="Courier New" w:cs="Courier New" w:eastAsia="Courier New" w:hAnsi="Courier New"/>
                <w:sz w:val="18"/>
                <w:szCs w:val="18"/>
                <w:color w:val="auto"/>
              </w:rPr>
              <w:t>Weighted</w:t>
            </w:r>
          </w:p>
        </w:tc>
      </w:tr>
      <w:tr>
        <w:trPr>
          <w:trHeight w:val="202"/>
        </w:trPr>
        <w:tc>
          <w:tcPr>
            <w:tcW w:w="5420" w:type="dxa"/>
            <w:vAlign w:val="bottom"/>
          </w:tcPr>
          <w:p>
            <w:pPr>
              <w:spacing w:after="0"/>
              <w:rPr>
                <w:sz w:val="17"/>
                <w:szCs w:val="17"/>
                <w:color w:val="auto"/>
              </w:rPr>
            </w:pPr>
          </w:p>
        </w:tc>
        <w:tc>
          <w:tcPr>
            <w:tcW w:w="158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Number</w:t>
            </w:r>
          </w:p>
        </w:tc>
        <w:tc>
          <w:tcPr>
            <w:tcW w:w="1840" w:type="dxa"/>
            <w:vAlign w:val="bottom"/>
          </w:tcPr>
          <w:p>
            <w:pPr>
              <w:ind w:left="780"/>
              <w:spacing w:after="0" w:line="202" w:lineRule="exact"/>
              <w:rPr>
                <w:sz w:val="20"/>
                <w:szCs w:val="20"/>
                <w:color w:val="auto"/>
              </w:rPr>
            </w:pPr>
            <w:r>
              <w:rPr>
                <w:rFonts w:ascii="Courier New" w:cs="Courier New" w:eastAsia="Courier New" w:hAnsi="Courier New"/>
                <w:sz w:val="18"/>
                <w:szCs w:val="18"/>
                <w:color w:val="auto"/>
              </w:rPr>
              <w:t>Average</w:t>
            </w:r>
          </w:p>
        </w:tc>
      </w:tr>
      <w:tr>
        <w:trPr>
          <w:trHeight w:val="202"/>
        </w:trPr>
        <w:tc>
          <w:tcPr>
            <w:tcW w:w="5420" w:type="dxa"/>
            <w:vAlign w:val="bottom"/>
          </w:tcPr>
          <w:p>
            <w:pPr>
              <w:spacing w:after="0"/>
              <w:rPr>
                <w:sz w:val="17"/>
                <w:szCs w:val="17"/>
                <w:color w:val="auto"/>
              </w:rPr>
            </w:pP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of Shares</w:t>
            </w:r>
          </w:p>
        </w:tc>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Exercise Price</w:t>
            </w:r>
          </w:p>
        </w:tc>
      </w:tr>
      <w:tr>
        <w:trPr>
          <w:trHeight w:val="202"/>
        </w:trPr>
        <w:tc>
          <w:tcPr>
            <w:tcW w:w="5420" w:type="dxa"/>
            <w:vAlign w:val="bottom"/>
          </w:tcPr>
          <w:p>
            <w:pPr>
              <w:spacing w:after="0"/>
              <w:rPr>
                <w:sz w:val="17"/>
                <w:szCs w:val="17"/>
                <w:color w:val="auto"/>
              </w:rPr>
            </w:pP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5420" w:type="dxa"/>
            <w:vAlign w:val="bottom"/>
          </w:tcPr>
          <w:p>
            <w:pPr>
              <w:spacing w:after="0"/>
              <w:rPr>
                <w:sz w:val="20"/>
                <w:szCs w:val="20"/>
                <w:color w:val="auto"/>
              </w:rPr>
            </w:pPr>
            <w:r>
              <w:rPr>
                <w:rFonts w:ascii="Courier New" w:cs="Courier New" w:eastAsia="Courier New" w:hAnsi="Courier New"/>
                <w:sz w:val="18"/>
                <w:szCs w:val="18"/>
                <w:color w:val="auto"/>
                <w:w w:val="99"/>
              </w:rPr>
              <w:t>Options outstanding as of June 30, 1999 ..........</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1,408,048</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$ 1.94</w:t>
            </w:r>
          </w:p>
        </w:tc>
      </w:tr>
      <w:tr>
        <w:trPr>
          <w:trHeight w:val="404"/>
        </w:trPr>
        <w:tc>
          <w:tcPr>
            <w:tcW w:w="5420" w:type="dxa"/>
            <w:vAlign w:val="bottom"/>
          </w:tcPr>
          <w:p>
            <w:pPr>
              <w:spacing w:after="0"/>
              <w:rPr>
                <w:sz w:val="20"/>
                <w:szCs w:val="20"/>
                <w:color w:val="auto"/>
              </w:rPr>
            </w:pPr>
            <w:r>
              <w:rPr>
                <w:rFonts w:ascii="Courier New" w:cs="Courier New" w:eastAsia="Courier New" w:hAnsi="Courier New"/>
                <w:sz w:val="18"/>
                <w:szCs w:val="18"/>
                <w:color w:val="auto"/>
                <w:w w:val="99"/>
              </w:rPr>
              <w:t>Options expired &amp; canceled .......................</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(80,000)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2.66</w:t>
            </w:r>
          </w:p>
        </w:tc>
      </w:tr>
      <w:tr>
        <w:trPr>
          <w:trHeight w:val="202"/>
        </w:trPr>
        <w:tc>
          <w:tcPr>
            <w:tcW w:w="5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Options exercised ................................</w:t>
            </w:r>
          </w:p>
        </w:tc>
        <w:tc>
          <w:tcPr>
            <w:tcW w:w="1580" w:type="dxa"/>
            <w:vAlign w:val="bottom"/>
          </w:tcPr>
          <w:p>
            <w:pPr>
              <w:jc w:val="right"/>
              <w:ind w:right="292"/>
              <w:spacing w:after="0" w:line="202" w:lineRule="exact"/>
              <w:rPr>
                <w:sz w:val="20"/>
                <w:szCs w:val="20"/>
                <w:color w:val="auto"/>
              </w:rPr>
            </w:pPr>
            <w:r>
              <w:rPr>
                <w:rFonts w:ascii="Courier New" w:cs="Courier New" w:eastAsia="Courier New" w:hAnsi="Courier New"/>
                <w:sz w:val="18"/>
                <w:szCs w:val="18"/>
                <w:color w:val="auto"/>
              </w:rPr>
              <w:t>(63,750)</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0.93</w:t>
            </w:r>
          </w:p>
        </w:tc>
      </w:tr>
      <w:tr>
        <w:trPr>
          <w:trHeight w:val="202"/>
        </w:trPr>
        <w:tc>
          <w:tcPr>
            <w:tcW w:w="5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Options granted ..................................</w:t>
            </w: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75,000</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6.19</w:t>
            </w:r>
          </w:p>
        </w:tc>
      </w:tr>
      <w:tr>
        <w:trPr>
          <w:trHeight w:val="202"/>
        </w:trPr>
        <w:tc>
          <w:tcPr>
            <w:tcW w:w="5420" w:type="dxa"/>
            <w:vAlign w:val="bottom"/>
          </w:tcPr>
          <w:p>
            <w:pPr>
              <w:spacing w:after="0"/>
              <w:rPr>
                <w:sz w:val="17"/>
                <w:szCs w:val="17"/>
                <w:color w:val="auto"/>
              </w:rPr>
            </w:pP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5420" w:type="dxa"/>
            <w:vAlign w:val="bottom"/>
          </w:tcPr>
          <w:p>
            <w:pPr>
              <w:spacing w:after="0"/>
              <w:rPr>
                <w:sz w:val="20"/>
                <w:szCs w:val="20"/>
                <w:color w:val="auto"/>
              </w:rPr>
            </w:pPr>
            <w:r>
              <w:rPr>
                <w:rFonts w:ascii="Courier New" w:cs="Courier New" w:eastAsia="Courier New" w:hAnsi="Courier New"/>
                <w:sz w:val="18"/>
                <w:szCs w:val="18"/>
                <w:color w:val="auto"/>
                <w:w w:val="99"/>
              </w:rPr>
              <w:t>Options outstanding as of September 30, 1999 .....</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1,339,298</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2.16</w:t>
            </w:r>
          </w:p>
        </w:tc>
      </w:tr>
      <w:tr>
        <w:trPr>
          <w:trHeight w:val="404"/>
        </w:trPr>
        <w:tc>
          <w:tcPr>
            <w:tcW w:w="5420" w:type="dxa"/>
            <w:vAlign w:val="bottom"/>
          </w:tcPr>
          <w:p>
            <w:pPr>
              <w:spacing w:after="0"/>
              <w:rPr>
                <w:sz w:val="20"/>
                <w:szCs w:val="20"/>
                <w:color w:val="auto"/>
              </w:rPr>
            </w:pPr>
            <w:r>
              <w:rPr>
                <w:rFonts w:ascii="Courier New" w:cs="Courier New" w:eastAsia="Courier New" w:hAnsi="Courier New"/>
                <w:sz w:val="18"/>
                <w:szCs w:val="18"/>
                <w:color w:val="auto"/>
                <w:w w:val="99"/>
              </w:rPr>
              <w:t>Options expired &amp; canceled .......................</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(142,500)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2.42</w:t>
            </w:r>
          </w:p>
        </w:tc>
      </w:tr>
      <w:tr>
        <w:trPr>
          <w:trHeight w:val="202"/>
        </w:trPr>
        <w:tc>
          <w:tcPr>
            <w:tcW w:w="5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Options exercised ................................</w:t>
            </w:r>
          </w:p>
        </w:tc>
        <w:tc>
          <w:tcPr>
            <w:tcW w:w="1580" w:type="dxa"/>
            <w:vAlign w:val="bottom"/>
          </w:tcPr>
          <w:p>
            <w:pPr>
              <w:jc w:val="right"/>
              <w:ind w:right="292"/>
              <w:spacing w:after="0" w:line="202" w:lineRule="exact"/>
              <w:rPr>
                <w:sz w:val="20"/>
                <w:szCs w:val="20"/>
                <w:color w:val="auto"/>
              </w:rPr>
            </w:pPr>
            <w:r>
              <w:rPr>
                <w:rFonts w:ascii="Courier New" w:cs="Courier New" w:eastAsia="Courier New" w:hAnsi="Courier New"/>
                <w:sz w:val="18"/>
                <w:szCs w:val="18"/>
                <w:color w:val="auto"/>
              </w:rPr>
              <w:t>(34,900)</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1.95</w:t>
            </w:r>
          </w:p>
        </w:tc>
      </w:tr>
      <w:tr>
        <w:trPr>
          <w:trHeight w:val="202"/>
        </w:trPr>
        <w:tc>
          <w:tcPr>
            <w:tcW w:w="5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Options granted ..................................</w:t>
            </w: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224,500</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12.42</w:t>
            </w:r>
          </w:p>
        </w:tc>
      </w:tr>
      <w:tr>
        <w:trPr>
          <w:trHeight w:val="202"/>
        </w:trPr>
        <w:tc>
          <w:tcPr>
            <w:tcW w:w="5420" w:type="dxa"/>
            <w:vAlign w:val="bottom"/>
          </w:tcPr>
          <w:p>
            <w:pPr>
              <w:spacing w:after="0"/>
              <w:rPr>
                <w:sz w:val="17"/>
                <w:szCs w:val="17"/>
                <w:color w:val="auto"/>
              </w:rPr>
            </w:pP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5420" w:type="dxa"/>
            <w:vAlign w:val="bottom"/>
          </w:tcPr>
          <w:p>
            <w:pPr>
              <w:spacing w:after="0"/>
              <w:rPr>
                <w:sz w:val="20"/>
                <w:szCs w:val="20"/>
                <w:color w:val="auto"/>
              </w:rPr>
            </w:pPr>
            <w:r>
              <w:rPr>
                <w:rFonts w:ascii="Courier New" w:cs="Courier New" w:eastAsia="Courier New" w:hAnsi="Courier New"/>
                <w:sz w:val="18"/>
                <w:szCs w:val="18"/>
                <w:color w:val="auto"/>
                <w:w w:val="99"/>
              </w:rPr>
              <w:t>Options outstanding as of December 31, 1999 ......</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1,386,398</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$ 3.81</w:t>
            </w:r>
          </w:p>
        </w:tc>
      </w:tr>
      <w:tr>
        <w:trPr>
          <w:trHeight w:val="202"/>
        </w:trPr>
        <w:tc>
          <w:tcPr>
            <w:tcW w:w="5420" w:type="dxa"/>
            <w:vAlign w:val="bottom"/>
          </w:tcPr>
          <w:p>
            <w:pPr>
              <w:spacing w:after="0"/>
              <w:rPr>
                <w:sz w:val="17"/>
                <w:szCs w:val="17"/>
                <w:color w:val="auto"/>
              </w:rPr>
            </w:pPr>
          </w:p>
        </w:tc>
        <w:tc>
          <w:tcPr>
            <w:tcW w:w="158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6" w:lineRule="exact"/>
        <w:rPr>
          <w:sz w:val="20"/>
          <w:szCs w:val="20"/>
          <w:color w:val="auto"/>
        </w:rPr>
      </w:pPr>
    </w:p>
    <w:p>
      <w:pPr>
        <w:ind w:right="1719"/>
        <w:spacing w:after="0" w:line="269" w:lineRule="auto"/>
        <w:rPr>
          <w:sz w:val="20"/>
          <w:szCs w:val="20"/>
          <w:color w:val="auto"/>
        </w:rPr>
      </w:pPr>
      <w:r>
        <w:rPr>
          <w:rFonts w:ascii="Courier New" w:cs="Courier New" w:eastAsia="Courier New" w:hAnsi="Courier New"/>
          <w:sz w:val="16"/>
          <w:szCs w:val="16"/>
          <w:color w:val="auto"/>
        </w:rPr>
        <w:t>The Company has changed how it evaluates its operations internally resulting in a change in its segments from its Form 10-KSB. To obtain a better understanding of conferencing products and services and the related business opportunities, management has divided the former conferencing segment into two segments. As a result, the Company operates in four different segments - Remote Facilities Management (RFM)/Broadcast, Conferencing Products, Conferencing Services and Other. The RFM/Broadcast segment consists of remote site control products which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airwaves to millions of listeners. The Conferencing Products segment consists of a full line of room system conferencing products including installed audio- and videoconferencing products. The Conferencing Services segment includes conference calling services and document conferencing services.</w:t>
      </w:r>
    </w:p>
    <w:p>
      <w:pPr>
        <w:sectPr>
          <w:pgSz w:w="11900" w:h="16838" w:orient="portrait"/>
          <w:cols w:equalWidth="0" w:num="1">
            <w:col w:w="10139"/>
          </w:cols>
          <w:pgMar w:left="320" w:top="311" w:right="1440" w:bottom="0" w:gutter="0" w:footer="0" w:header="0"/>
        </w:sectPr>
      </w:pPr>
    </w:p>
    <w:bookmarkStart w:id="8" w:name="page9"/>
    <w:bookmarkEnd w:id="8"/>
    <w:p>
      <w:pPr>
        <w:ind w:left="2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54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 - (CONTINUED)</w:t>
      </w:r>
    </w:p>
    <w:p>
      <w:pPr>
        <w:spacing w:after="0" w:line="206" w:lineRule="exact"/>
        <w:rPr>
          <w:sz w:val="20"/>
          <w:szCs w:val="20"/>
          <w:color w:val="auto"/>
        </w:rPr>
      </w:pPr>
    </w:p>
    <w:p>
      <w:pPr>
        <w:ind w:right="2520"/>
        <w:spacing w:after="0" w:line="236" w:lineRule="auto"/>
        <w:rPr>
          <w:sz w:val="20"/>
          <w:szCs w:val="20"/>
          <w:color w:val="auto"/>
        </w:rPr>
      </w:pPr>
      <w:r>
        <w:rPr>
          <w:rFonts w:ascii="Courier New" w:cs="Courier New" w:eastAsia="Courier New" w:hAnsi="Courier New"/>
          <w:sz w:val="18"/>
          <w:szCs w:val="18"/>
          <w:color w:val="auto"/>
        </w:rPr>
        <w:t>As the Company continues to evaluate its internal reporting, the Company has further clarified the breakdown of its operations resulting in a change in the way certain revenues and expenses are reported in the second quarter as compared to the first quarter. All periods presented have been restated to reflect these changes.</w:t>
      </w:r>
    </w:p>
    <w:p>
      <w:pPr>
        <w:spacing w:after="0" w:line="210" w:lineRule="exact"/>
        <w:rPr>
          <w:sz w:val="20"/>
          <w:szCs w:val="20"/>
          <w:color w:val="auto"/>
        </w:rPr>
      </w:pPr>
    </w:p>
    <w:p>
      <w:pPr>
        <w:ind w:right="2840"/>
        <w:spacing w:after="0" w:line="236" w:lineRule="auto"/>
        <w:rPr>
          <w:sz w:val="20"/>
          <w:szCs w:val="20"/>
          <w:color w:val="auto"/>
        </w:rPr>
      </w:pPr>
      <w:r>
        <w:rPr>
          <w:rFonts w:ascii="Courier New" w:cs="Courier New" w:eastAsia="Courier New" w:hAnsi="Courier New"/>
          <w:sz w:val="18"/>
          <w:szCs w:val="18"/>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210" w:lineRule="exact"/>
        <w:rPr>
          <w:sz w:val="20"/>
          <w:szCs w:val="20"/>
          <w:color w:val="auto"/>
        </w:rPr>
      </w:pPr>
    </w:p>
    <w:p>
      <w:pPr>
        <w:ind w:right="2520"/>
        <w:spacing w:after="0" w:line="236" w:lineRule="auto"/>
        <w:rPr>
          <w:sz w:val="20"/>
          <w:szCs w:val="20"/>
          <w:color w:val="auto"/>
        </w:rPr>
      </w:pPr>
      <w:r>
        <w:rPr>
          <w:rFonts w:ascii="Courier New" w:cs="Courier New" w:eastAsia="Courier New" w:hAnsi="Courier New"/>
          <w:sz w:val="18"/>
          <w:szCs w:val="18"/>
          <w:color w:val="auto"/>
        </w:rPr>
        <w:t>The Company's reportable segments are strategic business units that offer products and services to satisfy different customer needs. They are managed separately because each segment requires focus and attention on their market and distribution channel.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tables summarize the segment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Conferencing</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Company</w:t>
            </w:r>
          </w:p>
        </w:tc>
      </w:tr>
      <w:tr>
        <w:trPr>
          <w:trHeight w:val="202"/>
        </w:trPr>
        <w:tc>
          <w:tcPr>
            <w:tcW w:w="3640" w:type="dxa"/>
            <w:vAlign w:val="bottom"/>
          </w:tcPr>
          <w:p>
            <w:pPr>
              <w:spacing w:after="0"/>
              <w:rPr>
                <w:sz w:val="17"/>
                <w:szCs w:val="17"/>
                <w:color w:val="auto"/>
              </w:rPr>
            </w:pPr>
          </w:p>
        </w:tc>
        <w:tc>
          <w:tcPr>
            <w:tcW w:w="156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w w:val="99"/>
              </w:rPr>
              <w:t>RFM/Broadcast</w:t>
            </w:r>
          </w:p>
        </w:tc>
        <w:tc>
          <w:tcPr>
            <w:tcW w:w="154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Products</w:t>
            </w:r>
          </w:p>
        </w:tc>
        <w:tc>
          <w:tcPr>
            <w:tcW w:w="360" w:type="dxa"/>
            <w:vAlign w:val="bottom"/>
          </w:tcPr>
          <w:p>
            <w:pPr>
              <w:spacing w:after="0"/>
              <w:rPr>
                <w:sz w:val="17"/>
                <w:szCs w:val="17"/>
                <w:color w:val="auto"/>
              </w:rPr>
            </w:pP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Services</w:t>
            </w:r>
          </w:p>
        </w:tc>
        <w:tc>
          <w:tcPr>
            <w:tcW w:w="12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All Other</w:t>
            </w:r>
          </w:p>
        </w:tc>
        <w:tc>
          <w:tcPr>
            <w:tcW w:w="320" w:type="dxa"/>
            <w:vAlign w:val="bottom"/>
          </w:tcPr>
          <w:p>
            <w:pPr>
              <w:spacing w:after="0"/>
              <w:rPr>
                <w:sz w:val="17"/>
                <w:szCs w:val="17"/>
                <w:color w:val="auto"/>
              </w:rPr>
            </w:pPr>
          </w:p>
        </w:tc>
        <w:tc>
          <w:tcPr>
            <w:tcW w:w="11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Totals</w:t>
            </w:r>
          </w:p>
        </w:tc>
      </w:tr>
      <w:tr>
        <w:trPr>
          <w:trHeight w:val="202"/>
        </w:trPr>
        <w:tc>
          <w:tcPr>
            <w:tcW w:w="3640" w:type="dxa"/>
            <w:vAlign w:val="bottom"/>
          </w:tcPr>
          <w:p>
            <w:pPr>
              <w:spacing w:after="0"/>
              <w:rPr>
                <w:sz w:val="17"/>
                <w:szCs w:val="17"/>
                <w:color w:val="auto"/>
              </w:rPr>
            </w:pPr>
          </w:p>
        </w:tc>
        <w:tc>
          <w:tcPr>
            <w:tcW w:w="156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Quarter Ended December 31, 1999:</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 --------------------------------</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$ 1,799,641</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$4,281,404</w:t>
            </w: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$ 1,256,757</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$78,037</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$ 7,415,839</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Cost of goods sold</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758,900</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1,493,633</w:t>
            </w:r>
          </w:p>
        </w:tc>
        <w:tc>
          <w:tcPr>
            <w:tcW w:w="36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678,211</w:t>
            </w: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27,925</w:t>
            </w: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2,958,669</w:t>
            </w:r>
          </w:p>
        </w:tc>
      </w:tr>
      <w:tr>
        <w:trPr>
          <w:trHeight w:val="202"/>
        </w:trPr>
        <w:tc>
          <w:tcPr>
            <w:tcW w:w="3640" w:type="dxa"/>
            <w:vAlign w:val="bottom"/>
          </w:tcPr>
          <w:p>
            <w:pPr>
              <w:spacing w:after="0"/>
              <w:rPr>
                <w:sz w:val="17"/>
                <w:szCs w:val="17"/>
                <w:color w:val="auto"/>
              </w:rPr>
            </w:pP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Gross profit</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1,040,741</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2,787,771</w:t>
            </w:r>
          </w:p>
        </w:tc>
        <w:tc>
          <w:tcPr>
            <w:tcW w:w="36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578,546</w:t>
            </w: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50,112</w:t>
            </w: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4,457,170</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5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311,472</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872,373</w:t>
            </w:r>
          </w:p>
        </w:tc>
        <w:tc>
          <w:tcPr>
            <w:tcW w:w="36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380,013</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1,018</w:t>
            </w:r>
          </w:p>
        </w:tc>
        <w:tc>
          <w:tcPr>
            <w:tcW w:w="3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1,564,876</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General and administrative</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750,392</w:t>
            </w: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Product development</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253,989</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241,923</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495,912</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Total operating expenses</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2,811,180</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1,645,990</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Other income (expense)</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31,776</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Income before income taxes</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1,677,766</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Provision for income taxes</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(626,000)</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Net income</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$ 1,051,766</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Quarter Ended December 31, 1998:</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 --------------------------------</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$ 1,685,318</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$2,745,879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745,154</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$77,126</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$ 5,253,477</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Cost of goods sold</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695,694</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1,030,173</w:t>
            </w:r>
          </w:p>
        </w:tc>
        <w:tc>
          <w:tcPr>
            <w:tcW w:w="36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606,450</w:t>
            </w: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29,847</w:t>
            </w: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2,362,164</w:t>
            </w:r>
          </w:p>
        </w:tc>
      </w:tr>
      <w:tr>
        <w:trPr>
          <w:trHeight w:val="202"/>
        </w:trPr>
        <w:tc>
          <w:tcPr>
            <w:tcW w:w="3640" w:type="dxa"/>
            <w:vAlign w:val="bottom"/>
          </w:tcPr>
          <w:p>
            <w:pPr>
              <w:spacing w:after="0"/>
              <w:rPr>
                <w:sz w:val="17"/>
                <w:szCs w:val="17"/>
                <w:color w:val="auto"/>
              </w:rPr>
            </w:pP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Gross profit</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989,624</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1,715,706</w:t>
            </w:r>
          </w:p>
        </w:tc>
        <w:tc>
          <w:tcPr>
            <w:tcW w:w="36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138,704</w:t>
            </w: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47,279</w:t>
            </w: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2,891,313</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5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289,028</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581,298</w:t>
            </w:r>
          </w:p>
        </w:tc>
        <w:tc>
          <w:tcPr>
            <w:tcW w:w="36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218,468</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1,316</w:t>
            </w:r>
          </w:p>
        </w:tc>
        <w:tc>
          <w:tcPr>
            <w:tcW w:w="3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1,090,110</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General and administrative</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553,087</w:t>
            </w: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Product development</w:t>
            </w:r>
          </w:p>
        </w:tc>
        <w:tc>
          <w:tcPr>
            <w:tcW w:w="15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115,182</w:t>
            </w:r>
          </w:p>
        </w:tc>
        <w:tc>
          <w:tcPr>
            <w:tcW w:w="15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283,310</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8,914</w:t>
            </w: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407,406</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Total operating expenses</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2,050,603</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840,710</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Other income (expense)</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(15,629)</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Income before income taxes</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825,081</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Provision for income taxes</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(308,000)</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Net income</w:t>
            </w: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517,081</w:t>
            </w:r>
          </w:p>
        </w:tc>
      </w:tr>
      <w:tr>
        <w:trPr>
          <w:trHeight w:val="202"/>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40"/>
          </w:cols>
          <w:pgMar w:left="320" w:top="311" w:right="639" w:bottom="203" w:gutter="0" w:footer="0" w:header="0"/>
        </w:sectPr>
      </w:pPr>
    </w:p>
    <w:bookmarkStart w:id="10" w:name="page11"/>
    <w:bookmarkEnd w:id="10"/>
    <w:p>
      <w:pPr>
        <w:ind w:left="2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 -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Conferencing</w:t>
            </w:r>
          </w:p>
        </w:tc>
        <w:tc>
          <w:tcPr>
            <w:tcW w:w="15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Conferencing</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Company</w:t>
            </w:r>
          </w:p>
        </w:tc>
      </w:tr>
      <w:tr>
        <w:trPr>
          <w:trHeight w:val="202"/>
        </w:trPr>
        <w:tc>
          <w:tcPr>
            <w:tcW w:w="3640" w:type="dxa"/>
            <w:vAlign w:val="bottom"/>
          </w:tcPr>
          <w:p>
            <w:pPr>
              <w:spacing w:after="0"/>
              <w:rPr>
                <w:sz w:val="17"/>
                <w:szCs w:val="17"/>
                <w:color w:val="auto"/>
              </w:rPr>
            </w:pPr>
          </w:p>
        </w:tc>
        <w:tc>
          <w:tcPr>
            <w:tcW w:w="1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9"/>
              </w:rPr>
              <w:t>RFM/Broadcast</w:t>
            </w:r>
          </w:p>
        </w:tc>
        <w:tc>
          <w:tcPr>
            <w:tcW w:w="260" w:type="dxa"/>
            <w:vAlign w:val="bottom"/>
          </w:tcPr>
          <w:p>
            <w:pPr>
              <w:spacing w:after="0"/>
              <w:rPr>
                <w:sz w:val="17"/>
                <w:szCs w:val="17"/>
                <w:color w:val="auto"/>
              </w:rPr>
            </w:pPr>
          </w:p>
        </w:tc>
        <w:tc>
          <w:tcPr>
            <w:tcW w:w="1200" w:type="dxa"/>
            <w:vAlign w:val="bottom"/>
          </w:tcPr>
          <w:p>
            <w:pPr>
              <w:jc w:val="right"/>
              <w:ind w:right="212"/>
              <w:spacing w:after="0" w:line="202" w:lineRule="exact"/>
              <w:rPr>
                <w:sz w:val="20"/>
                <w:szCs w:val="20"/>
                <w:color w:val="auto"/>
              </w:rPr>
            </w:pPr>
            <w:r>
              <w:rPr>
                <w:rFonts w:ascii="Courier New" w:cs="Courier New" w:eastAsia="Courier New" w:hAnsi="Courier New"/>
                <w:sz w:val="18"/>
                <w:szCs w:val="18"/>
                <w:color w:val="auto"/>
              </w:rPr>
              <w:t>Products</w:t>
            </w:r>
          </w:p>
        </w:tc>
        <w:tc>
          <w:tcPr>
            <w:tcW w:w="152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Services</w:t>
            </w:r>
          </w:p>
        </w:tc>
        <w:tc>
          <w:tcPr>
            <w:tcW w:w="280" w:type="dxa"/>
            <w:vAlign w:val="bottom"/>
          </w:tcPr>
          <w:p>
            <w:pPr>
              <w:spacing w:after="0"/>
              <w:rPr>
                <w:sz w:val="17"/>
                <w:szCs w:val="17"/>
                <w:color w:val="auto"/>
              </w:rPr>
            </w:pPr>
          </w:p>
        </w:tc>
        <w:tc>
          <w:tcPr>
            <w:tcW w:w="12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w w:val="94"/>
              </w:rPr>
              <w:t>All Other</w:t>
            </w:r>
          </w:p>
        </w:tc>
        <w:tc>
          <w:tcPr>
            <w:tcW w:w="260" w:type="dxa"/>
            <w:vAlign w:val="bottom"/>
          </w:tcPr>
          <w:p>
            <w:pPr>
              <w:spacing w:after="0"/>
              <w:rPr>
                <w:sz w:val="17"/>
                <w:szCs w:val="17"/>
                <w:color w:val="auto"/>
              </w:rPr>
            </w:pPr>
          </w:p>
        </w:tc>
        <w:tc>
          <w:tcPr>
            <w:tcW w:w="126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Totals</w:t>
            </w:r>
          </w:p>
        </w:tc>
      </w:tr>
      <w:tr>
        <w:trPr>
          <w:trHeight w:val="202"/>
        </w:trPr>
        <w:tc>
          <w:tcPr>
            <w:tcW w:w="3640" w:type="dxa"/>
            <w:vAlign w:val="bottom"/>
          </w:tcPr>
          <w:p>
            <w:pPr>
              <w:spacing w:after="0"/>
              <w:rPr>
                <w:sz w:val="17"/>
                <w:szCs w:val="17"/>
                <w:color w:val="auto"/>
              </w:rPr>
            </w:pPr>
          </w:p>
        </w:tc>
        <w:tc>
          <w:tcPr>
            <w:tcW w:w="1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Year-to-Date At December 31, 1999:</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$3,858,172</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8,176,749</w:t>
            </w:r>
          </w:p>
        </w:tc>
        <w:tc>
          <w:tcPr>
            <w:tcW w:w="15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$ 2,254,341</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210,850</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$ 14,550,112</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Cost of goods sold</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1,523,901</w:t>
            </w:r>
          </w:p>
        </w:tc>
        <w:tc>
          <w:tcPr>
            <w:tcW w:w="2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2,804,807</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1,272,350</w:t>
            </w:r>
          </w:p>
        </w:tc>
        <w:tc>
          <w:tcPr>
            <w:tcW w:w="280" w:type="dxa"/>
            <w:vAlign w:val="bottom"/>
          </w:tcPr>
          <w:p>
            <w:pPr>
              <w:spacing w:after="0"/>
              <w:rPr>
                <w:sz w:val="17"/>
                <w:szCs w:val="17"/>
                <w:color w:val="auto"/>
              </w:rPr>
            </w:pPr>
          </w:p>
        </w:tc>
        <w:tc>
          <w:tcPr>
            <w:tcW w:w="12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73,229</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5,674,287</w:t>
            </w:r>
          </w:p>
        </w:tc>
      </w:tr>
      <w:tr>
        <w:trPr>
          <w:trHeight w:val="202"/>
        </w:trPr>
        <w:tc>
          <w:tcPr>
            <w:tcW w:w="3640" w:type="dxa"/>
            <w:vAlign w:val="bottom"/>
          </w:tcPr>
          <w:p>
            <w:pPr>
              <w:spacing w:after="0"/>
              <w:rPr>
                <w:sz w:val="17"/>
                <w:szCs w:val="17"/>
                <w:color w:val="auto"/>
              </w:rPr>
            </w:pP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Gross profit</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2,334,271</w:t>
            </w:r>
          </w:p>
        </w:tc>
        <w:tc>
          <w:tcPr>
            <w:tcW w:w="2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5,371,942</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981,991</w:t>
            </w:r>
          </w:p>
        </w:tc>
        <w:tc>
          <w:tcPr>
            <w:tcW w:w="280" w:type="dxa"/>
            <w:vAlign w:val="bottom"/>
          </w:tcPr>
          <w:p>
            <w:pPr>
              <w:spacing w:after="0"/>
              <w:rPr>
                <w:sz w:val="17"/>
                <w:szCs w:val="17"/>
                <w:color w:val="auto"/>
              </w:rPr>
            </w:pPr>
          </w:p>
        </w:tc>
        <w:tc>
          <w:tcPr>
            <w:tcW w:w="12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137,621</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8,825,825</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642,862</w:t>
            </w:r>
          </w:p>
        </w:tc>
        <w:tc>
          <w:tcPr>
            <w:tcW w:w="2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1,697,187</w:t>
            </w:r>
          </w:p>
        </w:tc>
        <w:tc>
          <w:tcPr>
            <w:tcW w:w="15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694,132</w:t>
            </w:r>
          </w:p>
        </w:tc>
        <w:tc>
          <w:tcPr>
            <w:tcW w:w="28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2,591</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3,036,772</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General and administrative</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1,497,013</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Product development</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509,672</w:t>
            </w:r>
          </w:p>
        </w:tc>
        <w:tc>
          <w:tcPr>
            <w:tcW w:w="2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446,916</w:t>
            </w: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956,588</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Total operating expenses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5,490,373</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3,335,452</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Other income (expense)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63,710</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Income before income taxes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3,399,162</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Provision for income taxes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(1,267,000)</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2,132,162</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Year-to-Date At December 31, 1998:</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$3,392,072</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5,621,814</w:t>
            </w:r>
          </w:p>
        </w:tc>
        <w:tc>
          <w:tcPr>
            <w:tcW w:w="15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$ 1,455,332</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282,201</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$ 10,751,419</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Cost of goods sold</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1,403,624</w:t>
            </w:r>
          </w:p>
        </w:tc>
        <w:tc>
          <w:tcPr>
            <w:tcW w:w="2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2,194,719</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1,175,155</w:t>
            </w:r>
          </w:p>
        </w:tc>
        <w:tc>
          <w:tcPr>
            <w:tcW w:w="280" w:type="dxa"/>
            <w:vAlign w:val="bottom"/>
          </w:tcPr>
          <w:p>
            <w:pPr>
              <w:spacing w:after="0"/>
              <w:rPr>
                <w:sz w:val="17"/>
                <w:szCs w:val="17"/>
                <w:color w:val="auto"/>
              </w:rPr>
            </w:pPr>
          </w:p>
        </w:tc>
        <w:tc>
          <w:tcPr>
            <w:tcW w:w="12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106,027</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4,879,525</w:t>
            </w:r>
          </w:p>
        </w:tc>
      </w:tr>
      <w:tr>
        <w:trPr>
          <w:trHeight w:val="202"/>
        </w:trPr>
        <w:tc>
          <w:tcPr>
            <w:tcW w:w="3640" w:type="dxa"/>
            <w:vAlign w:val="bottom"/>
          </w:tcPr>
          <w:p>
            <w:pPr>
              <w:spacing w:after="0"/>
              <w:rPr>
                <w:sz w:val="17"/>
                <w:szCs w:val="17"/>
                <w:color w:val="auto"/>
              </w:rPr>
            </w:pP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Gross profit</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1,988,448</w:t>
            </w:r>
          </w:p>
        </w:tc>
        <w:tc>
          <w:tcPr>
            <w:tcW w:w="2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3,427,095</w:t>
            </w:r>
          </w:p>
        </w:tc>
        <w:tc>
          <w:tcPr>
            <w:tcW w:w="1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280,177</w:t>
            </w:r>
          </w:p>
        </w:tc>
        <w:tc>
          <w:tcPr>
            <w:tcW w:w="280" w:type="dxa"/>
            <w:vAlign w:val="bottom"/>
          </w:tcPr>
          <w:p>
            <w:pPr>
              <w:spacing w:after="0"/>
              <w:rPr>
                <w:sz w:val="17"/>
                <w:szCs w:val="17"/>
                <w:color w:val="auto"/>
              </w:rPr>
            </w:pPr>
          </w:p>
        </w:tc>
        <w:tc>
          <w:tcPr>
            <w:tcW w:w="12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176,174</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5,871,894</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585,534</w:t>
            </w:r>
          </w:p>
        </w:tc>
        <w:tc>
          <w:tcPr>
            <w:tcW w:w="2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1,189,097</w:t>
            </w:r>
          </w:p>
        </w:tc>
        <w:tc>
          <w:tcPr>
            <w:tcW w:w="15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440,170</w:t>
            </w:r>
          </w:p>
        </w:tc>
        <w:tc>
          <w:tcPr>
            <w:tcW w:w="28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4,489</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2,219,290</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General and administrative</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1,188,718</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Product development</w:t>
            </w:r>
          </w:p>
        </w:tc>
        <w:tc>
          <w:tcPr>
            <w:tcW w:w="152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191,397</w:t>
            </w:r>
          </w:p>
        </w:tc>
        <w:tc>
          <w:tcPr>
            <w:tcW w:w="2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570,624</w:t>
            </w: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8,914</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770,935</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Total operating expenses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4,178,943</w:t>
            </w:r>
          </w:p>
        </w:tc>
      </w:tr>
      <w:tr>
        <w:trPr>
          <w:trHeight w:val="4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1,692,951</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Other income (expense)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(51,072)</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Income before income taxes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1,641,879</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Provision for income taxes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(616,000)</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640" w:type="dxa"/>
            <w:vAlign w:val="bottom"/>
          </w:tcPr>
          <w:p>
            <w:pPr>
              <w:spacing w:after="0" w:line="202"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1,025,879</w:t>
            </w:r>
          </w:p>
        </w:tc>
      </w:tr>
      <w:tr>
        <w:trPr>
          <w:trHeight w:val="202"/>
        </w:trPr>
        <w:tc>
          <w:tcPr>
            <w:tcW w:w="3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1140"/>
          </w:cols>
          <w:pgMar w:left="320" w:top="311" w:right="439" w:bottom="1440" w:gutter="0" w:footer="0" w:header="0"/>
        </w:sectPr>
      </w:pPr>
    </w:p>
    <w:bookmarkStart w:id="12" w:name="page13"/>
    <w:bookmarkEnd w:id="12"/>
    <w:p>
      <w:pPr>
        <w:spacing w:after="0" w:line="6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599"/>
        <w:spacing w:after="0" w:line="237"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The Company reports four different segments - Remote Facilities Management (RFM)/Broadcast, Conferencing Products, Conferencing Services and Other. Total sales for the three months ended December 31, 1999 increased 41% compared to the same three-month period last year. Total sales for the six months ended December 31, 1999 increased 35% compared to the same six-month period last year. In both cases, growth is primarily due to increased Conferencing Products and Conferencing Services sales.</w:t>
      </w:r>
    </w:p>
    <w:p>
      <w:pPr>
        <w:spacing w:after="0" w:line="207" w:lineRule="exact"/>
        <w:rPr>
          <w:sz w:val="20"/>
          <w:szCs w:val="20"/>
          <w:color w:val="auto"/>
        </w:rPr>
      </w:pPr>
    </w:p>
    <w:p>
      <w:pPr>
        <w:ind w:right="1719"/>
        <w:spacing w:after="0" w:line="268" w:lineRule="auto"/>
        <w:rPr>
          <w:sz w:val="20"/>
          <w:szCs w:val="20"/>
          <w:color w:val="auto"/>
        </w:rPr>
      </w:pPr>
      <w:r>
        <w:rPr>
          <w:rFonts w:ascii="Courier New" w:cs="Courier New" w:eastAsia="Courier New" w:hAnsi="Courier New"/>
          <w:sz w:val="16"/>
          <w:szCs w:val="16"/>
          <w:color w:val="auto"/>
        </w:rPr>
        <w:t>Conferencing products experienced a 56% sales growth comparing the second quarter of this fiscal year to the same quarter last year. Sales in conferencing products increased 45% comparing the first six months of this fiscal year to the first six months of last fiscal year. This increase was mainly due to the continued success of the Audio PerfectTM product line, as well as the introduction of new products, including the APV200 IP and the GT1524. The Audio PerfectTM product line began shipping in April of 1998 with the AP800, and also includes the AP10, the AP400, AP Tools, the AP IR Remote, and the APV200 IP. The flagship AP800 and the 4-channel AP400 products use advanced digital signal processing technology to achieve the highest quality echo cancellation on the market, Gentner's Distributed Echo CancellationTM, and incorporate several functional devices including automatic microphone mixing, echo cancellation, audio routing, audio equalization and audio processing into a single device. The Company has realized more of the revenue associated with a room installation as a result of the expanded applications. Additionally, the Company has expanded its product line, including its video conferencing system, the APV200 IP, the GT1524 for simpler applications and its newly announced PA 870 power amplifier. In addition, Gentner provides Assistive Listening Devices, both for applications in venues that require extra amplification for the hearing impaired, and its Venture line, which operates on a frequency appropriate for other applications, such as tours and language translation.</w:t>
      </w:r>
    </w:p>
    <w:p>
      <w:pPr>
        <w:spacing w:after="0" w:line="200" w:lineRule="exact"/>
        <w:rPr>
          <w:sz w:val="20"/>
          <w:szCs w:val="20"/>
          <w:color w:val="auto"/>
        </w:rPr>
      </w:pPr>
    </w:p>
    <w:p>
      <w:pPr>
        <w:spacing w:after="0" w:line="399"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Conferencing services, 1-800 LETS MEET(R), experienced sales growth of 69% in the second quarter of this fiscal year as compared to the second quarter of last fiscal year. Conferencing services increased 55% for this fiscal year-to-date as compared to the same period in fiscal 1999. The Company attributes this growth in sales to an increased customer base as well as the overall market growth over the last year. This increase was also the result of the Company expanding its sales staff, who market its conference calling service, and the Company's commitment to quality service. The Company's conference calling service is being marketed not only to corporate clients, but also to long distance telephone service providers for resale.</w:t>
      </w:r>
    </w:p>
    <w:p>
      <w:pPr>
        <w:spacing w:after="0" w:line="209"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RFM/Broadcast sales increased 7% in the second quarter of this fiscal year compared to the second quarter of last fiscal year. RFM/Broadcast consists of two product lines, Telephone Interface and Remote Facilities Management (RFM, formerly known as Remote Site Control). Sales of the Telephone Interface line increased 23% during the second quarter of this year compared to the second quarter of last year, primarily due to the Company's line of telephone hybrids. Telephone hybrids are used to connect telephone line audio to professional audio equipment. Remote Facilities Management decreased 18%, comparing second quarters, mainly due to fewer sales of the GSC3000. The Company believes that Year 2000 concerns attributed to fewer GSC3000 sales and does not expect to see this trend continue. The GSC3000 allows broadcasters to monitor and control many transmitter sites from one location.</w:t>
      </w:r>
    </w:p>
    <w:p>
      <w:pPr>
        <w:spacing w:after="0" w:line="210"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RFM/Broadcast sales increased 14% for the six months ended December 31, 1999 compared to the six months ended December 31, 1998. Sales of the Telephone Interface line increased 13% comparing fiscal 2000 to date over fiscal 1999 to date. Remote Facilities Management increased 15%, comparing year-to-date, mainly due to sales of the GSC3000 which were strong enough in the first quarter to offset any decline in the second quarter as discussed above. Sales to the OEM, television and international markets contributed to the increased sales of the GSC3000.</w:t>
      </w:r>
    </w:p>
    <w:p>
      <w:pPr>
        <w:spacing w:after="0" w:line="207" w:lineRule="exact"/>
        <w:rPr>
          <w:sz w:val="20"/>
          <w:szCs w:val="20"/>
          <w:color w:val="auto"/>
        </w:rPr>
      </w:pPr>
    </w:p>
    <w:p>
      <w:pPr>
        <w:ind w:right="1939"/>
        <w:spacing w:after="0" w:line="236" w:lineRule="auto"/>
        <w:rPr>
          <w:sz w:val="20"/>
          <w:szCs w:val="20"/>
          <w:color w:val="auto"/>
        </w:rPr>
      </w:pPr>
      <w:r>
        <w:rPr>
          <w:rFonts w:ascii="Courier New" w:cs="Courier New" w:eastAsia="Courier New" w:hAnsi="Courier New"/>
          <w:sz w:val="18"/>
          <w:szCs w:val="18"/>
          <w:color w:val="auto"/>
        </w:rPr>
        <w:t>Other sales increased 1% in the second quarter of this fiscal year compared to the second quarter of last fiscal year, and decreased 25% for the six months ending December 31, 1999 compared to the same period in 1998. In general, the Company is not promoting Other Products, and those sales are expected to continue to decline.</w:t>
      </w:r>
    </w:p>
    <w:p>
      <w:pPr>
        <w:spacing w:after="0" w:line="210" w:lineRule="exact"/>
        <w:rPr>
          <w:sz w:val="20"/>
          <w:szCs w:val="20"/>
          <w:color w:val="auto"/>
        </w:rPr>
      </w:pPr>
    </w:p>
    <w:p>
      <w:pPr>
        <w:ind w:right="1719"/>
        <w:spacing w:after="0" w:line="278" w:lineRule="auto"/>
        <w:rPr>
          <w:sz w:val="20"/>
          <w:szCs w:val="20"/>
          <w:color w:val="auto"/>
        </w:rPr>
      </w:pPr>
      <w:r>
        <w:rPr>
          <w:rFonts w:ascii="Courier New" w:cs="Courier New" w:eastAsia="Courier New" w:hAnsi="Courier New"/>
          <w:sz w:val="16"/>
          <w:szCs w:val="16"/>
          <w:color w:val="auto"/>
        </w:rPr>
        <w:t>The Company's gross profit margin percentage was 60% for the second quarter of this year, and 55% for the same quarter last year. The Company's gross profit margin percentage was 61% for the first six months of this year, compared to 55%</w:t>
      </w:r>
    </w:p>
    <w:p>
      <w:pPr>
        <w:sectPr>
          <w:pgSz w:w="11900" w:h="16905" w:orient="portrait"/>
          <w:cols w:equalWidth="0" w:num="1">
            <w:col w:w="10139"/>
          </w:cols>
          <w:pgMar w:left="320" w:top="311" w:right="1440" w:bottom="0" w:gutter="0" w:footer="0" w:header="0"/>
        </w:sectPr>
      </w:pPr>
    </w:p>
    <w:bookmarkStart w:id="13" w:name="page14"/>
    <w:bookmarkEnd w:id="13"/>
    <w:p>
      <w:pPr>
        <w:ind w:right="1839"/>
        <w:spacing w:after="0" w:line="237" w:lineRule="auto"/>
        <w:rPr>
          <w:sz w:val="20"/>
          <w:szCs w:val="20"/>
          <w:color w:val="auto"/>
        </w:rPr>
      </w:pPr>
      <w:r>
        <w:rPr>
          <w:rFonts w:ascii="Courier New" w:cs="Courier New" w:eastAsia="Courier New" w:hAnsi="Courier New"/>
          <w:sz w:val="18"/>
          <w:szCs w:val="18"/>
          <w:color w:val="auto"/>
        </w:rPr>
        <w:t>for the same period last year. This increase was primarily due to a critical focus on improving manufacturing processes, aggressive vendor pricing, new products with higher gross profit margins, and a different product mix. The Company does not expect to see margins remain at this level. The Company's overall gross profit margin would be negatively impacted if the price of raw components increases. Additionally, gross profit margins would be negatively affected if services become a higher percentage of total sales due to services' lower profit margin.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139"/>
          </w:cols>
          <w:pgMar w:left="320" w:top="14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680"/>
        <w:spacing w:after="0" w:line="237"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 (continued)</w:t>
      </w:r>
    </w:p>
    <w:p>
      <w:pPr>
        <w:spacing w:after="0" w:line="206"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Operating expenses for the quarter increased 37% when comparing the second quarters of this fiscal year and last fiscal year. Operating expenses for the year-to-date increased 31% over last year. The most significant portion of these increases came in Marketing and selling expenses.</w:t>
      </w:r>
    </w:p>
    <w:p>
      <w:pPr>
        <w:spacing w:after="0" w:line="208" w:lineRule="exact"/>
        <w:rPr>
          <w:sz w:val="20"/>
          <w:szCs w:val="20"/>
          <w:color w:val="auto"/>
        </w:rPr>
      </w:pPr>
    </w:p>
    <w:p>
      <w:pPr>
        <w:ind w:right="1839"/>
        <w:spacing w:after="0" w:line="236" w:lineRule="auto"/>
        <w:rPr>
          <w:sz w:val="20"/>
          <w:szCs w:val="20"/>
          <w:color w:val="auto"/>
        </w:rPr>
      </w:pPr>
      <w:r>
        <w:rPr>
          <w:rFonts w:ascii="Courier New" w:cs="Courier New" w:eastAsia="Courier New" w:hAnsi="Courier New"/>
          <w:sz w:val="18"/>
          <w:szCs w:val="18"/>
          <w:color w:val="auto"/>
        </w:rPr>
        <w:t>Marketing and selling expenses increased 44% for the second quarter as compared to last year. Marketing and selling expenses increased 37% for the year-to-date as compared to last year-to-date. The increase was primarily due to the hiring of additional personnel to more aggressively market and sell the Company's products and service. Also contributing to the increase was higher commission expense resulting from the increase in sales.</w:t>
      </w:r>
    </w:p>
    <w:p>
      <w:pPr>
        <w:spacing w:after="0" w:line="211"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Product Development expenses increased 22% in the second quarter of this year compared to last year. Product Development expenses increased 24% for the year-to-date as compared to the same period last year. The increase was due to development expenses for new products and the hiring of personnel and associated recruiting costs. The Company anticipates these expenses will enhance future revenue growth.</w:t>
      </w:r>
    </w:p>
    <w:p>
      <w:pPr>
        <w:spacing w:after="0" w:line="211"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Second quarter General and Administrative expenses increased 36% compared to the same period last year. Year-to-date expenses increased 26% as compared to the same period last year. This increase was mainly due to hiring of personnel to support sales increases and the infrastructure costs associated with the hiring of all new personnel. Also contributing to this increase was an accrual for NASDAQ National Market Listing fees.</w:t>
      </w:r>
    </w:p>
    <w:p>
      <w:pPr>
        <w:spacing w:after="0" w:line="211" w:lineRule="exact"/>
        <w:rPr>
          <w:sz w:val="20"/>
          <w:szCs w:val="20"/>
          <w:color w:val="auto"/>
        </w:rPr>
      </w:pPr>
    </w:p>
    <w:p>
      <w:pPr>
        <w:jc w:val="both"/>
        <w:ind w:right="1939"/>
        <w:spacing w:after="0" w:line="236" w:lineRule="auto"/>
        <w:rPr>
          <w:sz w:val="20"/>
          <w:szCs w:val="20"/>
          <w:color w:val="auto"/>
        </w:rPr>
      </w:pPr>
      <w:r>
        <w:rPr>
          <w:rFonts w:ascii="Courier New" w:cs="Courier New" w:eastAsia="Courier New" w:hAnsi="Courier New"/>
          <w:sz w:val="18"/>
          <w:szCs w:val="18"/>
          <w:color w:val="auto"/>
        </w:rPr>
        <w:t>Interest expense for the quarter is down 69% compared to the same quarter last year. Interest expense for the year-to-date is down 60% compared to last year due to the maturing of some of the Company's leases and the payoff of several notes later in fiscal 1999.</w:t>
      </w:r>
    </w:p>
    <w:p>
      <w:pPr>
        <w:spacing w:after="0" w:line="208" w:lineRule="exact"/>
        <w:rPr>
          <w:sz w:val="20"/>
          <w:szCs w:val="20"/>
          <w:color w:val="auto"/>
        </w:rPr>
      </w:pPr>
    </w:p>
    <w:p>
      <w:pPr>
        <w:ind w:right="1719"/>
        <w:spacing w:after="0" w:line="273" w:lineRule="auto"/>
        <w:rPr>
          <w:sz w:val="20"/>
          <w:szCs w:val="20"/>
          <w:color w:val="auto"/>
        </w:rPr>
      </w:pPr>
      <w:r>
        <w:rPr>
          <w:rFonts w:ascii="Courier New" w:cs="Courier New" w:eastAsia="Courier New" w:hAnsi="Courier New"/>
          <w:sz w:val="16"/>
          <w:szCs w:val="16"/>
          <w:color w:val="auto"/>
        </w:rPr>
        <w:t>During the second quarter of fiscal 2000, income tax expense was calculated at a combined federal and state tax rate of about 37%, resulting in a tax expense of $626,000 for the second quarter and $1,267,000 for the year-to-date. Income tax expense was $308,000 for the second quarter of fiscal 1999 and $616,000 for fiscal 1999 year-to-date, with a calculated combined tax rate of about 38%.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6" w:lineRule="exact"/>
        <w:rPr>
          <w:sz w:val="20"/>
          <w:szCs w:val="20"/>
          <w:color w:val="auto"/>
        </w:rPr>
      </w:pPr>
    </w:p>
    <w:p>
      <w:pPr>
        <w:ind w:right="1839"/>
        <w:spacing w:after="0" w:line="274" w:lineRule="auto"/>
        <w:rPr>
          <w:sz w:val="20"/>
          <w:szCs w:val="20"/>
          <w:color w:val="auto"/>
        </w:rPr>
      </w:pPr>
      <w:r>
        <w:rPr>
          <w:rFonts w:ascii="Courier New" w:cs="Courier New" w:eastAsia="Courier New" w:hAnsi="Courier New"/>
          <w:sz w:val="16"/>
          <w:szCs w:val="16"/>
          <w:color w:val="auto"/>
        </w:rPr>
        <w:t>The Company's current ratio increased from 3.72:1 on June 30, 1999 to 5.56:1 on December 31, 1999. This increase in the current ratio was due primarily to an increase in the amount of cash on hand, a decrease in accrued expenses, as well as an increase in accounts receivable due to increased sales.</w:t>
      </w:r>
    </w:p>
    <w:p>
      <w:pPr>
        <w:spacing w:after="0" w:line="182" w:lineRule="exact"/>
        <w:rPr>
          <w:sz w:val="20"/>
          <w:szCs w:val="20"/>
          <w:color w:val="auto"/>
        </w:rPr>
      </w:pPr>
    </w:p>
    <w:p>
      <w:pPr>
        <w:ind w:right="1839"/>
        <w:spacing w:after="0" w:line="278" w:lineRule="auto"/>
        <w:rPr>
          <w:sz w:val="20"/>
          <w:szCs w:val="20"/>
          <w:color w:val="auto"/>
        </w:rPr>
      </w:pPr>
      <w:r>
        <w:rPr>
          <w:rFonts w:ascii="Courier New" w:cs="Courier New" w:eastAsia="Courier New" w:hAnsi="Courier New"/>
          <w:sz w:val="16"/>
          <w:szCs w:val="16"/>
          <w:color w:val="auto"/>
        </w:rPr>
        <w:t>The Company continues to experience positive operating cash flows. Increasing sales and profitability have contributed to positive operating cash flows which were offset by an increase in accounts receivable and other current assets.</w:t>
      </w:r>
    </w:p>
    <w:p>
      <w:pPr>
        <w:spacing w:after="0" w:line="178"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During the second quarter, the Company conducted a physical inventory of fixed assets. It was noted there were many fully depreciated assets still on the books, that had been disposed of physically. In reconciling the books to the physical fixed assets list, the Company wrote off gross fixed assets of $457,848 and wrote off accumulated deprecation of $452,710.</w:t>
      </w:r>
    </w:p>
    <w:p>
      <w:pPr>
        <w:spacing w:after="0" w:line="210"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There was no outstanding balance on December 31, 1999. The line of credit expires on December 22, 2000.</w:t>
      </w:r>
    </w:p>
    <w:p>
      <w:pPr>
        <w:spacing w:after="0" w:line="211" w:lineRule="exact"/>
        <w:rPr>
          <w:sz w:val="20"/>
          <w:szCs w:val="20"/>
          <w:color w:val="auto"/>
        </w:rPr>
      </w:pPr>
    </w:p>
    <w:p>
      <w:pPr>
        <w:jc w:val="both"/>
        <w:ind w:right="1839"/>
        <w:spacing w:after="0" w:line="236" w:lineRule="auto"/>
        <w:rPr>
          <w:sz w:val="20"/>
          <w:szCs w:val="20"/>
          <w:color w:val="auto"/>
        </w:rPr>
      </w:pPr>
      <w:r>
        <w:rPr>
          <w:rFonts w:ascii="Courier New" w:cs="Courier New" w:eastAsia="Courier New" w:hAnsi="Courier New"/>
          <w:sz w:val="18"/>
          <w:szCs w:val="18"/>
          <w:color w:val="auto"/>
        </w:rPr>
        <w:t>As sales continue to increase, the Company expects to achieve its business plan through a combination of internally generated funds and short-term or long-term borrowings, if necessary.</w:t>
      </w:r>
    </w:p>
    <w:p>
      <w:pPr>
        <w:sectPr>
          <w:pgSz w:w="11900" w:h="16838" w:orient="portrait"/>
          <w:cols w:equalWidth="0" w:num="1">
            <w:col w:w="10139"/>
          </w:cols>
          <w:pgMar w:left="320" w:top="311" w:right="1440" w:bottom="2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139"/>
          </w:cols>
          <w:pgMar w:left="320" w:top="311" w:right="1440" w:bottom="203" w:gutter="0" w:footer="0" w:header="0"/>
          <w:type w:val="continuous"/>
        </w:sectPr>
      </w:pPr>
    </w:p>
    <w:bookmarkStart w:id="15" w:name="page16"/>
    <w:bookmarkEnd w:id="15"/>
    <w:p>
      <w:pPr>
        <w:spacing w:after="0" w:line="6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680"/>
        <w:spacing w:after="0" w:line="237"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6" w:lineRule="exact"/>
        <w:rPr>
          <w:sz w:val="20"/>
          <w:szCs w:val="20"/>
          <w:color w:val="auto"/>
        </w:rPr>
      </w:pPr>
    </w:p>
    <w:p>
      <w:pPr>
        <w:ind w:right="1719"/>
        <w:spacing w:after="0" w:line="268" w:lineRule="auto"/>
        <w:rPr>
          <w:sz w:val="20"/>
          <w:szCs w:val="20"/>
          <w:color w:val="auto"/>
        </w:rPr>
      </w:pPr>
      <w:r>
        <w:rPr>
          <w:rFonts w:ascii="Courier New" w:cs="Courier New" w:eastAsia="Courier New" w:hAnsi="Courier New"/>
          <w:sz w:val="16"/>
          <w:szCs w:val="16"/>
          <w:color w:val="auto"/>
        </w:rPr>
        <w:t>Certain statements contained in this report are forward looking statements. These include the discussion regarding the Company's beliefs, plans, objectives, expectations, and intentions about the Company's ability to obtain more of the revenue associated with room installations, the Company's belief that the trend of Year 2000 concerns attributing to fewer sales will not continue, the Company's belief that it will enhance future revenue growth through the development of new products, the Company's belief that it will improve its development cycle, the Company's anticipation that it can achieve its business plan through a combination of internally generated funds and short-term and/or long-term borrowing, and the Company's belief that a large percentage of customer credit defaults is unlikely. While the Company believes that such statements are accurate, the Company's business is dependent upon general economic conditions, particularly those that affect the demand for its products, including increased competition, and future trends and results which cannot be predicted with certainty. The Company's actual results could differ materially from those discussed in such forward-looking statements. The cautionary statements made in this report should be read as being applicable to all related forward-looking statements wherever they appear in this report. Factors that could cause or contribute to such differences include those discussed below in the section entitled "Factors that may Affect Future Results." Please see a detailed list of the risk factors that are outlined in the Company's Form 10-KSB for the fiscal year ended June 30, 1999, incorporated herein by reference.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 - Rapid Technological Change</w:t>
      </w:r>
    </w:p>
    <w:p>
      <w:pPr>
        <w:spacing w:after="0" w:line="206" w:lineRule="exact"/>
        <w:rPr>
          <w:sz w:val="20"/>
          <w:szCs w:val="20"/>
          <w:color w:val="auto"/>
        </w:rPr>
      </w:pPr>
    </w:p>
    <w:p>
      <w:pPr>
        <w:ind w:right="1839"/>
        <w:spacing w:after="0" w:line="271" w:lineRule="auto"/>
        <w:rPr>
          <w:sz w:val="20"/>
          <w:szCs w:val="20"/>
          <w:color w:val="auto"/>
        </w:rPr>
      </w:pPr>
      <w:r>
        <w:rPr>
          <w:rFonts w:ascii="Courier New" w:cs="Courier New" w:eastAsia="Courier New" w:hAnsi="Courier New"/>
          <w:sz w:val="16"/>
          <w:szCs w:val="16"/>
          <w:color w:val="auto"/>
        </w:rPr>
        <w:t>The RFM, conferencing products, conferencing services and other product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 financial, research and development, manufacturing, marketing and other resources.</w:t>
      </w:r>
    </w:p>
    <w:p>
      <w:pPr>
        <w:spacing w:after="0" w:line="186"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210"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The Company has experience in marketing its products. However, it is subject to all of the risks inherent in the marketing and sale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There can be no assurance that this strategy will prove successful.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6" w:lineRule="exact"/>
        <w:rPr>
          <w:sz w:val="20"/>
          <w:szCs w:val="20"/>
          <w:color w:val="auto"/>
        </w:rPr>
      </w:pPr>
    </w:p>
    <w:p>
      <w:pPr>
        <w:ind w:right="1719"/>
        <w:spacing w:after="0" w:line="271"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of such representatives or dealers will continue to offer the Company's products.</w:t>
      </w:r>
    </w:p>
    <w:p>
      <w:pPr>
        <w:spacing w:after="0" w:line="186" w:lineRule="exact"/>
        <w:rPr>
          <w:sz w:val="20"/>
          <w:szCs w:val="20"/>
          <w:color w:val="auto"/>
        </w:rPr>
      </w:pPr>
    </w:p>
    <w:p>
      <w:pPr>
        <w:ind w:right="1719"/>
        <w:spacing w:after="0" w:line="271" w:lineRule="auto"/>
        <w:rPr>
          <w:sz w:val="20"/>
          <w:szCs w:val="20"/>
          <w:color w:val="auto"/>
        </w:rPr>
      </w:pPr>
      <w:r>
        <w:rPr>
          <w:rFonts w:ascii="Courier New" w:cs="Courier New" w:eastAsia="Courier New" w:hAnsi="Courier New"/>
          <w:sz w:val="16"/>
          <w:szCs w:val="16"/>
          <w:color w:val="auto"/>
        </w:rPr>
        <w:t>Price discounts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 The loss of a</w:t>
      </w:r>
    </w:p>
    <w:p>
      <w:pPr>
        <w:sectPr>
          <w:pgSz w:w="11900" w:h="16900" w:orient="portrait"/>
          <w:cols w:equalWidth="0" w:num="1">
            <w:col w:w="10139"/>
          </w:cols>
          <w:pgMar w:left="320" w:top="311" w:right="1440" w:bottom="0" w:gutter="0" w:footer="0" w:header="0"/>
        </w:sectPr>
      </w:pPr>
    </w:p>
    <w:bookmarkStart w:id="16" w:name="page17"/>
    <w:bookmarkEnd w:id="16"/>
    <w:p>
      <w:pPr>
        <w:ind w:right="1839"/>
        <w:spacing w:after="0" w:line="235" w:lineRule="auto"/>
        <w:rPr>
          <w:sz w:val="20"/>
          <w:szCs w:val="20"/>
          <w:color w:val="auto"/>
        </w:rPr>
      </w:pPr>
      <w:r>
        <w:rPr>
          <w:rFonts w:ascii="Courier New" w:cs="Courier New" w:eastAsia="Courier New" w:hAnsi="Courier New"/>
          <w:sz w:val="18"/>
          <w:szCs w:val="18"/>
          <w:color w:val="auto"/>
        </w:rPr>
        <w:t>majority or all representatives or dealers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139"/>
          </w:cols>
          <w:pgMar w:left="320" w:top="14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680"/>
        <w:spacing w:after="0" w:line="237"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 - (continued)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As of December 31, 1999, the Company had $4,173,089 in cash and $8,896,471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207"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In addition, the Company's revolving $5 million line of credit matures in December of 2000 and there can be no assurance that the Company will be able to extend the maturity date of the line of credit or obtain a replacement line of credit from another commercial institution. The Company had no outstanding balance payable on the line of credit as of December 31, 1999. To the extent the line of credit is not extended or replaced and cash from operations is unavailable to pay the indebtedness then outstanding under the line of credit, the Company may be required to seek additional financing.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 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Upon Key Employees</w:t>
      </w:r>
    </w:p>
    <w:p>
      <w:pPr>
        <w:spacing w:after="0" w:line="206"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The Company is substantially dependent upon certain of its employees, including Frances M. Flood, a Director, President and Chief Executive Officer and a stockholder of the Company. The loss of Ms. Flood by the Company could have a material adverse effect on the Company. The Company currently has in place a key person life insurance policy on the life of Ms. Flood in the amount of $3,000,000.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6" w:lineRule="exact"/>
        <w:rPr>
          <w:sz w:val="20"/>
          <w:szCs w:val="20"/>
          <w:color w:val="auto"/>
        </w:rPr>
      </w:pPr>
    </w:p>
    <w:p>
      <w:pPr>
        <w:ind w:right="1719"/>
        <w:spacing w:after="0" w:line="269" w:lineRule="auto"/>
        <w:rPr>
          <w:sz w:val="20"/>
          <w:szCs w:val="20"/>
          <w:color w:val="auto"/>
        </w:rPr>
      </w:pPr>
      <w:r>
        <w:rPr>
          <w:rFonts w:ascii="Courier New" w:cs="Courier New" w:eastAsia="Courier New" w:hAnsi="Courier New"/>
          <w:sz w:val="16"/>
          <w:szCs w:val="16"/>
          <w:color w:val="auto"/>
        </w:rPr>
        <w:t>The Company has no written agreements with any of its suppliers. Furthermore, 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388"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Although the Company believes that most of the key components required for the production of its products are currently available in sufficient production quantities, there can be no assurance that they will remain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may be adversely affected.</w:t>
      </w:r>
    </w:p>
    <w:p>
      <w:pPr>
        <w:sectPr>
          <w:pgSz w:w="11900" w:h="16838" w:orient="portrait"/>
          <w:cols w:equalWidth="0" w:num="1">
            <w:col w:w="10139"/>
          </w:cols>
          <w:pgMar w:left="320" w:top="311" w:right="1440" w:bottom="0" w:gutter="0" w:footer="0" w:header="0"/>
        </w:sectPr>
      </w:pPr>
    </w:p>
    <w:bookmarkStart w:id="18" w:name="page19"/>
    <w:bookmarkEnd w:id="18"/>
    <w:p>
      <w:pPr>
        <w:ind w:left="29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019"/>
          </w:cols>
          <w:pgMar w:left="1440" w:top="540"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680"/>
        <w:spacing w:after="0" w:line="237"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 - (continued)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6" w:lineRule="exact"/>
        <w:rPr>
          <w:sz w:val="20"/>
          <w:szCs w:val="20"/>
          <w:color w:val="auto"/>
        </w:rPr>
      </w:pPr>
    </w:p>
    <w:p>
      <w:pPr>
        <w:ind w:right="1719"/>
        <w:spacing w:after="0" w:line="271"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06" w:lineRule="exact"/>
        <w:rPr>
          <w:sz w:val="20"/>
          <w:szCs w:val="20"/>
          <w:color w:val="auto"/>
        </w:rPr>
      </w:pPr>
    </w:p>
    <w:p>
      <w:pPr>
        <w:jc w:val="both"/>
        <w:ind w:right="2039"/>
        <w:spacing w:after="0" w:line="267" w:lineRule="auto"/>
        <w:rPr>
          <w:sz w:val="20"/>
          <w:szCs w:val="20"/>
          <w:color w:val="auto"/>
        </w:rPr>
      </w:pPr>
      <w:r>
        <w:rPr>
          <w:rFonts w:ascii="Courier New" w:cs="Courier New" w:eastAsia="Courier New" w:hAnsi="Courier New"/>
          <w:sz w:val="16"/>
          <w:szCs w:val="16"/>
          <w:color w:val="auto"/>
        </w:rPr>
        <w:t>In the conferencing market, the Company is dependent on government funding to place its distance learning sales and courtroom equipment sales. In the event government funding was stopped, these sales would be negatively impacted.</w:t>
      </w:r>
    </w:p>
    <w:p>
      <w:pPr>
        <w:spacing w:after="0" w:line="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Additionally, many of the Company's products are subject to governmental regulations. New regulations could significantly impact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6" w:lineRule="exact"/>
        <w:rPr>
          <w:sz w:val="20"/>
          <w:szCs w:val="20"/>
          <w:color w:val="auto"/>
        </w:rPr>
      </w:pPr>
    </w:p>
    <w:p>
      <w:pPr>
        <w:ind w:right="1839"/>
        <w:spacing w:after="0" w:line="236"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210" w:lineRule="exact"/>
        <w:rPr>
          <w:sz w:val="20"/>
          <w:szCs w:val="20"/>
          <w:color w:val="auto"/>
        </w:rPr>
      </w:pPr>
    </w:p>
    <w:p>
      <w:pPr>
        <w:ind w:right="171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Possible Negative Effect of Future Financing</w:t>
      </w:r>
    </w:p>
    <w:p>
      <w:pPr>
        <w:spacing w:after="0" w:line="207" w:lineRule="exact"/>
        <w:rPr>
          <w:sz w:val="20"/>
          <w:szCs w:val="20"/>
          <w:color w:val="auto"/>
        </w:rPr>
      </w:pPr>
    </w:p>
    <w:p>
      <w:pPr>
        <w:ind w:right="1719"/>
        <w:spacing w:after="0" w:line="270" w:lineRule="auto"/>
        <w:rPr>
          <w:sz w:val="20"/>
          <w:szCs w:val="20"/>
          <w:color w:val="auto"/>
        </w:rPr>
      </w:pPr>
      <w:r>
        <w:rPr>
          <w:rFonts w:ascii="Courier New" w:cs="Courier New" w:eastAsia="Courier New" w:hAnsi="Courier New"/>
          <w:sz w:val="16"/>
          <w:szCs w:val="16"/>
          <w:color w:val="auto"/>
        </w:rPr>
        <w:t>The Company has outstanding options issued under the Company's 1990 Incentive Plan and the 1998 Stock Option Plan, which includes options to purchase up to 1,900,000 shares of Common Stock granted or available for grant.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Control by Officers and Directors</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The officers and directors of the Company together had beneficial ownership of approximately 26.8% of the Common Stock (including options that are currently exercisable or exercisable within sixty (60) days) of the Company as of December 31, 1999. This significant holding in the aggregate place the officers and directors in a position, when acting together, to effectively control the Company (see "Security Ownership of Certain Beneficial Owners and Management" in the Company's Form 10-KSB for the fiscal year ended June 30, 1999, incorporated herein by reference).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Collectability of Outstanding Receivables</w:t>
      </w:r>
    </w:p>
    <w:p>
      <w:pPr>
        <w:spacing w:after="0" w:line="206" w:lineRule="exact"/>
        <w:rPr>
          <w:sz w:val="20"/>
          <w:szCs w:val="20"/>
          <w:color w:val="auto"/>
        </w:rPr>
      </w:pPr>
    </w:p>
    <w:p>
      <w:pPr>
        <w:ind w:right="1939"/>
        <w:spacing w:after="0" w:line="236" w:lineRule="auto"/>
        <w:rPr>
          <w:sz w:val="20"/>
          <w:szCs w:val="20"/>
          <w:color w:val="auto"/>
        </w:rPr>
      </w:pPr>
      <w:r>
        <w:rPr>
          <w:rFonts w:ascii="Courier New" w:cs="Courier New" w:eastAsia="Courier New" w:hAnsi="Courier New"/>
          <w:sz w:val="18"/>
          <w:szCs w:val="18"/>
          <w:color w:val="auto"/>
        </w:rPr>
        <w:t>The Company grants credit without requiring collateral to substantially all of its customers. Although the possibility of a large percentage of customers defaulting exists, the Company considers this scenario to be highly unlikely. The current default rate is approximately 0.24%.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6" w:lineRule="exact"/>
        <w:rPr>
          <w:sz w:val="20"/>
          <w:szCs w:val="20"/>
          <w:color w:val="auto"/>
        </w:rPr>
      </w:pPr>
    </w:p>
    <w:p>
      <w:pPr>
        <w:ind w:right="1719"/>
        <w:spacing w:after="0" w:line="270" w:lineRule="auto"/>
        <w:rPr>
          <w:sz w:val="20"/>
          <w:szCs w:val="20"/>
          <w:color w:val="auto"/>
        </w:rPr>
      </w:pPr>
      <w:r>
        <w:rPr>
          <w:rFonts w:ascii="Courier New" w:cs="Courier New" w:eastAsia="Courier New" w:hAnsi="Courier New"/>
          <w:sz w:val="16"/>
          <w:szCs w:val="16"/>
          <w:color w:val="auto"/>
        </w:rPr>
        <w:t>The Company assessed the impact of the Year 2000 issue* on its information technology ("IT") and non-IT systems. The Company completed all Year 2000 readiness work and did not experience any system problems. Approximately $53,500 was incurred during fiscal 1999 to upgrade existing systems so that they would be Year 2000 compatible. During fiscal 2000, all necessary software upgrades and patches were provided to the Company at no cost. The Company identified two of its systems and some personal computers that had to be upgraded. There were no significant interruptions to the business caused by the upgrade process. The Company financed the upgrades with operating income.</w:t>
      </w:r>
    </w:p>
    <w:p>
      <w:pPr>
        <w:sectPr>
          <w:pgSz w:w="11900" w:h="16838" w:orient="portrait"/>
          <w:cols w:equalWidth="0" w:num="1">
            <w:col w:w="10139"/>
          </w:cols>
          <w:pgMar w:left="320" w:top="3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139"/>
          </w:cols>
          <w:pgMar w:left="320" w:top="311" w:right="1440" w:bottom="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680"/>
        <w:spacing w:after="0" w:line="237"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 - (continued)</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The Company purchased the software and hardware to upgrade its internal phone system, including the voice mail system. The system was upgraded during fiscal 1999, and associates were trained on how to use the new system. The cost of this software and hardware was approximately $50,000. The Company also upgraded its conference calling bridge. This system is essential to the Company's conference calling service. The manufacturer furnished the software to the Company at no cost, and internal costs during the upgrade process were minimal. The personal computers were upgraded by the end of April of 1999, at a cost of approximately $3,500.</w:t>
      </w:r>
    </w:p>
    <w:p>
      <w:pPr>
        <w:spacing w:after="0" w:line="208"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To the best of our knowledge, the Company determined through direct contacts that its material vendors and suppliers, and its larger customers were Year 2000 compliant. To date, no major customer or supplier that the Company contacted has experienced any Year 2000 compliance problems that have impacted the operations of the Company.</w:t>
      </w:r>
    </w:p>
    <w:p>
      <w:pPr>
        <w:spacing w:after="0" w:line="210" w:lineRule="exact"/>
        <w:rPr>
          <w:sz w:val="20"/>
          <w:szCs w:val="20"/>
          <w:color w:val="auto"/>
        </w:rPr>
      </w:pPr>
    </w:p>
    <w:p>
      <w:pPr>
        <w:ind w:right="2039"/>
        <w:spacing w:after="0" w:line="236" w:lineRule="auto"/>
        <w:rPr>
          <w:sz w:val="20"/>
          <w:szCs w:val="20"/>
          <w:color w:val="auto"/>
        </w:rPr>
      </w:pPr>
      <w:r>
        <w:rPr>
          <w:rFonts w:ascii="Courier New" w:cs="Courier New" w:eastAsia="Courier New" w:hAnsi="Courier New"/>
          <w:sz w:val="18"/>
          <w:szCs w:val="18"/>
          <w:color w:val="auto"/>
        </w:rPr>
        <w:t>The Company developed contingency plans for dealing with Year 2000 issues, including the worst case scenarios. Those plans are in place. To date, it has not been necessary to put any contingency plans into effect.</w:t>
      </w:r>
    </w:p>
    <w:p>
      <w:pPr>
        <w:spacing w:after="0" w:line="207"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The Company's GSC3000 software that experienced a non-critical error related to the date changing to 2000. No data was lost or corrupted as a result of the problem. The alarm screen reported the date as 1/1/100 instead of 1/1/00. This problem has been resolved for all customers through the application of a software patch sent directly to each customer. The cost of this patch, including labor and materials, was approximately $4,000.</w:t>
      </w:r>
    </w:p>
    <w:p>
      <w:pPr>
        <w:spacing w:after="0" w:line="211" w:lineRule="exact"/>
        <w:rPr>
          <w:sz w:val="20"/>
          <w:szCs w:val="20"/>
          <w:color w:val="auto"/>
        </w:rPr>
      </w:pPr>
    </w:p>
    <w:p>
      <w:pPr>
        <w:jc w:val="center"/>
        <w:ind w:left="320" w:right="2259" w:firstLine="3"/>
        <w:spacing w:after="0" w:line="267" w:lineRule="auto"/>
        <w:tabs>
          <w:tab w:leader="none" w:pos="53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 2000 Issue" has arisen because many computer programs were written using only the last two digits to refer to a year (i.e. "98" for</w:t>
      </w:r>
    </w:p>
    <w:p>
      <w:pPr>
        <w:ind w:left="320" w:right="17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1998). Therefore, these computer programs may not properly recognize the year 2000. If not corrected, many computer applications could fail or create erroneous results.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139"/>
          </w:cols>
          <w:pgMar w:left="320" w:top="311"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ind w:left="840" w:hanging="832"/>
        <w:spacing w:after="0"/>
        <w:tabs>
          <w:tab w:leader="none" w:pos="8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6" w:lineRule="exact"/>
        <w:rPr>
          <w:sz w:val="20"/>
          <w:szCs w:val="20"/>
          <w:color w:val="auto"/>
        </w:rPr>
      </w:pPr>
    </w:p>
    <w:p>
      <w:pPr>
        <w:jc w:val="both"/>
        <w:ind w:right="1839"/>
        <w:spacing w:after="0" w:line="278"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ectPr>
          <w:pgSz w:w="11900" w:h="16838" w:orient="portrait"/>
          <w:cols w:equalWidth="0" w:num="1">
            <w:col w:w="10139"/>
          </w:cols>
          <w:pgMar w:left="320" w:top="311" w:right="1440" w:bottom="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3.1(1),(2)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939"/>
        <w:spacing w:after="0" w:line="235" w:lineRule="auto"/>
        <w:rPr>
          <w:sz w:val="20"/>
          <w:szCs w:val="20"/>
          <w:color w:val="auto"/>
        </w:rPr>
      </w:pPr>
      <w:r>
        <w:rPr>
          <w:rFonts w:ascii="Courier New" w:cs="Courier New" w:eastAsia="Courier New" w:hAnsi="Courier New"/>
          <w:sz w:val="18"/>
          <w:szCs w:val="18"/>
          <w:color w:val="auto"/>
        </w:rPr>
        <w:t>Articles of Incorporation and all amendments thereto through March 1, 1988. (Page 10)</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10.4(1),(2)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039"/>
        <w:spacing w:after="0" w:line="236" w:lineRule="auto"/>
        <w:rPr>
          <w:sz w:val="20"/>
          <w:szCs w:val="20"/>
          <w:color w:val="auto"/>
        </w:rPr>
      </w:pPr>
      <w:r>
        <w:rPr>
          <w:rFonts w:ascii="Courier New" w:cs="Courier New" w:eastAsia="Courier New" w:hAnsi="Courier New"/>
          <w:sz w:val="18"/>
          <w:szCs w:val="18"/>
          <w:color w:val="auto"/>
        </w:rPr>
        <w:t>VRC-1000 Purchase Agreement between Gentner Engineering Company, Inc. (a former subsidiary of the Company which was merged into the Company) and Gentner Research Ltd., dated January 1, 1987. (Page 71)</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ind w:right="1839"/>
        <w:spacing w:after="0" w:line="278"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ectPr>
          <w:pgSz w:w="11900" w:h="16838" w:orient="portrait"/>
          <w:cols w:equalWidth="0" w:num="1">
            <w:col w:w="10139"/>
          </w:cols>
          <w:pgMar w:left="320" w:top="311" w:right="1440" w:bottom="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3.1(1),(2)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Articles of Incorporation, dated July 1, 1991.</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65)</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10.1(1),(2)</w:t>
      </w:r>
    </w:p>
    <w:p>
      <w:pPr>
        <w:spacing w:after="0" w:line="20" w:lineRule="exact"/>
        <w:rPr>
          <w:sz w:val="20"/>
          <w:szCs w:val="20"/>
          <w:color w:val="auto"/>
        </w:rPr>
      </w:pPr>
      <w:r>
        <w:rPr>
          <w:sz w:val="20"/>
          <w:szCs w:val="20"/>
          <w:color w:val="auto"/>
        </w:rPr>
        <w:br w:type="column"/>
      </w:r>
    </w:p>
    <w:p>
      <w:pPr>
        <w:ind w:right="1839"/>
        <w:spacing w:after="0" w:line="236" w:lineRule="auto"/>
        <w:rPr>
          <w:sz w:val="20"/>
          <w:szCs w:val="20"/>
          <w:color w:val="auto"/>
        </w:rPr>
      </w:pPr>
      <w:r>
        <w:rPr>
          <w:rFonts w:ascii="Courier New" w:cs="Courier New" w:eastAsia="Courier New" w:hAnsi="Courier New"/>
          <w:sz w:val="18"/>
          <w:szCs w:val="18"/>
          <w:color w:val="auto"/>
        </w:rPr>
        <w:t>Internal Modem Purchase Agreement between Gentner Engineering Company, Inc. and Gentner Research, Ltd., dated October 12, 1987. (Page 69)</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10.2(1),(2)</w:t>
      </w:r>
    </w:p>
    <w:p>
      <w:pPr>
        <w:spacing w:after="0" w:line="20" w:lineRule="exact"/>
        <w:rPr>
          <w:sz w:val="20"/>
          <w:szCs w:val="20"/>
          <w:color w:val="auto"/>
        </w:rPr>
      </w:pPr>
      <w:r>
        <w:rPr>
          <w:sz w:val="20"/>
          <w:szCs w:val="20"/>
          <w:color w:val="auto"/>
        </w:rPr>
        <w:br w:type="column"/>
      </w:r>
    </w:p>
    <w:p>
      <w:pPr>
        <w:ind w:right="1719"/>
        <w:spacing w:after="0" w:line="236" w:lineRule="auto"/>
        <w:rPr>
          <w:sz w:val="20"/>
          <w:szCs w:val="20"/>
          <w:color w:val="auto"/>
        </w:rPr>
      </w:pPr>
      <w:r>
        <w:rPr>
          <w:rFonts w:ascii="Courier New" w:cs="Courier New" w:eastAsia="Courier New" w:hAnsi="Courier New"/>
          <w:sz w:val="18"/>
          <w:szCs w:val="18"/>
          <w:color w:val="auto"/>
        </w:rPr>
        <w:t>Digital Hybrid Purchase Agreement between Gentner Engineering, Inc. and Gentner Research, Ltd., dated September 8, 1988. (Page 74)</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both"/>
        <w:ind w:right="183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1993. The exhibit numbers shown are those in the 1993 Form 10-KSB as originally filed.</w:t>
      </w:r>
    </w:p>
    <w:p>
      <w:pPr>
        <w:sectPr>
          <w:pgSz w:w="11900" w:h="16838" w:orient="portrait"/>
          <w:cols w:equalWidth="0" w:num="1">
            <w:col w:w="10139"/>
          </w:cols>
          <w:pgMar w:left="320" w:top="3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Bylaws, as amended on August 24, 1993. (Page 16)</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25" w:lineRule="exact"/>
        <w:rPr>
          <w:sz w:val="20"/>
          <w:szCs w:val="20"/>
          <w:color w:val="auto"/>
        </w:rPr>
      </w:pPr>
    </w:p>
    <w:p>
      <w:pPr>
        <w:jc w:val="both"/>
        <w:ind w:right="183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1996. The exhibit numbers shown are those in the 1996 Form 10-KSB as originally filed.</w:t>
      </w:r>
    </w:p>
    <w:p>
      <w:pPr>
        <w:sectPr>
          <w:pgSz w:w="11900" w:h="16838" w:orient="portrait"/>
          <w:cols w:equalWidth="0" w:num="1">
            <w:col w:w="10139"/>
          </w:cols>
          <w:pgMar w:left="320" w:top="3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1990 Incentive Plan, as amended August 7, 1996 (Page 40)</w:t>
      </w:r>
    </w:p>
    <w:p>
      <w:pPr>
        <w:sectPr>
          <w:pgSz w:w="11900" w:h="16838" w:orient="portrait"/>
          <w:cols w:equalWidth="0" w:num="2">
            <w:col w:w="1380" w:space="520"/>
            <w:col w:w="8239"/>
          </w:cols>
          <w:pgMar w:left="320" w:top="311" w:right="1440" w:bottom="0" w:gutter="0" w:footer="0" w:header="0"/>
          <w:type w:val="continuous"/>
        </w:sectPr>
      </w:pPr>
    </w:p>
    <w:bookmarkStart w:id="22" w:name="page23"/>
    <w:bookmarkEnd w:id="22"/>
    <w:p>
      <w:pPr>
        <w:jc w:val="both"/>
        <w:ind w:right="183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1997. The exhibit numbers shown are those in the 1997 Form 10-KSB as originally filed.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139"/>
          </w:cols>
          <w:pgMar w:left="320" w:top="546"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18</w:t>
            </w:r>
          </w:p>
        </w:tc>
        <w:tc>
          <w:tcPr>
            <w:tcW w:w="6680" w:type="dxa"/>
            <w:vAlign w:val="bottom"/>
          </w:tcPr>
          <w:p>
            <w:pPr>
              <w:spacing w:after="0"/>
              <w:rPr>
                <w:sz w:val="17"/>
                <w:szCs w:val="17"/>
                <w:color w:val="auto"/>
              </w:rPr>
            </w:pPr>
          </w:p>
        </w:tc>
      </w:tr>
      <w:tr>
        <w:trPr>
          <w:trHeight w:val="808"/>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680" w:type="dxa"/>
            <w:vAlign w:val="bottom"/>
          </w:tcPr>
          <w:p>
            <w:pPr>
              <w:spacing w:after="0"/>
              <w:rPr>
                <w:sz w:val="24"/>
                <w:szCs w:val="24"/>
                <w:color w:val="auto"/>
              </w:rPr>
            </w:pPr>
          </w:p>
        </w:tc>
      </w:tr>
      <w:tr>
        <w:trPr>
          <w:trHeight w:val="202"/>
        </w:trPr>
        <w:tc>
          <w:tcPr>
            <w:tcW w:w="1740" w:type="dxa"/>
            <w:vAlign w:val="bottom"/>
          </w:tcPr>
          <w:p>
            <w:pPr>
              <w:spacing w:after="0" w:line="202" w:lineRule="exact"/>
              <w:rPr>
                <w:sz w:val="20"/>
                <w:szCs w:val="20"/>
                <w:color w:val="auto"/>
              </w:rPr>
            </w:pPr>
            <w:r>
              <w:rPr>
                <w:rFonts w:ascii="Courier New" w:cs="Courier New" w:eastAsia="Courier New" w:hAnsi="Courier New"/>
                <w:sz w:val="18"/>
                <w:szCs w:val="18"/>
                <w:color w:val="auto"/>
              </w:rPr>
              <w:t>NUMBER</w:t>
            </w: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DESCRIPTION</w:t>
            </w:r>
          </w:p>
        </w:tc>
      </w:tr>
      <w:tr>
        <w:trPr>
          <w:trHeight w:val="202"/>
        </w:trPr>
        <w:tc>
          <w:tcPr>
            <w:tcW w:w="174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6680" w:type="dxa"/>
            <w:vAlign w:val="bottom"/>
          </w:tcPr>
          <w:p>
            <w:pPr>
              <w:ind w:left="360"/>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10.1(1),(2)</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w w:val="97"/>
              </w:rPr>
              <w:t>Commercial Credit and Security Agreement, and Promissory Note,</w:t>
            </w:r>
          </w:p>
        </w:tc>
      </w:tr>
      <w:tr>
        <w:trPr>
          <w:trHeight w:val="202"/>
        </w:trPr>
        <w:tc>
          <w:tcPr>
            <w:tcW w:w="17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between Company and First Security Bank, N.A. (original</w:t>
            </w:r>
          </w:p>
        </w:tc>
      </w:tr>
      <w:tr>
        <w:trPr>
          <w:trHeight w:val="202"/>
        </w:trPr>
        <w:tc>
          <w:tcPr>
            <w:tcW w:w="17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aggregate amount of $2,500,000) (Page7)</w:t>
            </w:r>
          </w:p>
        </w:tc>
      </w:tr>
      <w:tr>
        <w:trPr>
          <w:trHeight w:val="4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10.2(1),(2),(3)</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1997 Employee Stock Purchase Plan (Page 37)</w:t>
            </w:r>
          </w:p>
        </w:tc>
      </w:tr>
      <w:tr>
        <w:trPr>
          <w:trHeight w:val="4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10.3(1),(2)</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Promissory Note in favor of Safeco Credit Company ($419,000)</w:t>
            </w:r>
          </w:p>
        </w:tc>
      </w:tr>
      <w:tr>
        <w:trPr>
          <w:trHeight w:val="202"/>
        </w:trPr>
        <w:tc>
          <w:tcPr>
            <w:tcW w:w="17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(Page 52)</w:t>
            </w:r>
          </w:p>
        </w:tc>
      </w:tr>
      <w:tr>
        <w:trPr>
          <w:trHeight w:val="4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10.4(1),(2)</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w w:val="97"/>
              </w:rPr>
              <w:t>Commercial Credit and Security Agreement, and Promissory Note,</w:t>
            </w:r>
          </w:p>
        </w:tc>
      </w:tr>
      <w:tr>
        <w:trPr>
          <w:trHeight w:val="202"/>
        </w:trPr>
        <w:tc>
          <w:tcPr>
            <w:tcW w:w="17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between Company and First Security Bank ($322,716.55) (Page</w:t>
            </w:r>
          </w:p>
        </w:tc>
      </w:tr>
      <w:tr>
        <w:trPr>
          <w:trHeight w:val="202"/>
        </w:trPr>
        <w:tc>
          <w:tcPr>
            <w:tcW w:w="17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53)</w:t>
            </w:r>
          </w:p>
        </w:tc>
      </w:tr>
      <w:tr>
        <w:trPr>
          <w:trHeight w:val="4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10.5(1),(2)</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Lease between Company and Valley American Investment Company</w:t>
            </w:r>
          </w:p>
        </w:tc>
      </w:tr>
      <w:tr>
        <w:trPr>
          <w:trHeight w:val="202"/>
        </w:trPr>
        <w:tc>
          <w:tcPr>
            <w:tcW w:w="17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(Page 71)</w:t>
            </w:r>
          </w:p>
        </w:tc>
      </w:tr>
    </w:tbl>
    <w:p>
      <w:pPr>
        <w:spacing w:after="0" w:line="200" w:lineRule="exact"/>
        <w:rPr>
          <w:sz w:val="20"/>
          <w:szCs w:val="20"/>
          <w:color w:val="auto"/>
        </w:rPr>
      </w:pPr>
    </w:p>
    <w:p>
      <w:pPr>
        <w:spacing w:after="0" w:line="208" w:lineRule="exact"/>
        <w:rPr>
          <w:sz w:val="20"/>
          <w:szCs w:val="20"/>
          <w:color w:val="auto"/>
        </w:rPr>
      </w:pPr>
    </w:p>
    <w:p>
      <w:pPr>
        <w:jc w:val="both"/>
        <w:ind w:right="183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1998. The exhibit numbers shown are those in the 1998 Form 10-KSB as originally filed.</w:t>
      </w:r>
    </w:p>
    <w:p>
      <w:pPr>
        <w:sectPr>
          <w:pgSz w:w="11900" w:h="16838" w:orient="portrait"/>
          <w:cols w:equalWidth="0" w:num="1">
            <w:col w:w="10139"/>
          </w:cols>
          <w:pgMar w:left="320" w:top="3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10.1(1),(2),(3)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Stock Option Plan and Form of Grant (Page 42)</w:t>
      </w:r>
    </w:p>
    <w:p>
      <w:pPr>
        <w:spacing w:after="0" w:line="200" w:lineRule="exact"/>
        <w:rPr>
          <w:sz w:val="20"/>
          <w:szCs w:val="20"/>
          <w:color w:val="auto"/>
        </w:rPr>
      </w:pPr>
    </w:p>
    <w:p>
      <w:pPr>
        <w:sectPr>
          <w:pgSz w:w="11900" w:h="16838" w:orient="portrait"/>
          <w:cols w:equalWidth="0" w:num="2">
            <w:col w:w="1580" w:space="320"/>
            <w:col w:w="8239"/>
          </w:cols>
          <w:pgMar w:left="320" w:top="3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10.2(1),(2)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839"/>
        <w:spacing w:after="0" w:line="235" w:lineRule="auto"/>
        <w:rPr>
          <w:sz w:val="20"/>
          <w:szCs w:val="20"/>
          <w:color w:val="auto"/>
        </w:rPr>
      </w:pPr>
      <w:r>
        <w:rPr>
          <w:rFonts w:ascii="Courier New" w:cs="Courier New" w:eastAsia="Courier New" w:hAnsi="Courier New"/>
          <w:sz w:val="18"/>
          <w:szCs w:val="18"/>
          <w:color w:val="auto"/>
        </w:rPr>
        <w:t>Modification Agreement dated as of December 24, 1997, between First Security Bank, N.A. and the Company (Page 66)</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document is filed as an exhibit to this Form 10-QSB.</w:t>
      </w:r>
    </w:p>
    <w:p>
      <w:pPr>
        <w:sectPr>
          <w:pgSz w:w="11900" w:h="16838" w:orient="portrait"/>
          <w:cols w:equalWidth="0" w:num="1">
            <w:col w:w="10139"/>
          </w:cols>
          <w:pgMar w:left="320" w:top="3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Promissory Note, Loan Agreement, and Commercial Security Agreement between Company and Bank One, Utah, N.A. dated as of January 5, 1999 (original aggregate amount of $5,000,000) (Page 15)</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documents are filed as exhibits to this Form 10-QSB.</w:t>
      </w:r>
    </w:p>
    <w:p>
      <w:pPr>
        <w:sectPr>
          <w:pgSz w:w="11900" w:h="16838" w:orient="portrait"/>
          <w:cols w:equalWidth="0" w:num="1">
            <w:col w:w="10139"/>
          </w:cols>
          <w:pgMar w:left="320" w:top="3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7"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16" w:lineRule="exact"/>
        <w:rPr>
          <w:sz w:val="20"/>
          <w:szCs w:val="20"/>
          <w:color w:val="auto"/>
        </w:rPr>
      </w:pPr>
    </w:p>
    <w:p>
      <w:pPr>
        <w:sectPr>
          <w:pgSz w:w="11900" w:h="16838" w:orient="portrait"/>
          <w:cols w:equalWidth="0" w:num="2">
            <w:col w:w="1180" w:space="720"/>
            <w:col w:w="8239"/>
          </w:cols>
          <w:pgMar w:left="320" w:top="311"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311" w:right="1440" w:bottom="0" w:gutter="0" w:footer="0" w:header="0"/>
          <w:type w:val="continuous"/>
        </w:sectPr>
      </w:pPr>
    </w:p>
    <w:p>
      <w:pPr>
        <w:spacing w:after="0" w:line="21" w:lineRule="exact"/>
        <w:rPr>
          <w:sz w:val="20"/>
          <w:szCs w:val="20"/>
          <w:color w:val="auto"/>
        </w:rPr>
      </w:pPr>
    </w:p>
    <w:p>
      <w:pPr>
        <w:ind w:left="540" w:right="183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to other filings pursuant to the provisions of Rule 12b-32 under the Securities Exchange Act of 1934.</w:t>
      </w:r>
    </w:p>
    <w:p>
      <w:pPr>
        <w:spacing w:after="0" w:line="206" w:lineRule="exact"/>
        <w:rPr>
          <w:rFonts w:ascii="Courier New" w:cs="Courier New" w:eastAsia="Courier New" w:hAnsi="Courier New"/>
          <w:sz w:val="18"/>
          <w:szCs w:val="18"/>
          <w:color w:val="auto"/>
        </w:rPr>
      </w:pPr>
    </w:p>
    <w:p>
      <w:pPr>
        <w:ind w:left="540" w:right="193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Identifies management or compensatory plans, contracts or arrangements.</w:t>
      </w:r>
    </w:p>
    <w:p>
      <w:pPr>
        <w:spacing w:after="0" w:line="200" w:lineRule="exact"/>
        <w:rPr>
          <w:rFonts w:ascii="Courier New" w:cs="Courier New" w:eastAsia="Courier New" w:hAnsi="Courier New"/>
          <w:sz w:val="18"/>
          <w:szCs w:val="18"/>
          <w:color w:val="auto"/>
        </w:rPr>
      </w:pPr>
    </w:p>
    <w:p>
      <w:pPr>
        <w:ind w:left="1260" w:hanging="412"/>
        <w:spacing w:after="0"/>
        <w:tabs>
          <w:tab w:leader="none" w:pos="12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ectPr>
          <w:pgSz w:w="11900" w:h="16838" w:orient="portrait"/>
          <w:cols w:equalWidth="0" w:num="1">
            <w:col w:w="10139"/>
          </w:cols>
          <w:pgMar w:left="320" w:top="311" w:right="1440" w:bottom="0" w:gutter="0" w:footer="0" w:header="0"/>
          <w:type w:val="continuous"/>
        </w:sectPr>
      </w:pPr>
    </w:p>
    <w:bookmarkStart w:id="24" w:name="page25"/>
    <w:bookmarkEnd w:id="24"/>
    <w:p>
      <w:pPr>
        <w:jc w:val="right"/>
        <w:ind w:right="2459"/>
        <w:spacing w:after="0"/>
        <w:rPr>
          <w:sz w:val="20"/>
          <w:szCs w:val="20"/>
          <w:color w:val="auto"/>
        </w:rPr>
      </w:pPr>
      <w:r>
        <w:rPr>
          <w:rFonts w:ascii="Courier New" w:cs="Courier New" w:eastAsia="Courier New" w:hAnsi="Courier New"/>
          <w:sz w:val="18"/>
          <w:szCs w:val="18"/>
          <w:color w:val="auto"/>
        </w:rPr>
        <w:t>The Company filed no reports on Form 8-K during the latest fiscal</w:t>
      </w:r>
    </w:p>
    <w:p>
      <w:pPr>
        <w:spacing w:after="0" w:line="237" w:lineRule="auto"/>
        <w:rPr>
          <w:sz w:val="20"/>
          <w:szCs w:val="20"/>
          <w:color w:val="auto"/>
        </w:rPr>
      </w:pPr>
      <w:r>
        <w:rPr>
          <w:rFonts w:ascii="Courier New" w:cs="Courier New" w:eastAsia="Courier New" w:hAnsi="Courier New"/>
          <w:sz w:val="18"/>
          <w:szCs w:val="18"/>
          <w:color w:val="auto"/>
        </w:rPr>
        <w:t>quarter.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139"/>
          </w:cols>
          <w:pgMar w:left="320" w:top="136"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8" w:lineRule="exact"/>
        <w:rPr>
          <w:sz w:val="20"/>
          <w:szCs w:val="20"/>
          <w:color w:val="auto"/>
        </w:rPr>
      </w:pPr>
    </w:p>
    <w:p>
      <w:pPr>
        <w:ind w:right="1719" w:firstLine="840"/>
        <w:spacing w:after="0" w:line="236" w:lineRule="auto"/>
        <w:rPr>
          <w:sz w:val="20"/>
          <w:szCs w:val="20"/>
          <w:color w:val="auto"/>
        </w:rPr>
      </w:pPr>
      <w:r>
        <w:rPr>
          <w:rFonts w:ascii="Courier New" w:cs="Courier New" w:eastAsia="Courier New" w:hAnsi="Courier New"/>
          <w:sz w:val="18"/>
          <w:szCs w:val="18"/>
          <w:color w:val="auto"/>
        </w:rPr>
        <w:t>In accordance with the requirements of the Securities and Exchange Act, the registrant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GENTNER COMMUNICATIONS CORPORATION</w:t>
      </w:r>
    </w:p>
    <w:p>
      <w:pPr>
        <w:ind w:left="4200"/>
        <w:spacing w:after="0" w:line="237"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139"/>
          </w:cols>
          <w:pgMar w:left="32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Susie Strohm</w:t>
      </w:r>
    </w:p>
    <w:p>
      <w:pPr>
        <w:spacing w:after="0" w:line="237"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ectPr>
          <w:pgSz w:w="11900" w:h="16838" w:orient="portrait"/>
          <w:cols w:equalWidth="0" w:num="3">
            <w:col w:w="540" w:space="200"/>
            <w:col w:w="2740" w:space="720"/>
            <w:col w:w="5939"/>
          </w:cols>
          <w:pgMar w:left="320" w:top="311"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139"/>
          </w:cols>
          <w:pgMar w:left="320" w:top="311"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2"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7" w:lineRule="auto"/>
        <w:rPr>
          <w:sz w:val="20"/>
          <w:szCs w:val="20"/>
          <w:color w:val="auto"/>
        </w:rPr>
      </w:pPr>
      <w:r>
        <w:rPr>
          <w:rFonts w:ascii="Courier New" w:cs="Courier New" w:eastAsia="Courier New" w:hAnsi="Courier New"/>
          <w:sz w:val="18"/>
          <w:szCs w:val="18"/>
          <w:color w:val="auto"/>
        </w:rPr>
        <w:t>JUN-30-2000</w:t>
      </w:r>
    </w:p>
    <w:p>
      <w:pPr>
        <w:ind w:left="3140"/>
        <w:spacing w:after="0" w:line="238" w:lineRule="auto"/>
        <w:rPr>
          <w:sz w:val="20"/>
          <w:szCs w:val="20"/>
          <w:color w:val="auto"/>
        </w:rPr>
      </w:pPr>
      <w:r>
        <w:rPr>
          <w:rFonts w:ascii="Courier New" w:cs="Courier New" w:eastAsia="Courier New" w:hAnsi="Courier New"/>
          <w:sz w:val="18"/>
          <w:szCs w:val="18"/>
          <w:color w:val="auto"/>
        </w:rPr>
        <w:t>DEC-31-1999</w:t>
      </w:r>
    </w:p>
    <w:p>
      <w:pPr>
        <w:ind w:left="3880"/>
        <w:spacing w:after="0" w:line="238" w:lineRule="auto"/>
        <w:rPr>
          <w:sz w:val="20"/>
          <w:szCs w:val="20"/>
          <w:color w:val="auto"/>
        </w:rPr>
      </w:pPr>
      <w:r>
        <w:rPr>
          <w:rFonts w:ascii="Courier New" w:cs="Courier New" w:eastAsia="Courier New" w:hAnsi="Courier New"/>
          <w:sz w:val="18"/>
          <w:szCs w:val="18"/>
          <w:color w:val="auto"/>
        </w:rPr>
        <w:t>$4,173,089</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140"/>
        <w:spacing w:after="0" w:line="237" w:lineRule="auto"/>
        <w:rPr>
          <w:sz w:val="20"/>
          <w:szCs w:val="20"/>
          <w:color w:val="auto"/>
        </w:rPr>
      </w:pPr>
      <w:r>
        <w:rPr>
          <w:rFonts w:ascii="Courier New" w:cs="Courier New" w:eastAsia="Courier New" w:hAnsi="Courier New"/>
          <w:sz w:val="18"/>
          <w:szCs w:val="18"/>
          <w:color w:val="auto"/>
        </w:rPr>
        <w:t>$3,458,171</w:t>
      </w:r>
    </w:p>
    <w:p>
      <w:pPr>
        <w:ind w:left="3240"/>
        <w:spacing w:after="0" w:line="238" w:lineRule="auto"/>
        <w:rPr>
          <w:sz w:val="20"/>
          <w:szCs w:val="20"/>
          <w:color w:val="auto"/>
        </w:rPr>
      </w:pPr>
      <w:r>
        <w:rPr>
          <w:rFonts w:ascii="Courier New" w:cs="Courier New" w:eastAsia="Courier New" w:hAnsi="Courier New"/>
          <w:sz w:val="18"/>
          <w:szCs w:val="18"/>
          <w:color w:val="auto"/>
        </w:rPr>
        <w:t>$(283,267)</w:t>
      </w:r>
    </w:p>
    <w:p>
      <w:pPr>
        <w:ind w:left="3360"/>
        <w:spacing w:after="0" w:line="238" w:lineRule="auto"/>
        <w:rPr>
          <w:sz w:val="20"/>
          <w:szCs w:val="20"/>
          <w:color w:val="auto"/>
        </w:rPr>
      </w:pPr>
      <w:r>
        <w:rPr>
          <w:rFonts w:ascii="Courier New" w:cs="Courier New" w:eastAsia="Courier New" w:hAnsi="Courier New"/>
          <w:sz w:val="18"/>
          <w:szCs w:val="18"/>
          <w:color w:val="auto"/>
        </w:rPr>
        <w:t>$2,901,939</w:t>
      </w:r>
    </w:p>
    <w:p>
      <w:pPr>
        <w:ind w:left="2720"/>
        <w:spacing w:after="0" w:line="238" w:lineRule="auto"/>
        <w:rPr>
          <w:sz w:val="20"/>
          <w:szCs w:val="20"/>
          <w:color w:val="auto"/>
        </w:rPr>
      </w:pPr>
      <w:r>
        <w:rPr>
          <w:rFonts w:ascii="Courier New" w:cs="Courier New" w:eastAsia="Courier New" w:hAnsi="Courier New"/>
          <w:sz w:val="18"/>
          <w:szCs w:val="18"/>
          <w:color w:val="auto"/>
        </w:rPr>
        <w:t>$10,848,555</w:t>
      </w:r>
    </w:p>
    <w:p>
      <w:pPr>
        <w:ind w:left="3880"/>
        <w:spacing w:after="0" w:line="238" w:lineRule="auto"/>
        <w:rPr>
          <w:sz w:val="20"/>
          <w:szCs w:val="20"/>
          <w:color w:val="auto"/>
        </w:rPr>
      </w:pPr>
      <w:r>
        <w:rPr>
          <w:rFonts w:ascii="Courier New" w:cs="Courier New" w:eastAsia="Courier New" w:hAnsi="Courier New"/>
          <w:sz w:val="18"/>
          <w:szCs w:val="18"/>
          <w:color w:val="auto"/>
        </w:rPr>
        <w:t>$6,059,780</w:t>
      </w:r>
    </w:p>
    <w:p>
      <w:pPr>
        <w:jc w:val="right"/>
        <w:ind w:right="5939"/>
        <w:spacing w:after="0" w:line="237" w:lineRule="auto"/>
        <w:rPr>
          <w:sz w:val="20"/>
          <w:szCs w:val="20"/>
          <w:color w:val="auto"/>
        </w:rPr>
      </w:pPr>
      <w:r>
        <w:rPr>
          <w:rFonts w:ascii="Courier New" w:cs="Courier New" w:eastAsia="Courier New" w:hAnsi="Courier New"/>
          <w:sz w:val="18"/>
          <w:szCs w:val="18"/>
          <w:color w:val="auto"/>
        </w:rPr>
        <w:t>$(3,867,372)</w:t>
      </w:r>
    </w:p>
    <w:p>
      <w:pPr>
        <w:jc w:val="right"/>
        <w:ind w:right="5939"/>
        <w:spacing w:after="0" w:line="238" w:lineRule="auto"/>
        <w:rPr>
          <w:sz w:val="20"/>
          <w:szCs w:val="20"/>
          <w:color w:val="auto"/>
        </w:rPr>
      </w:pPr>
      <w:r>
        <w:rPr>
          <w:rFonts w:ascii="Courier New" w:cs="Courier New" w:eastAsia="Courier New" w:hAnsi="Courier New"/>
          <w:sz w:val="18"/>
          <w:szCs w:val="18"/>
          <w:color w:val="auto"/>
        </w:rPr>
        <w:t>$13,123,818</w:t>
      </w:r>
    </w:p>
    <w:p>
      <w:pPr>
        <w:ind w:left="2300"/>
        <w:spacing w:after="0" w:line="238" w:lineRule="auto"/>
        <w:rPr>
          <w:sz w:val="20"/>
          <w:szCs w:val="20"/>
          <w:color w:val="auto"/>
        </w:rPr>
      </w:pPr>
      <w:r>
        <w:rPr>
          <w:rFonts w:ascii="Courier New" w:cs="Courier New" w:eastAsia="Courier New" w:hAnsi="Courier New"/>
          <w:sz w:val="18"/>
          <w:szCs w:val="18"/>
          <w:color w:val="auto"/>
        </w:rPr>
        <w:t>$1,929,464</w:t>
      </w:r>
    </w:p>
    <w:p>
      <w:pPr>
        <w:jc w:val="center"/>
        <w:ind w:right="459"/>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0</w:t>
      </w:r>
    </w:p>
    <w:p>
      <w:pPr>
        <w:ind w:left="4300"/>
        <w:spacing w:after="0" w:line="238" w:lineRule="auto"/>
        <w:rPr>
          <w:sz w:val="20"/>
          <w:szCs w:val="20"/>
          <w:color w:val="auto"/>
        </w:rPr>
      </w:pPr>
      <w:r>
        <w:rPr>
          <w:rFonts w:ascii="Courier New" w:cs="Courier New" w:eastAsia="Courier New" w:hAnsi="Courier New"/>
          <w:sz w:val="18"/>
          <w:szCs w:val="18"/>
          <w:color w:val="auto"/>
        </w:rPr>
        <w:t>0</w:t>
      </w:r>
    </w:p>
    <w:p>
      <w:pPr>
        <w:ind w:left="4080"/>
        <w:spacing w:after="0" w:line="238" w:lineRule="auto"/>
        <w:rPr>
          <w:sz w:val="20"/>
          <w:szCs w:val="20"/>
          <w:color w:val="auto"/>
        </w:rPr>
      </w:pPr>
      <w:r>
        <w:rPr>
          <w:rFonts w:ascii="Courier New" w:cs="Courier New" w:eastAsia="Courier New" w:hAnsi="Courier New"/>
          <w:sz w:val="18"/>
          <w:szCs w:val="18"/>
          <w:color w:val="auto"/>
        </w:rPr>
        <w:t>$8,232</w:t>
      </w:r>
    </w:p>
    <w:p>
      <w:pPr>
        <w:ind w:left="3360"/>
        <w:spacing w:after="0" w:line="238" w:lineRule="auto"/>
        <w:rPr>
          <w:sz w:val="20"/>
          <w:szCs w:val="20"/>
          <w:color w:val="auto"/>
        </w:rPr>
      </w:pPr>
      <w:r>
        <w:rPr>
          <w:rFonts w:ascii="Courier New" w:cs="Courier New" w:eastAsia="Courier New" w:hAnsi="Courier New"/>
          <w:sz w:val="18"/>
          <w:szCs w:val="18"/>
          <w:color w:val="auto"/>
        </w:rPr>
        <w:t>$10,641,596</w:t>
      </w:r>
    </w:p>
    <w:p>
      <w:pPr>
        <w:ind w:left="1460"/>
        <w:spacing w:after="0" w:line="238" w:lineRule="auto"/>
        <w:rPr>
          <w:sz w:val="20"/>
          <w:szCs w:val="20"/>
          <w:color w:val="auto"/>
        </w:rPr>
      </w:pPr>
      <w:r>
        <w:rPr>
          <w:rFonts w:ascii="Courier New" w:cs="Courier New" w:eastAsia="Courier New" w:hAnsi="Courier New"/>
          <w:sz w:val="18"/>
          <w:szCs w:val="18"/>
          <w:color w:val="auto"/>
        </w:rPr>
        <w:t>$13,123,818</w:t>
      </w:r>
    </w:p>
    <w:p>
      <w:pPr>
        <w:ind w:left="3660"/>
        <w:spacing w:after="0" w:line="237" w:lineRule="auto"/>
        <w:rPr>
          <w:sz w:val="20"/>
          <w:szCs w:val="20"/>
          <w:color w:val="auto"/>
        </w:rPr>
      </w:pPr>
      <w:r>
        <w:rPr>
          <w:rFonts w:ascii="Courier New" w:cs="Courier New" w:eastAsia="Courier New" w:hAnsi="Courier New"/>
          <w:sz w:val="18"/>
          <w:szCs w:val="18"/>
          <w:color w:val="auto"/>
        </w:rPr>
        <w:t>$14,500,112</w:t>
      </w:r>
    </w:p>
    <w:p>
      <w:pPr>
        <w:ind w:left="2720"/>
        <w:spacing w:after="0" w:line="238" w:lineRule="auto"/>
        <w:rPr>
          <w:sz w:val="20"/>
          <w:szCs w:val="20"/>
          <w:color w:val="auto"/>
        </w:rPr>
      </w:pPr>
      <w:r>
        <w:rPr>
          <w:rFonts w:ascii="Courier New" w:cs="Courier New" w:eastAsia="Courier New" w:hAnsi="Courier New"/>
          <w:sz w:val="18"/>
          <w:szCs w:val="18"/>
          <w:color w:val="auto"/>
        </w:rPr>
        <w:t>$14,500,112</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$5,674,287</w:t>
      </w:r>
    </w:p>
    <w:p>
      <w:pPr>
        <w:spacing w:after="0" w:line="1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$8,825,825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2940"/>
        <w:spacing w:after="0" w:line="238" w:lineRule="auto"/>
        <w:rPr>
          <w:sz w:val="20"/>
          <w:szCs w:val="20"/>
          <w:color w:val="auto"/>
        </w:rPr>
      </w:pPr>
      <w:r>
        <w:rPr>
          <w:rFonts w:ascii="Courier New" w:cs="Courier New" w:eastAsia="Courier New" w:hAnsi="Courier New"/>
          <w:sz w:val="18"/>
          <w:szCs w:val="18"/>
          <w:color w:val="auto"/>
        </w:rPr>
        <w:t>$53,372</w:t>
      </w:r>
    </w:p>
    <w:p>
      <w:pPr>
        <w:ind w:left="2940"/>
        <w:spacing w:after="0" w:line="238" w:lineRule="auto"/>
        <w:rPr>
          <w:sz w:val="20"/>
          <w:szCs w:val="20"/>
          <w:color w:val="auto"/>
        </w:rPr>
      </w:pPr>
      <w:r>
        <w:rPr>
          <w:rFonts w:ascii="Courier New" w:cs="Courier New" w:eastAsia="Courier New" w:hAnsi="Courier New"/>
          <w:sz w:val="18"/>
          <w:szCs w:val="18"/>
          <w:color w:val="auto"/>
        </w:rPr>
        <w:t>$3,399,162</w:t>
      </w:r>
    </w:p>
    <w:p>
      <w:pPr>
        <w:ind w:left="3240"/>
        <w:spacing w:after="0" w:line="237" w:lineRule="auto"/>
        <w:rPr>
          <w:sz w:val="20"/>
          <w:szCs w:val="20"/>
          <w:color w:val="auto"/>
        </w:rPr>
      </w:pPr>
      <w:r>
        <w:rPr>
          <w:rFonts w:ascii="Courier New" w:cs="Courier New" w:eastAsia="Courier New" w:hAnsi="Courier New"/>
          <w:sz w:val="18"/>
          <w:szCs w:val="18"/>
          <w:color w:val="auto"/>
        </w:rPr>
        <w:t>$1,267,000</w:t>
      </w:r>
    </w:p>
    <w:p>
      <w:pPr>
        <w:ind w:left="2520"/>
        <w:spacing w:after="0" w:line="238" w:lineRule="auto"/>
        <w:rPr>
          <w:sz w:val="20"/>
          <w:szCs w:val="20"/>
          <w:color w:val="auto"/>
        </w:rPr>
      </w:pPr>
      <w:r>
        <w:rPr>
          <w:rFonts w:ascii="Courier New" w:cs="Courier New" w:eastAsia="Courier New" w:hAnsi="Courier New"/>
          <w:sz w:val="18"/>
          <w:szCs w:val="18"/>
          <w:color w:val="auto"/>
        </w:rPr>
        <w:t>$2,132,162</w:t>
      </w:r>
    </w:p>
    <w:p>
      <w:pPr>
        <w:ind w:left="3980"/>
        <w:spacing w:after="0" w:line="238" w:lineRule="auto"/>
        <w:rPr>
          <w:sz w:val="20"/>
          <w:szCs w:val="20"/>
          <w:color w:val="auto"/>
        </w:rPr>
      </w:pPr>
      <w:r>
        <w:rPr>
          <w:rFonts w:ascii="Courier New" w:cs="Courier New" w:eastAsia="Courier New" w:hAnsi="Courier New"/>
          <w:sz w:val="18"/>
          <w:szCs w:val="18"/>
          <w:color w:val="auto"/>
        </w:rPr>
        <w:t>0</w:t>
      </w:r>
    </w:p>
    <w:p>
      <w:pPr>
        <w:ind w:left="3880"/>
        <w:spacing w:after="0" w:line="238" w:lineRule="auto"/>
        <w:rPr>
          <w:sz w:val="20"/>
          <w:szCs w:val="20"/>
          <w:color w:val="auto"/>
        </w:rPr>
      </w:pPr>
      <w:r>
        <w:rPr>
          <w:rFonts w:ascii="Courier New" w:cs="Courier New" w:eastAsia="Courier New" w:hAnsi="Courier New"/>
          <w:sz w:val="18"/>
          <w:szCs w:val="18"/>
          <w:color w:val="auto"/>
        </w:rPr>
        <w:t>0</w:t>
      </w:r>
    </w:p>
    <w:p>
      <w:pPr>
        <w:ind w:left="452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$2,132,162</w:t>
      </w:r>
    </w:p>
    <w:p>
      <w:pPr>
        <w:ind w:left="3660"/>
        <w:spacing w:after="0" w:line="238" w:lineRule="auto"/>
        <w:rPr>
          <w:sz w:val="20"/>
          <w:szCs w:val="20"/>
          <w:color w:val="auto"/>
        </w:rPr>
      </w:pPr>
      <w:r>
        <w:rPr>
          <w:rFonts w:ascii="Courier New" w:cs="Courier New" w:eastAsia="Courier New" w:hAnsi="Courier New"/>
          <w:sz w:val="18"/>
          <w:szCs w:val="18"/>
          <w:color w:val="auto"/>
        </w:rPr>
        <w:t>$0.26</w:t>
      </w:r>
    </w:p>
    <w:p>
      <w:pPr>
        <w:ind w:left="3660"/>
        <w:spacing w:after="0" w:line="238" w:lineRule="auto"/>
        <w:rPr>
          <w:sz w:val="20"/>
          <w:szCs w:val="20"/>
          <w:color w:val="auto"/>
        </w:rPr>
      </w:pPr>
      <w:r>
        <w:rPr>
          <w:rFonts w:ascii="Courier New" w:cs="Courier New" w:eastAsia="Courier New" w:hAnsi="Courier New"/>
          <w:sz w:val="18"/>
          <w:szCs w:val="18"/>
          <w:color w:val="auto"/>
        </w:rPr>
        <w:t>$0.24</w:t>
      </w:r>
    </w:p>
    <w:sectPr>
      <w:pgSz w:w="11900" w:h="16838" w:orient="portrait"/>
      <w:cols w:equalWidth="0" w:num="1">
        <w:col w:w="10019"/>
      </w:cols>
      <w:pgMar w:left="440" w:top="5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2020-10-07T00:11:20Z</dcterms:created>
  <dcterms:modified xsi:type="dcterms:W3CDTF">2020-10-07T00:11:20Z</dcterms:modified>
</cp:coreProperties>
</file>