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ind w:left="3660"/>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ind w:left="220" w:hanging="212"/>
        <w:spacing w:after="0" w:line="219" w:lineRule="auto"/>
        <w:tabs>
          <w:tab w:leader="none" w:pos="220" w:val="left"/>
        </w:tabs>
        <w:numPr>
          <w:ilvl w:val="0"/>
          <w:numId w:val="1"/>
        </w:numPr>
        <w:rPr>
          <w:rFonts w:ascii="Arial" w:cs="Arial" w:eastAsia="Arial" w:hAnsi="Arial"/>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March 31, 2011</w:t>
      </w:r>
    </w:p>
    <w:p>
      <w:pPr>
        <w:ind w:left="4460"/>
        <w:spacing w:after="0" w:line="230" w:lineRule="auto"/>
        <w:rPr>
          <w:sz w:val="20"/>
          <w:szCs w:val="20"/>
          <w:color w:val="auto"/>
        </w:rPr>
      </w:pPr>
      <w:r>
        <w:rPr>
          <w:rFonts w:ascii="Arial" w:cs="Arial" w:eastAsia="Arial" w:hAnsi="Arial"/>
          <w:sz w:val="22"/>
          <w:szCs w:val="22"/>
          <w:color w:val="auto"/>
        </w:rPr>
        <w:t>or</w:t>
      </w:r>
    </w:p>
    <w:p>
      <w:pPr>
        <w:ind w:left="220" w:hanging="212"/>
        <w:spacing w:after="0" w:line="190" w:lineRule="auto"/>
        <w:tabs>
          <w:tab w:leader="none" w:pos="220" w:val="left"/>
        </w:tabs>
        <w:numPr>
          <w:ilvl w:val="0"/>
          <w:numId w:val="2"/>
        </w:numPr>
        <w:rPr>
          <w:rFonts w:ascii="Arial" w:cs="Arial" w:eastAsia="Arial" w:hAnsi="Arial"/>
          <w:sz w:val="22"/>
          <w:szCs w:val="22"/>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16" w:lineRule="exact"/>
        <w:rPr>
          <w:sz w:val="24"/>
          <w:szCs w:val="24"/>
          <w:color w:val="auto"/>
        </w:rPr>
      </w:pP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jc w:val="center"/>
        <w:ind w:right="1139"/>
        <w:spacing w:after="0"/>
        <w:rPr>
          <w:sz w:val="20"/>
          <w:szCs w:val="20"/>
          <w:color w:val="auto"/>
        </w:rPr>
      </w:pPr>
      <w:r>
        <w:rPr>
          <w:sz w:val="1"/>
          <w:szCs w:val="1"/>
          <w:color w:val="auto"/>
        </w:rPr>
        <w:drawing>
          <wp:inline distT="0" distB="0" distL="0" distR="0">
            <wp:extent cx="137160" cy="123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Arial" w:cs="Arial" w:eastAsia="Arial" w:hAnsi="Arial"/>
          <w:sz w:val="22"/>
          <w:szCs w:val="22"/>
          <w:color w:val="auto"/>
        </w:rPr>
        <w:t>[clro2011q1_10q001.jpg]</w:t>
      </w:r>
    </w:p>
    <w:p>
      <w:pPr>
        <w:jc w:val="center"/>
        <w:ind w:right="1119"/>
        <w:spacing w:after="0" w:line="234" w:lineRule="auto"/>
        <w:rPr>
          <w:sz w:val="20"/>
          <w:szCs w:val="20"/>
          <w:color w:val="auto"/>
        </w:rPr>
      </w:pPr>
      <w:r>
        <w:rPr>
          <w:rFonts w:ascii="Arial" w:cs="Arial" w:eastAsia="Arial" w:hAnsi="Arial"/>
          <w:sz w:val="22"/>
          <w:szCs w:val="22"/>
          <w:b w:val="1"/>
          <w:bCs w:val="1"/>
          <w:color w:val="auto"/>
        </w:rPr>
        <w:t>CLEARONE COMMUNICATIONS, INC.</w:t>
      </w:r>
    </w:p>
    <w:p>
      <w:pPr>
        <w:spacing w:after="0" w:line="1" w:lineRule="exact"/>
        <w:rPr>
          <w:sz w:val="24"/>
          <w:szCs w:val="24"/>
          <w:color w:val="auto"/>
        </w:rPr>
      </w:pPr>
    </w:p>
    <w:p>
      <w:pPr>
        <w:ind w:left="2320"/>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440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2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82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(I.R.S. employer identification number)</w:t>
            </w:r>
          </w:p>
        </w:tc>
      </w:tr>
      <w:tr>
        <w:trPr>
          <w:trHeight w:val="445"/>
        </w:trPr>
        <w:tc>
          <w:tcPr>
            <w:tcW w:w="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40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2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19"/>
                <w:szCs w:val="19"/>
                <w:color w:val="auto"/>
              </w:rPr>
            </w:pPr>
          </w:p>
        </w:tc>
        <w:tc>
          <w:tcPr>
            <w:tcW w:w="358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ind w:right="111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117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1445895</wp:posOffset>
            </wp:positionH>
            <wp:positionV relativeFrom="paragraph">
              <wp:posOffset>-130810</wp:posOffset>
            </wp:positionV>
            <wp:extent cx="2881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24" w:lineRule="exact"/>
        <w:rPr>
          <w:sz w:val="24"/>
          <w:szCs w:val="24"/>
          <w:color w:val="auto"/>
        </w:rPr>
      </w:pPr>
    </w:p>
    <w:p>
      <w:pPr>
        <w:ind w:right="1159"/>
        <w:spacing w:after="0" w:line="238" w:lineRule="auto"/>
        <w:rPr>
          <w:sz w:val="20"/>
          <w:szCs w:val="20"/>
          <w:color w:val="auto"/>
        </w:rPr>
      </w:pPr>
      <w:r>
        <w:rPr>
          <w:rFonts w:ascii="Arial" w:cs="Arial" w:eastAsia="Arial" w:hAnsi="Arial"/>
          <w:sz w:val="22"/>
          <w:szCs w:val="22"/>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212" w:lineRule="exact"/>
        <w:rPr>
          <w:sz w:val="24"/>
          <w:szCs w:val="24"/>
          <w:color w:val="auto"/>
        </w:rPr>
      </w:pPr>
    </w:p>
    <w:p>
      <w:pPr>
        <w:ind w:right="1219"/>
        <w:spacing w:after="0" w:line="246" w:lineRule="auto"/>
        <w:rPr>
          <w:sz w:val="20"/>
          <w:szCs w:val="20"/>
          <w:color w:val="auto"/>
        </w:rPr>
      </w:pPr>
      <w:r>
        <w:rPr>
          <w:rFonts w:ascii="Arial" w:cs="Arial" w:eastAsia="Arial" w:hAnsi="Arial"/>
          <w:sz w:val="21"/>
          <w:szCs w:val="2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8080"/>
        <w:spacing w:after="0"/>
        <w:rPr>
          <w:sz w:val="20"/>
          <w:szCs w:val="20"/>
          <w:color w:val="auto"/>
        </w:rPr>
      </w:pPr>
      <w:r>
        <w:rPr>
          <w:rFonts w:ascii="Arial" w:cs="Arial" w:eastAsia="Arial" w:hAnsi="Arial"/>
          <w:sz w:val="22"/>
          <w:szCs w:val="22"/>
          <w:color w:val="auto"/>
        </w:rPr>
        <w:t>Yes o No o</w:t>
      </w:r>
    </w:p>
    <w:p>
      <w:pPr>
        <w:spacing w:after="0" w:line="188" w:lineRule="exact"/>
        <w:rPr>
          <w:sz w:val="24"/>
          <w:szCs w:val="24"/>
          <w:color w:val="auto"/>
        </w:rPr>
      </w:pPr>
    </w:p>
    <w:p>
      <w:pPr>
        <w:spacing w:after="0"/>
        <w:rPr>
          <w:sz w:val="20"/>
          <w:szCs w:val="20"/>
          <w:color w:val="auto"/>
        </w:rPr>
      </w:pPr>
      <w:r>
        <w:rPr>
          <w:rFonts w:ascii="Arial" w:cs="Arial" w:eastAsia="Arial" w:hAnsi="Arial"/>
          <w:sz w:val="21"/>
          <w:szCs w:val="21"/>
          <w:color w:val="auto"/>
        </w:rPr>
        <w:t>See the definition of “large accelerated filer, “accelerated filer” and “smaller reporting company” in</w:t>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Rule 12b-2 of the Exchange Act. (Check one):</w:t>
      </w:r>
    </w:p>
    <w:p>
      <w:pPr>
        <w:sectPr>
          <w:pgSz w:w="11900" w:h="16838" w:orient="portrait"/>
          <w:cols w:equalWidth="0" w:num="1">
            <w:col w:w="10219"/>
          </w:cols>
          <w:pgMar w:left="240" w:top="706" w:right="1440" w:bottom="144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Larger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5380" w:space="720"/>
            <w:col w:w="4119"/>
          </w:cols>
          <w:pgMar w:left="240" w:top="70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5380" w:space="720"/>
            <w:col w:w="4119"/>
          </w:cols>
          <w:pgMar w:left="240" w:top="706" w:right="1440" w:bottom="1440" w:gutter="0" w:footer="0" w:header="0"/>
          <w:type w:val="continuous"/>
        </w:sectPr>
      </w:pPr>
    </w:p>
    <w:p>
      <w:pPr>
        <w:spacing w:after="0" w:line="1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Exchange Act).</w:t>
      </w:r>
    </w:p>
    <w:p>
      <w:pPr>
        <w:spacing w:after="0"/>
        <w:rPr>
          <w:sz w:val="20"/>
          <w:szCs w:val="20"/>
          <w:color w:val="auto"/>
        </w:rPr>
      </w:pPr>
      <w:r>
        <w:rPr>
          <w:rFonts w:ascii="Arial" w:cs="Arial" w:eastAsia="Arial" w:hAnsi="Arial"/>
          <w:sz w:val="22"/>
          <w:szCs w:val="22"/>
          <w:color w:val="auto"/>
        </w:rPr>
        <w:t>Yes [ ] No [x]</w:t>
      </w:r>
    </w:p>
    <w:p>
      <w:pPr>
        <w:spacing w:after="0" w:line="215" w:lineRule="exact"/>
        <w:rPr>
          <w:sz w:val="24"/>
          <w:szCs w:val="24"/>
          <w:color w:val="auto"/>
        </w:rPr>
      </w:pPr>
    </w:p>
    <w:p>
      <w:pPr>
        <w:ind w:left="2260"/>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ind w:right="1599"/>
        <w:spacing w:after="0" w:line="328" w:lineRule="auto"/>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 8,938,925 shares issued and outstanding as of May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576326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706" w:right="1440" w:bottom="1440" w:gutter="0" w:footer="0" w:header="0"/>
          <w:type w:val="continuous"/>
        </w:sectPr>
      </w:pPr>
    </w:p>
    <w:bookmarkStart w:id="1" w:name="page2"/>
    <w:bookmarkEnd w:id="1"/>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33" w:lineRule="exact"/>
        <w:rPr>
          <w:sz w:val="20"/>
          <w:szCs w:val="20"/>
          <w:color w:val="auto"/>
        </w:rPr>
      </w:pPr>
    </w:p>
    <w:p>
      <w:pPr>
        <w:jc w:val="center"/>
        <w:ind w:right="1119"/>
        <w:spacing w:after="0"/>
        <w:rPr>
          <w:sz w:val="20"/>
          <w:szCs w:val="20"/>
          <w:color w:val="auto"/>
        </w:rPr>
      </w:pPr>
      <w:r>
        <w:rPr>
          <w:rFonts w:ascii="Arial" w:cs="Arial" w:eastAsia="Arial" w:hAnsi="Arial"/>
          <w:sz w:val="22"/>
          <w:szCs w:val="22"/>
          <w:b w:val="1"/>
          <w:bCs w:val="1"/>
          <w:color w:val="auto"/>
        </w:rPr>
        <w:t>FORM 10-Q</w:t>
      </w:r>
    </w:p>
    <w:p>
      <w:pPr>
        <w:spacing w:after="0" w:line="233" w:lineRule="exact"/>
        <w:rPr>
          <w:sz w:val="20"/>
          <w:szCs w:val="20"/>
          <w:color w:val="auto"/>
        </w:rPr>
      </w:pPr>
    </w:p>
    <w:p>
      <w:pPr>
        <w:jc w:val="center"/>
        <w:ind w:right="1119"/>
        <w:spacing w:after="0"/>
        <w:rPr>
          <w:sz w:val="20"/>
          <w:szCs w:val="20"/>
          <w:color w:val="auto"/>
        </w:rPr>
      </w:pPr>
      <w:r>
        <w:rPr>
          <w:rFonts w:ascii="Arial" w:cs="Arial" w:eastAsia="Arial" w:hAnsi="Arial"/>
          <w:sz w:val="22"/>
          <w:szCs w:val="22"/>
          <w:b w:val="1"/>
          <w:bCs w:val="1"/>
          <w:color w:val="auto"/>
        </w:rPr>
        <w:t>FOR THE QUARTER ENDED MARCH 31, 2011</w:t>
      </w:r>
    </w:p>
    <w:p>
      <w:pPr>
        <w:spacing w:after="0" w:line="233"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7860" w:type="dxa"/>
            <w:vAlign w:val="bottom"/>
            <w:vMerge w:val="restart"/>
          </w:tcPr>
          <w:p>
            <w:pPr>
              <w:ind w:left="1880"/>
              <w:spacing w:after="0"/>
              <w:rPr>
                <w:sz w:val="20"/>
                <w:szCs w:val="20"/>
                <w:color w:val="auto"/>
              </w:rPr>
            </w:pPr>
            <w:r>
              <w:rPr>
                <w:rFonts w:ascii="Arial" w:cs="Arial" w:eastAsia="Arial" w:hAnsi="Arial"/>
                <w:sz w:val="22"/>
                <w:szCs w:val="22"/>
                <w:b w:val="1"/>
                <w:bCs w:val="1"/>
                <w:color w:val="auto"/>
              </w:rPr>
              <w:t>PART I – FINANCIAL INFORMATION</w:t>
            </w:r>
          </w:p>
        </w:tc>
        <w:tc>
          <w:tcPr>
            <w:tcW w:w="560" w:type="dxa"/>
            <w:vAlign w:val="bottom"/>
            <w:gridSpan w:val="2"/>
          </w:tcPr>
          <w:p>
            <w:pPr>
              <w:jc w:val="right"/>
              <w:ind w:right="120"/>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3"/>
                <w:szCs w:val="23"/>
                <w:color w:val="auto"/>
              </w:rPr>
            </w:pPr>
          </w:p>
        </w:tc>
        <w:tc>
          <w:tcPr>
            <w:tcW w:w="7860" w:type="dxa"/>
            <w:vAlign w:val="bottom"/>
            <w:vMerge w:val="continue"/>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7860" w:type="dxa"/>
            <w:vAlign w:val="bottom"/>
          </w:tcPr>
          <w:p>
            <w:pPr>
              <w:ind w:left="140"/>
              <w:spacing w:after="0"/>
              <w:rPr>
                <w:sz w:val="20"/>
                <w:szCs w:val="20"/>
                <w:color w:val="auto"/>
              </w:rPr>
            </w:pPr>
            <w:r>
              <w:rPr>
                <w:rFonts w:ascii="Arial" w:cs="Arial" w:eastAsia="Arial" w:hAnsi="Arial"/>
                <w:sz w:val="18"/>
                <w:szCs w:val="18"/>
                <w:color w:val="auto"/>
              </w:rPr>
              <w:t>Consolidated Financial Statements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7860" w:type="dxa"/>
            <w:vAlign w:val="bottom"/>
          </w:tcPr>
          <w:p>
            <w:pPr>
              <w:ind w:left="360"/>
              <w:spacing w:after="0"/>
              <w:rPr>
                <w:sz w:val="20"/>
                <w:szCs w:val="20"/>
                <w:color w:val="auto"/>
              </w:rPr>
            </w:pPr>
            <w:r>
              <w:rPr>
                <w:rFonts w:ascii="Arial" w:cs="Arial" w:eastAsia="Arial" w:hAnsi="Arial"/>
                <w:sz w:val="18"/>
                <w:szCs w:val="18"/>
                <w:color w:val="auto"/>
              </w:rPr>
              <w:t>Consolidated Balance Sheets as of March 31, 2011 and December 31, 2010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Consolidated Statements of Operations for the quarter ended March 31, 2011 and 2010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quarter ended March 31, 2011 and 2010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786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786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786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550"/>
        </w:trPr>
        <w:tc>
          <w:tcPr>
            <w:tcW w:w="780" w:type="dxa"/>
            <w:vAlign w:val="bottom"/>
          </w:tcPr>
          <w:p>
            <w:pPr>
              <w:spacing w:after="0"/>
              <w:rPr>
                <w:sz w:val="24"/>
                <w:szCs w:val="24"/>
                <w:color w:val="auto"/>
              </w:rPr>
            </w:pPr>
          </w:p>
        </w:tc>
        <w:tc>
          <w:tcPr>
            <w:tcW w:w="7860" w:type="dxa"/>
            <w:vAlign w:val="bottom"/>
          </w:tcPr>
          <w:p>
            <w:pPr>
              <w:ind w:left="2060"/>
              <w:spacing w:after="0"/>
              <w:rPr>
                <w:sz w:val="20"/>
                <w:szCs w:val="20"/>
                <w:color w:val="auto"/>
              </w:rPr>
            </w:pPr>
            <w:r>
              <w:rPr>
                <w:rFonts w:ascii="Arial" w:cs="Arial" w:eastAsia="Arial" w:hAnsi="Arial"/>
                <w:sz w:val="22"/>
                <w:szCs w:val="22"/>
                <w:b w:val="1"/>
                <w:bCs w:val="1"/>
                <w:color w:val="auto"/>
              </w:rPr>
              <w:t>PART II – OTHER INFORMATION</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786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786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786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786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7860" w:type="dxa"/>
            <w:vAlign w:val="bottom"/>
          </w:tcPr>
          <w:p>
            <w:pPr>
              <w:ind w:left="140"/>
              <w:spacing w:after="0"/>
              <w:rPr>
                <w:sz w:val="20"/>
                <w:szCs w:val="20"/>
                <w:color w:val="auto"/>
              </w:rPr>
            </w:pPr>
            <w:r>
              <w:rPr>
                <w:rFonts w:ascii="Arial" w:cs="Arial" w:eastAsia="Arial" w:hAnsi="Arial"/>
                <w:sz w:val="18"/>
                <w:szCs w:val="18"/>
                <w:color w:val="auto"/>
              </w:rPr>
              <w:t>Removed and Reserved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786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7860" w:type="dxa"/>
            <w:vAlign w:val="bottom"/>
          </w:tcPr>
          <w:p>
            <w:pPr>
              <w:ind w:left="140"/>
              <w:spacing w:after="0"/>
              <w:rPr>
                <w:sz w:val="20"/>
                <w:szCs w:val="20"/>
                <w:color w:val="auto"/>
              </w:rPr>
            </w:pPr>
            <w:r>
              <w:rPr>
                <w:rFonts w:ascii="Arial" w:cs="Arial" w:eastAsia="Arial" w:hAnsi="Arial"/>
                <w:sz w:val="18"/>
                <w:szCs w:val="18"/>
                <w:color w:val="auto"/>
              </w:rPr>
              <w:t>Exhibits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891"/>
        </w:trPr>
        <w:tc>
          <w:tcPr>
            <w:tcW w:w="7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808080"/>
          </w:tcPr>
          <w:p>
            <w:pPr>
              <w:spacing w:after="0"/>
              <w:rPr>
                <w:sz w:val="11"/>
                <w:szCs w:val="11"/>
                <w:color w:val="auto"/>
              </w:rPr>
            </w:pPr>
          </w:p>
        </w:tc>
        <w:tc>
          <w:tcPr>
            <w:tcW w:w="7860" w:type="dxa"/>
            <w:vAlign w:val="bottom"/>
            <w:shd w:val="clear" w:color="auto" w:fill="808080"/>
          </w:tcPr>
          <w:p>
            <w:pPr>
              <w:spacing w:after="0"/>
              <w:rPr>
                <w:sz w:val="11"/>
                <w:szCs w:val="11"/>
                <w:color w:val="auto"/>
              </w:rPr>
            </w:pPr>
          </w:p>
        </w:tc>
        <w:tc>
          <w:tcPr>
            <w:tcW w:w="440" w:type="dxa"/>
            <w:vAlign w:val="bottom"/>
            <w:shd w:val="clear" w:color="auto" w:fill="808080"/>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55"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33"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CONSOLIDATED BALANCE SHEETS</w:t>
      </w:r>
    </w:p>
    <w:p>
      <w:pPr>
        <w:ind w:left="2720"/>
        <w:spacing w:after="0"/>
        <w:rPr>
          <w:sz w:val="20"/>
          <w:szCs w:val="20"/>
          <w:color w:val="auto"/>
        </w:rPr>
      </w:pPr>
      <w:r>
        <w:rPr>
          <w:rFonts w:ascii="Arial" w:cs="Arial" w:eastAsia="Arial" w:hAnsi="Arial"/>
          <w:sz w:val="22"/>
          <w:szCs w:val="22"/>
          <w:b w:val="1"/>
          <w:bCs w:val="1"/>
          <w:color w:val="auto"/>
        </w:rPr>
        <w:t>(Dollars in thousands, except par value)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93"/>
              </w:rPr>
              <w:t>Audited</w:t>
            </w:r>
          </w:p>
        </w:tc>
      </w:tr>
      <w:tr>
        <w:trPr>
          <w:trHeight w:val="185"/>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As of</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2"/>
              <w:spacing w:after="0"/>
              <w:rPr>
                <w:sz w:val="20"/>
                <w:szCs w:val="20"/>
                <w:color w:val="auto"/>
              </w:rPr>
            </w:pPr>
            <w:r>
              <w:rPr>
                <w:rFonts w:ascii="Arial" w:cs="Arial" w:eastAsia="Arial" w:hAnsi="Arial"/>
                <w:sz w:val="16"/>
                <w:szCs w:val="16"/>
                <w:b w:val="1"/>
                <w:bCs w:val="1"/>
                <w:color w:val="auto"/>
                <w:w w:val="89"/>
              </w:rPr>
              <w:t>As of</w:t>
            </w:r>
          </w:p>
        </w:tc>
      </w:tr>
      <w:tr>
        <w:trPr>
          <w:trHeight w:val="210"/>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4"/>
              </w:rPr>
              <w:t>March 31, 2011</w:t>
            </w:r>
          </w:p>
        </w:tc>
        <w:tc>
          <w:tcPr>
            <w:tcW w:w="180" w:type="dxa"/>
            <w:vAlign w:val="bottom"/>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December 31, 2010</w:t>
            </w:r>
          </w:p>
        </w:tc>
      </w:tr>
      <w:tr>
        <w:trPr>
          <w:trHeight w:val="229"/>
        </w:trPr>
        <w:tc>
          <w:tcPr>
            <w:tcW w:w="5840" w:type="dxa"/>
            <w:vAlign w:val="bottom"/>
          </w:tcPr>
          <w:p>
            <w:pPr>
              <w:ind w:left="25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840" w:type="dxa"/>
            <w:vAlign w:val="bottom"/>
            <w:shd w:val="clear" w:color="auto" w:fill="FDE9D9"/>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360" w:type="dxa"/>
            <w:vAlign w:val="bottom"/>
            <w:shd w:val="clear" w:color="auto" w:fill="FDE9D9"/>
          </w:tcPr>
          <w:p>
            <w:pPr>
              <w:spacing w:after="0"/>
              <w:rPr>
                <w:sz w:val="19"/>
                <w:szCs w:val="19"/>
                <w:color w:val="auto"/>
              </w:rPr>
            </w:pPr>
          </w:p>
        </w:tc>
        <w:tc>
          <w:tcPr>
            <w:tcW w:w="1200" w:type="dxa"/>
            <w:vAlign w:val="bottom"/>
            <w:shd w:val="clear" w:color="auto" w:fill="FDE9D9"/>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13,476</w:t>
            </w:r>
          </w:p>
        </w:tc>
        <w:tc>
          <w:tcPr>
            <w:tcW w:w="5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11,431</w:t>
            </w:r>
          </w:p>
        </w:tc>
      </w:tr>
      <w:tr>
        <w:trPr>
          <w:trHeight w:val="229"/>
        </w:trPr>
        <w:tc>
          <w:tcPr>
            <w:tcW w:w="5840" w:type="dxa"/>
            <w:vAlign w:val="bottom"/>
            <w:shd w:val="clear" w:color="auto" w:fill="FDE9D9"/>
          </w:tcPr>
          <w:p>
            <w:pPr>
              <w:spacing w:after="0"/>
              <w:rPr>
                <w:sz w:val="20"/>
                <w:szCs w:val="20"/>
                <w:color w:val="auto"/>
              </w:rPr>
            </w:pPr>
            <w:r>
              <w:rPr>
                <w:rFonts w:ascii="Arial" w:cs="Arial" w:eastAsia="Arial" w:hAnsi="Arial"/>
                <w:sz w:val="18"/>
                <w:szCs w:val="18"/>
                <w:color w:val="auto"/>
              </w:rPr>
              <w:t>Receivables, net of allowance for doubtful accounts of $81 and $206,</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360" w:type="dxa"/>
            <w:vAlign w:val="bottom"/>
            <w:shd w:val="clear" w:color="auto" w:fill="FDE9D9"/>
          </w:tcPr>
          <w:p>
            <w:pPr>
              <w:spacing w:after="0"/>
              <w:rPr>
                <w:sz w:val="19"/>
                <w:szCs w:val="19"/>
                <w:color w:val="auto"/>
              </w:rPr>
            </w:pPr>
          </w:p>
        </w:tc>
        <w:tc>
          <w:tcPr>
            <w:tcW w:w="1200" w:type="dxa"/>
            <w:vAlign w:val="bottom"/>
            <w:shd w:val="clear" w:color="auto" w:fill="FDE9D9"/>
          </w:tcPr>
          <w:p>
            <w:pPr>
              <w:spacing w:after="0"/>
              <w:rPr>
                <w:sz w:val="19"/>
                <w:szCs w:val="19"/>
                <w:color w:val="auto"/>
              </w:rPr>
            </w:pPr>
          </w:p>
        </w:tc>
      </w:tr>
      <w:tr>
        <w:trPr>
          <w:trHeight w:val="230"/>
        </w:trPr>
        <w:tc>
          <w:tcPr>
            <w:tcW w:w="5840" w:type="dxa"/>
            <w:vAlign w:val="bottom"/>
            <w:shd w:val="clear" w:color="auto" w:fill="FDE9D9"/>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FDE9D9"/>
          </w:tcPr>
          <w:p>
            <w:pPr>
              <w:spacing w:after="0"/>
              <w:rPr>
                <w:sz w:val="20"/>
                <w:szCs w:val="20"/>
                <w:color w:val="auto"/>
              </w:rPr>
            </w:pPr>
          </w:p>
        </w:tc>
        <w:tc>
          <w:tcPr>
            <w:tcW w:w="1320" w:type="dxa"/>
            <w:vAlign w:val="bottom"/>
            <w:shd w:val="clear" w:color="auto" w:fill="FDE9D9"/>
          </w:tcPr>
          <w:p>
            <w:pPr>
              <w:jc w:val="right"/>
              <w:ind w:right="273"/>
              <w:spacing w:after="0"/>
              <w:rPr>
                <w:sz w:val="20"/>
                <w:szCs w:val="20"/>
                <w:color w:val="auto"/>
              </w:rPr>
            </w:pPr>
            <w:r>
              <w:rPr>
                <w:rFonts w:ascii="Arial" w:cs="Arial" w:eastAsia="Arial" w:hAnsi="Arial"/>
                <w:sz w:val="18"/>
                <w:szCs w:val="18"/>
                <w:color w:val="auto"/>
              </w:rPr>
              <w:t>8,613</w:t>
            </w:r>
          </w:p>
        </w:tc>
        <w:tc>
          <w:tcPr>
            <w:tcW w:w="180" w:type="dxa"/>
            <w:vAlign w:val="bottom"/>
            <w:shd w:val="clear" w:color="auto" w:fill="FDE9D9"/>
          </w:tcPr>
          <w:p>
            <w:pPr>
              <w:spacing w:after="0"/>
              <w:rPr>
                <w:sz w:val="20"/>
                <w:szCs w:val="20"/>
                <w:color w:val="auto"/>
              </w:rPr>
            </w:pPr>
          </w:p>
        </w:tc>
        <w:tc>
          <w:tcPr>
            <w:tcW w:w="360" w:type="dxa"/>
            <w:vAlign w:val="bottom"/>
            <w:shd w:val="clear" w:color="auto" w:fill="FDE9D9"/>
          </w:tcPr>
          <w:p>
            <w:pPr>
              <w:spacing w:after="0"/>
              <w:rPr>
                <w:sz w:val="20"/>
                <w:szCs w:val="20"/>
                <w:color w:val="auto"/>
              </w:rPr>
            </w:pPr>
          </w:p>
        </w:tc>
        <w:tc>
          <w:tcPr>
            <w:tcW w:w="1200" w:type="dxa"/>
            <w:vAlign w:val="bottom"/>
            <w:shd w:val="clear" w:color="auto" w:fill="FDE9D9"/>
          </w:tcPr>
          <w:p>
            <w:pPr>
              <w:jc w:val="right"/>
              <w:ind w:right="272"/>
              <w:spacing w:after="0"/>
              <w:rPr>
                <w:sz w:val="20"/>
                <w:szCs w:val="20"/>
                <w:color w:val="auto"/>
              </w:rPr>
            </w:pPr>
            <w:r>
              <w:rPr>
                <w:rFonts w:ascii="Arial" w:cs="Arial" w:eastAsia="Arial" w:hAnsi="Arial"/>
                <w:sz w:val="18"/>
                <w:szCs w:val="18"/>
                <w:color w:val="auto"/>
              </w:rPr>
              <w:t>9,951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9,800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8,780</w:t>
            </w:r>
          </w:p>
        </w:tc>
      </w:tr>
      <w:tr>
        <w:trPr>
          <w:trHeight w:val="230"/>
        </w:trPr>
        <w:tc>
          <w:tcPr>
            <w:tcW w:w="5840" w:type="dxa"/>
            <w:vAlign w:val="bottom"/>
            <w:shd w:val="clear" w:color="auto" w:fill="FDE9D9"/>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jc w:val="right"/>
              <w:ind w:right="273"/>
              <w:spacing w:after="0"/>
              <w:rPr>
                <w:sz w:val="20"/>
                <w:szCs w:val="20"/>
                <w:color w:val="auto"/>
              </w:rPr>
            </w:pPr>
            <w:r>
              <w:rPr>
                <w:rFonts w:ascii="Arial" w:cs="Arial" w:eastAsia="Arial" w:hAnsi="Arial"/>
                <w:sz w:val="18"/>
                <w:szCs w:val="18"/>
                <w:color w:val="auto"/>
              </w:rPr>
              <w:t>3,358</w:t>
            </w:r>
          </w:p>
        </w:tc>
        <w:tc>
          <w:tcPr>
            <w:tcW w:w="180" w:type="dxa"/>
            <w:vAlign w:val="bottom"/>
            <w:shd w:val="clear" w:color="auto" w:fill="FDE9D9"/>
          </w:tcPr>
          <w:p>
            <w:pPr>
              <w:spacing w:after="0"/>
              <w:rPr>
                <w:sz w:val="19"/>
                <w:szCs w:val="19"/>
                <w:color w:val="auto"/>
              </w:rPr>
            </w:pPr>
          </w:p>
        </w:tc>
        <w:tc>
          <w:tcPr>
            <w:tcW w:w="360" w:type="dxa"/>
            <w:vAlign w:val="bottom"/>
            <w:shd w:val="clear" w:color="auto" w:fill="FDE9D9"/>
          </w:tcPr>
          <w:p>
            <w:pPr>
              <w:spacing w:after="0"/>
              <w:rPr>
                <w:sz w:val="19"/>
                <w:szCs w:val="19"/>
                <w:color w:val="auto"/>
              </w:rPr>
            </w:pPr>
          </w:p>
        </w:tc>
        <w:tc>
          <w:tcPr>
            <w:tcW w:w="1200" w:type="dxa"/>
            <w:vAlign w:val="bottom"/>
            <w:shd w:val="clear" w:color="auto" w:fill="FDE9D9"/>
          </w:tcPr>
          <w:p>
            <w:pPr>
              <w:jc w:val="right"/>
              <w:ind w:right="272"/>
              <w:spacing w:after="0"/>
              <w:rPr>
                <w:sz w:val="20"/>
                <w:szCs w:val="20"/>
                <w:color w:val="auto"/>
              </w:rPr>
            </w:pPr>
            <w:r>
              <w:rPr>
                <w:rFonts w:ascii="Arial" w:cs="Arial" w:eastAsia="Arial" w:hAnsi="Arial"/>
                <w:sz w:val="18"/>
                <w:szCs w:val="18"/>
                <w:color w:val="auto"/>
              </w:rPr>
              <w:t>3,389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446</w:t>
            </w:r>
          </w:p>
        </w:tc>
      </w:tr>
      <w:tr>
        <w:trPr>
          <w:trHeight w:val="223"/>
        </w:trPr>
        <w:tc>
          <w:tcPr>
            <w:tcW w:w="5840" w:type="dxa"/>
            <w:vAlign w:val="bottom"/>
            <w:shd w:val="clear" w:color="auto" w:fill="FDE9D9"/>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jc w:val="right"/>
              <w:ind w:right="273"/>
              <w:spacing w:after="0"/>
              <w:rPr>
                <w:sz w:val="20"/>
                <w:szCs w:val="20"/>
                <w:color w:val="auto"/>
              </w:rPr>
            </w:pPr>
            <w:r>
              <w:rPr>
                <w:rFonts w:ascii="Arial" w:cs="Arial" w:eastAsia="Arial" w:hAnsi="Arial"/>
                <w:sz w:val="18"/>
                <w:szCs w:val="18"/>
                <w:color w:val="auto"/>
              </w:rPr>
              <w:t>35,747</w:t>
            </w:r>
          </w:p>
        </w:tc>
        <w:tc>
          <w:tcPr>
            <w:tcW w:w="180" w:type="dxa"/>
            <w:vAlign w:val="bottom"/>
            <w:shd w:val="clear" w:color="auto" w:fill="FDE9D9"/>
          </w:tcPr>
          <w:p>
            <w:pPr>
              <w:spacing w:after="0"/>
              <w:rPr>
                <w:sz w:val="19"/>
                <w:szCs w:val="19"/>
                <w:color w:val="auto"/>
              </w:rPr>
            </w:pPr>
          </w:p>
        </w:tc>
        <w:tc>
          <w:tcPr>
            <w:tcW w:w="360" w:type="dxa"/>
            <w:vAlign w:val="bottom"/>
            <w:shd w:val="clear" w:color="auto" w:fill="FDE9D9"/>
          </w:tcPr>
          <w:p>
            <w:pPr>
              <w:spacing w:after="0"/>
              <w:rPr>
                <w:sz w:val="19"/>
                <w:szCs w:val="19"/>
                <w:color w:val="auto"/>
              </w:rPr>
            </w:pPr>
          </w:p>
        </w:tc>
        <w:tc>
          <w:tcPr>
            <w:tcW w:w="1200" w:type="dxa"/>
            <w:vAlign w:val="bottom"/>
            <w:shd w:val="clear" w:color="auto" w:fill="FDE9D9"/>
          </w:tcPr>
          <w:p>
            <w:pPr>
              <w:jc w:val="right"/>
              <w:ind w:right="272"/>
              <w:spacing w:after="0"/>
              <w:rPr>
                <w:sz w:val="20"/>
                <w:szCs w:val="20"/>
                <w:color w:val="auto"/>
              </w:rPr>
            </w:pPr>
            <w:r>
              <w:rPr>
                <w:rFonts w:ascii="Arial" w:cs="Arial" w:eastAsia="Arial" w:hAnsi="Arial"/>
                <w:sz w:val="18"/>
                <w:szCs w:val="18"/>
                <w:color w:val="auto"/>
              </w:rPr>
              <w:t>33,997</w:t>
            </w:r>
          </w:p>
        </w:tc>
      </w:tr>
    </w:tbl>
    <w:p>
      <w:pPr>
        <w:spacing w:after="0" w:line="200" w:lineRule="exact"/>
        <w:rPr>
          <w:sz w:val="20"/>
          <w:szCs w:val="20"/>
          <w:color w:val="auto"/>
        </w:rPr>
      </w:pPr>
    </w:p>
    <w:p>
      <w:pPr>
        <w:sectPr>
          <w:pgSz w:w="11900" w:h="16838" w:orient="portrait"/>
          <w:cols w:equalWidth="0" w:num="1">
            <w:col w:w="10219"/>
          </w:cols>
          <w:pgMar w:left="240" w:top="355" w:right="1440"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Long-term inventory, net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2,617</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2,910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2,965</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2,745</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726</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913</w:t>
            </w:r>
          </w:p>
        </w:tc>
      </w:tr>
      <w:tr>
        <w:trPr>
          <w:trHeight w:val="203"/>
        </w:trPr>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18</w:t>
            </w:r>
          </w:p>
        </w:tc>
      </w:tr>
      <w:tr>
        <w:trPr>
          <w:trHeight w:val="183"/>
        </w:trPr>
        <w:tc>
          <w:tcPr>
            <w:tcW w:w="4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45,075</w:t>
            </w:r>
          </w:p>
        </w:tc>
        <w:tc>
          <w:tcPr>
            <w:tcW w:w="180" w:type="dxa"/>
            <w:vAlign w:val="bottom"/>
          </w:tcPr>
          <w:p>
            <w:pPr>
              <w:spacing w:after="0"/>
              <w:rPr>
                <w:sz w:val="15"/>
                <w:szCs w:val="15"/>
                <w:color w:val="auto"/>
              </w:rPr>
            </w:pPr>
          </w:p>
        </w:tc>
        <w:tc>
          <w:tcPr>
            <w:tcW w:w="4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43,981</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-1028700</wp:posOffset>
            </wp:positionV>
            <wp:extent cx="579755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-736600</wp:posOffset>
            </wp:positionV>
            <wp:extent cx="579755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-445135</wp:posOffset>
            </wp:positionV>
            <wp:extent cx="579755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579755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4379"/>
          </w:cols>
          <w:pgMar w:left="240" w:top="355" w:right="1440"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20" w:type="dxa"/>
            <w:vAlign w:val="bottom"/>
            <w:shd w:val="clear" w:color="auto" w:fill="FDE9D9"/>
          </w:tcPr>
          <w:p>
            <w:pPr>
              <w:ind w:left="104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4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FDE9D9"/>
          </w:tcPr>
          <w:p>
            <w:pPr>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FDE9D9"/>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DE9D9"/>
          </w:tcPr>
          <w:p>
            <w:pPr>
              <w:jc w:val="right"/>
              <w:ind w:right="270"/>
              <w:spacing w:after="0"/>
              <w:rPr>
                <w:sz w:val="20"/>
                <w:szCs w:val="20"/>
                <w:color w:val="auto"/>
              </w:rPr>
            </w:pPr>
            <w:r>
              <w:rPr>
                <w:rFonts w:ascii="Arial" w:cs="Arial" w:eastAsia="Arial" w:hAnsi="Arial"/>
                <w:sz w:val="18"/>
                <w:szCs w:val="18"/>
                <w:color w:val="auto"/>
              </w:rPr>
              <w:t>3,444</w:t>
            </w:r>
          </w:p>
        </w:tc>
        <w:tc>
          <w:tcPr>
            <w:tcW w:w="640" w:type="dxa"/>
            <w:vAlign w:val="bottom"/>
            <w:gridSpan w:val="2"/>
            <w:shd w:val="clear" w:color="auto" w:fill="FDE9D9"/>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DE9D9"/>
          </w:tcPr>
          <w:p>
            <w:pPr>
              <w:jc w:val="right"/>
              <w:ind w:right="27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3,426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FDE9D9"/>
            </w:tcBorders>
            <w:shd w:val="clear" w:color="auto" w:fill="FDE9D9"/>
          </w:tcPr>
          <w:p>
            <w:pPr>
              <w:spacing w:after="0"/>
              <w:rPr>
                <w:sz w:val="20"/>
                <w:szCs w:val="20"/>
                <w:color w:val="auto"/>
              </w:rPr>
            </w:pPr>
            <w:r>
              <w:rPr>
                <w:rFonts w:ascii="Arial" w:cs="Arial" w:eastAsia="Arial" w:hAnsi="Arial"/>
                <w:sz w:val="18"/>
                <w:szCs w:val="18"/>
                <w:color w:val="auto"/>
              </w:rPr>
              <w:t>Deferred product revenue</w:t>
            </w:r>
          </w:p>
        </w:tc>
        <w:tc>
          <w:tcPr>
            <w:tcW w:w="460" w:type="dxa"/>
            <w:vAlign w:val="bottom"/>
            <w:tcBorders>
              <w:bottom w:val="single" w:sz="8" w:color="auto"/>
            </w:tcBorders>
            <w:shd w:val="clear" w:color="auto" w:fill="FDE9D9"/>
          </w:tcPr>
          <w:p>
            <w:pPr>
              <w:spacing w:after="0"/>
              <w:rPr>
                <w:sz w:val="18"/>
                <w:szCs w:val="18"/>
                <w:color w:val="auto"/>
              </w:rPr>
            </w:pPr>
          </w:p>
        </w:tc>
        <w:tc>
          <w:tcPr>
            <w:tcW w:w="1100" w:type="dxa"/>
            <w:vAlign w:val="bottom"/>
            <w:tcBorders>
              <w:bottom w:val="single" w:sz="8" w:color="auto"/>
            </w:tcBorders>
            <w:shd w:val="clear" w:color="auto" w:fill="FDE9D9"/>
          </w:tcPr>
          <w:p>
            <w:pPr>
              <w:jc w:val="right"/>
              <w:ind w:right="270"/>
              <w:spacing w:after="0"/>
              <w:rPr>
                <w:sz w:val="20"/>
                <w:szCs w:val="20"/>
                <w:color w:val="auto"/>
              </w:rPr>
            </w:pPr>
            <w:r>
              <w:rPr>
                <w:rFonts w:ascii="Arial" w:cs="Arial" w:eastAsia="Arial" w:hAnsi="Arial"/>
                <w:sz w:val="18"/>
                <w:szCs w:val="18"/>
                <w:color w:val="auto"/>
              </w:rPr>
              <w:t>4,564</w:t>
            </w:r>
          </w:p>
        </w:tc>
        <w:tc>
          <w:tcPr>
            <w:tcW w:w="180" w:type="dxa"/>
            <w:vAlign w:val="bottom"/>
            <w:tcBorders>
              <w:bottom w:val="single" w:sz="8" w:color="FDE9D9"/>
            </w:tcBorders>
            <w:shd w:val="clear" w:color="auto" w:fill="FDE9D9"/>
          </w:tcPr>
          <w:p>
            <w:pPr>
              <w:spacing w:after="0"/>
              <w:rPr>
                <w:sz w:val="18"/>
                <w:szCs w:val="18"/>
                <w:color w:val="auto"/>
              </w:rPr>
            </w:pPr>
          </w:p>
        </w:tc>
        <w:tc>
          <w:tcPr>
            <w:tcW w:w="460" w:type="dxa"/>
            <w:vAlign w:val="bottom"/>
            <w:tcBorders>
              <w:bottom w:val="single" w:sz="8" w:color="auto"/>
            </w:tcBorders>
            <w:shd w:val="clear" w:color="auto" w:fill="FDE9D9"/>
          </w:tcPr>
          <w:p>
            <w:pPr>
              <w:spacing w:after="0"/>
              <w:rPr>
                <w:sz w:val="18"/>
                <w:szCs w:val="18"/>
                <w:color w:val="auto"/>
              </w:rPr>
            </w:pPr>
          </w:p>
        </w:tc>
        <w:tc>
          <w:tcPr>
            <w:tcW w:w="1100" w:type="dxa"/>
            <w:vAlign w:val="bottom"/>
            <w:tcBorders>
              <w:bottom w:val="single" w:sz="8" w:color="auto"/>
            </w:tcBorders>
            <w:shd w:val="clear" w:color="auto" w:fill="FDE9D9"/>
          </w:tcPr>
          <w:p>
            <w:pPr>
              <w:jc w:val="right"/>
              <w:ind w:right="27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11,434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20" w:type="dxa"/>
            <w:vAlign w:val="bottom"/>
            <w:shd w:val="clear" w:color="auto" w:fill="FDE9D9"/>
          </w:tcPr>
          <w:p>
            <w:pPr>
              <w:spacing w:after="0"/>
              <w:rPr>
                <w:sz w:val="19"/>
                <w:szCs w:val="19"/>
                <w:color w:val="auto"/>
              </w:rPr>
            </w:pPr>
          </w:p>
        </w:tc>
        <w:tc>
          <w:tcPr>
            <w:tcW w:w="4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4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Deferred rent</w:t>
            </w: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FDE9D9"/>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shd w:val="clear" w:color="auto" w:fill="FDE9D9"/>
          </w:tcPr>
          <w:p>
            <w:pPr>
              <w:spacing w:after="0"/>
              <w:rPr>
                <w:sz w:val="19"/>
                <w:szCs w:val="19"/>
                <w:color w:val="auto"/>
              </w:rPr>
            </w:pPr>
          </w:p>
        </w:tc>
        <w:tc>
          <w:tcPr>
            <w:tcW w:w="1100" w:type="dxa"/>
            <w:vAlign w:val="bottom"/>
            <w:tcBorders>
              <w:bottom w:val="single" w:sz="8" w:color="auto"/>
            </w:tcBorders>
            <w:shd w:val="clear" w:color="auto" w:fill="FDE9D9"/>
          </w:tcPr>
          <w:p>
            <w:pPr>
              <w:jc w:val="right"/>
              <w:ind w:right="27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FDE9D9"/>
          </w:tcPr>
          <w:p>
            <w:pPr>
              <w:spacing w:after="0"/>
              <w:rPr>
                <w:sz w:val="19"/>
                <w:szCs w:val="19"/>
                <w:color w:val="auto"/>
              </w:rPr>
            </w:pPr>
          </w:p>
        </w:tc>
        <w:tc>
          <w:tcPr>
            <w:tcW w:w="460" w:type="dxa"/>
            <w:vAlign w:val="bottom"/>
            <w:tcBorders>
              <w:bottom w:val="single" w:sz="8" w:color="auto"/>
            </w:tcBorders>
            <w:shd w:val="clear" w:color="auto" w:fill="FDE9D9"/>
          </w:tcPr>
          <w:p>
            <w:pPr>
              <w:spacing w:after="0"/>
              <w:rPr>
                <w:sz w:val="19"/>
                <w:szCs w:val="19"/>
                <w:color w:val="auto"/>
              </w:rPr>
            </w:pPr>
          </w:p>
        </w:tc>
        <w:tc>
          <w:tcPr>
            <w:tcW w:w="1100" w:type="dxa"/>
            <w:vAlign w:val="bottom"/>
            <w:tcBorders>
              <w:bottom w:val="single" w:sz="8" w:color="auto"/>
            </w:tcBorders>
            <w:shd w:val="clear" w:color="auto" w:fill="FDE9D9"/>
          </w:tcPr>
          <w:p>
            <w:pPr>
              <w:jc w:val="right"/>
              <w:ind w:right="27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12,468</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20" w:type="dxa"/>
            <w:vAlign w:val="bottom"/>
            <w:shd w:val="clear" w:color="auto" w:fill="FDE9D9"/>
          </w:tcPr>
          <w:p>
            <w:pPr>
              <w:spacing w:after="0"/>
              <w:rPr>
                <w:sz w:val="19"/>
                <w:szCs w:val="19"/>
                <w:color w:val="auto"/>
              </w:rPr>
            </w:pPr>
          </w:p>
        </w:tc>
        <w:tc>
          <w:tcPr>
            <w:tcW w:w="4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4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FDE9D9"/>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8,936,426 and</w:t>
            </w:r>
          </w:p>
        </w:tc>
        <w:tc>
          <w:tcPr>
            <w:tcW w:w="460" w:type="dxa"/>
            <w:vAlign w:val="bottom"/>
            <w:shd w:val="clear" w:color="auto" w:fill="FDE9D9"/>
          </w:tcPr>
          <w:p>
            <w:pPr>
              <w:spacing w:after="0"/>
              <w:rPr>
                <w:sz w:val="17"/>
                <w:szCs w:val="17"/>
                <w:color w:val="auto"/>
              </w:rPr>
            </w:pPr>
          </w:p>
        </w:tc>
        <w:tc>
          <w:tcPr>
            <w:tcW w:w="1100" w:type="dxa"/>
            <w:vAlign w:val="bottom"/>
            <w:shd w:val="clear" w:color="auto" w:fill="FDE9D9"/>
          </w:tcPr>
          <w:p>
            <w:pPr>
              <w:spacing w:after="0"/>
              <w:rPr>
                <w:sz w:val="17"/>
                <w:szCs w:val="17"/>
                <w:color w:val="auto"/>
              </w:rPr>
            </w:pPr>
          </w:p>
        </w:tc>
        <w:tc>
          <w:tcPr>
            <w:tcW w:w="180" w:type="dxa"/>
            <w:vAlign w:val="bottom"/>
            <w:shd w:val="clear" w:color="auto" w:fill="FDE9D9"/>
          </w:tcPr>
          <w:p>
            <w:pPr>
              <w:spacing w:after="0"/>
              <w:rPr>
                <w:sz w:val="17"/>
                <w:szCs w:val="17"/>
                <w:color w:val="auto"/>
              </w:rPr>
            </w:pPr>
          </w:p>
        </w:tc>
        <w:tc>
          <w:tcPr>
            <w:tcW w:w="460" w:type="dxa"/>
            <w:vAlign w:val="bottom"/>
            <w:shd w:val="clear" w:color="auto" w:fill="FDE9D9"/>
          </w:tcPr>
          <w:p>
            <w:pPr>
              <w:spacing w:after="0"/>
              <w:rPr>
                <w:sz w:val="17"/>
                <w:szCs w:val="17"/>
                <w:color w:val="auto"/>
              </w:rPr>
            </w:pPr>
          </w:p>
        </w:tc>
        <w:tc>
          <w:tcPr>
            <w:tcW w:w="1100" w:type="dxa"/>
            <w:vAlign w:val="bottom"/>
            <w:shd w:val="clear" w:color="auto" w:fill="FDE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FDE9D9"/>
          </w:tcPr>
          <w:p>
            <w:pPr>
              <w:ind w:left="160"/>
              <w:spacing w:after="0"/>
              <w:rPr>
                <w:sz w:val="20"/>
                <w:szCs w:val="20"/>
                <w:color w:val="auto"/>
              </w:rPr>
            </w:pPr>
            <w:r>
              <w:rPr>
                <w:rFonts w:ascii="Arial" w:cs="Arial" w:eastAsia="Arial" w:hAnsi="Arial"/>
                <w:sz w:val="18"/>
                <w:szCs w:val="18"/>
                <w:color w:val="auto"/>
              </w:rPr>
              <w:t>8,929,439 shares issued and outstanding, respectively</w:t>
            </w:r>
          </w:p>
        </w:tc>
        <w:tc>
          <w:tcPr>
            <w:tcW w:w="460" w:type="dxa"/>
            <w:vAlign w:val="bottom"/>
            <w:shd w:val="clear" w:color="auto" w:fill="FDE9D9"/>
          </w:tcPr>
          <w:p>
            <w:pPr>
              <w:spacing w:after="0"/>
              <w:rPr>
                <w:sz w:val="20"/>
                <w:szCs w:val="20"/>
                <w:color w:val="auto"/>
              </w:rPr>
            </w:pPr>
          </w:p>
        </w:tc>
        <w:tc>
          <w:tcPr>
            <w:tcW w:w="1100" w:type="dxa"/>
            <w:vAlign w:val="bottom"/>
            <w:shd w:val="clear" w:color="auto" w:fill="FDE9D9"/>
          </w:tcPr>
          <w:p>
            <w:pPr>
              <w:jc w:val="right"/>
              <w:ind w:right="270"/>
              <w:spacing w:after="0"/>
              <w:rPr>
                <w:sz w:val="20"/>
                <w:szCs w:val="20"/>
                <w:color w:val="auto"/>
              </w:rPr>
            </w:pPr>
            <w:r>
              <w:rPr>
                <w:rFonts w:ascii="Arial" w:cs="Arial" w:eastAsia="Arial" w:hAnsi="Arial"/>
                <w:sz w:val="18"/>
                <w:szCs w:val="18"/>
                <w:color w:val="auto"/>
              </w:rPr>
              <w:t>9</w:t>
            </w:r>
          </w:p>
        </w:tc>
        <w:tc>
          <w:tcPr>
            <w:tcW w:w="180" w:type="dxa"/>
            <w:vAlign w:val="bottom"/>
            <w:shd w:val="clear" w:color="auto" w:fill="FDE9D9"/>
          </w:tcPr>
          <w:p>
            <w:pPr>
              <w:spacing w:after="0"/>
              <w:rPr>
                <w:sz w:val="20"/>
                <w:szCs w:val="20"/>
                <w:color w:val="auto"/>
              </w:rPr>
            </w:pPr>
          </w:p>
        </w:tc>
        <w:tc>
          <w:tcPr>
            <w:tcW w:w="460" w:type="dxa"/>
            <w:vAlign w:val="bottom"/>
            <w:shd w:val="clear" w:color="auto" w:fill="FDE9D9"/>
          </w:tcPr>
          <w:p>
            <w:pPr>
              <w:spacing w:after="0"/>
              <w:rPr>
                <w:sz w:val="20"/>
                <w:szCs w:val="20"/>
                <w:color w:val="auto"/>
              </w:rPr>
            </w:pPr>
          </w:p>
        </w:tc>
        <w:tc>
          <w:tcPr>
            <w:tcW w:w="1100" w:type="dxa"/>
            <w:vAlign w:val="bottom"/>
            <w:shd w:val="clear" w:color="auto" w:fill="FDE9D9"/>
          </w:tcPr>
          <w:p>
            <w:pPr>
              <w:jc w:val="right"/>
              <w:ind w:right="2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39,133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39,073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FDE9D9"/>
          </w:tcPr>
          <w:p>
            <w:pPr>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shd w:val="clear" w:color="auto" w:fill="FDE9D9"/>
          </w:tcPr>
          <w:p>
            <w:pPr>
              <w:spacing w:after="0"/>
              <w:rPr>
                <w:sz w:val="19"/>
                <w:szCs w:val="19"/>
                <w:color w:val="auto"/>
              </w:rPr>
            </w:pPr>
          </w:p>
        </w:tc>
        <w:tc>
          <w:tcPr>
            <w:tcW w:w="1100" w:type="dxa"/>
            <w:vAlign w:val="bottom"/>
            <w:tcBorders>
              <w:bottom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(6,535)</w:t>
            </w:r>
          </w:p>
        </w:tc>
        <w:tc>
          <w:tcPr>
            <w:tcW w:w="180" w:type="dxa"/>
            <w:vAlign w:val="bottom"/>
            <w:shd w:val="clear" w:color="auto" w:fill="FDE9D9"/>
          </w:tcPr>
          <w:p>
            <w:pPr>
              <w:spacing w:after="0"/>
              <w:rPr>
                <w:sz w:val="19"/>
                <w:szCs w:val="19"/>
                <w:color w:val="auto"/>
              </w:rPr>
            </w:pPr>
          </w:p>
        </w:tc>
        <w:tc>
          <w:tcPr>
            <w:tcW w:w="460" w:type="dxa"/>
            <w:vAlign w:val="bottom"/>
            <w:tcBorders>
              <w:bottom w:val="single" w:sz="8" w:color="auto"/>
            </w:tcBorders>
            <w:shd w:val="clear" w:color="auto" w:fill="FDE9D9"/>
          </w:tcPr>
          <w:p>
            <w:pPr>
              <w:spacing w:after="0"/>
              <w:rPr>
                <w:sz w:val="19"/>
                <w:szCs w:val="19"/>
                <w:color w:val="auto"/>
              </w:rPr>
            </w:pPr>
          </w:p>
        </w:tc>
        <w:tc>
          <w:tcPr>
            <w:tcW w:w="1100" w:type="dxa"/>
            <w:vAlign w:val="bottom"/>
            <w:tcBorders>
              <w:bottom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ind w:left="160"/>
              <w:spacing w:after="0" w:line="196" w:lineRule="exact"/>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32,607</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31,735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20" w:type="dxa"/>
            <w:vAlign w:val="bottom"/>
            <w:tcBorders>
              <w:bottom w:val="single" w:sz="8" w:color="FDE9D9"/>
            </w:tcBorders>
            <w:shd w:val="clear" w:color="auto" w:fill="FDE9D9"/>
          </w:tcPr>
          <w:p>
            <w:pPr>
              <w:ind w:left="1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60" w:type="dxa"/>
            <w:vAlign w:val="bottom"/>
            <w:tcBorders>
              <w:bottom w:val="single" w:sz="8" w:color="auto"/>
            </w:tcBorders>
            <w:shd w:val="clear" w:color="auto" w:fill="FDE9D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DE9D9"/>
          </w:tcPr>
          <w:p>
            <w:pPr>
              <w:jc w:val="right"/>
              <w:ind w:right="270"/>
              <w:spacing w:after="0" w:line="196" w:lineRule="exact"/>
              <w:rPr>
                <w:sz w:val="20"/>
                <w:szCs w:val="20"/>
                <w:color w:val="auto"/>
              </w:rPr>
            </w:pPr>
            <w:r>
              <w:rPr>
                <w:rFonts w:ascii="Arial" w:cs="Arial" w:eastAsia="Arial" w:hAnsi="Arial"/>
                <w:sz w:val="18"/>
                <w:szCs w:val="18"/>
                <w:color w:val="auto"/>
              </w:rPr>
              <w:t>45,075</w:t>
            </w:r>
          </w:p>
        </w:tc>
        <w:tc>
          <w:tcPr>
            <w:tcW w:w="180" w:type="dxa"/>
            <w:vAlign w:val="bottom"/>
            <w:tcBorders>
              <w:bottom w:val="single" w:sz="8" w:color="FDE9D9"/>
            </w:tcBorders>
            <w:shd w:val="clear" w:color="auto" w:fill="FDE9D9"/>
          </w:tcPr>
          <w:p>
            <w:pPr>
              <w:spacing w:after="0"/>
              <w:rPr>
                <w:sz w:val="20"/>
                <w:szCs w:val="20"/>
                <w:color w:val="auto"/>
              </w:rPr>
            </w:pPr>
          </w:p>
        </w:tc>
        <w:tc>
          <w:tcPr>
            <w:tcW w:w="460" w:type="dxa"/>
            <w:vAlign w:val="bottom"/>
            <w:tcBorders>
              <w:bottom w:val="single" w:sz="8" w:color="auto"/>
            </w:tcBorders>
            <w:shd w:val="clear" w:color="auto" w:fill="FDE9D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DE9D9"/>
          </w:tcPr>
          <w:p>
            <w:pPr>
              <w:jc w:val="right"/>
              <w:ind w:right="270"/>
              <w:spacing w:after="0" w:line="196" w:lineRule="exact"/>
              <w:rPr>
                <w:sz w:val="20"/>
                <w:szCs w:val="20"/>
                <w:color w:val="auto"/>
              </w:rPr>
            </w:pPr>
            <w:r>
              <w:rPr>
                <w:rFonts w:ascii="Arial" w:cs="Arial" w:eastAsia="Arial" w:hAnsi="Arial"/>
                <w:sz w:val="18"/>
                <w:szCs w:val="18"/>
                <w:color w:val="auto"/>
              </w:rPr>
              <w:t>43,981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76326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3" w:name="page4"/>
    <w:bookmarkEnd w:id="3"/>
    <w:p>
      <w:pPr>
        <w:jc w:val="center"/>
        <w:ind w:right="1619"/>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OPERATIONS (Dollars 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6"/>
                <w:szCs w:val="16"/>
                <w:b w:val="1"/>
                <w:bCs w:val="1"/>
                <w:color w:val="auto"/>
              </w:rPr>
              <w:t>Quarter ended</w:t>
            </w:r>
          </w:p>
        </w:tc>
      </w:tr>
      <w:tr>
        <w:trPr>
          <w:trHeight w:val="210"/>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3"/>
              </w:rPr>
              <w:t>March 31, 2011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4"/>
              </w:rPr>
              <w:t>March 31, 2010</w:t>
            </w:r>
          </w:p>
        </w:tc>
      </w:tr>
      <w:tr>
        <w:trPr>
          <w:trHeight w:val="226"/>
        </w:trPr>
        <w:tc>
          <w:tcPr>
            <w:tcW w:w="4780" w:type="dxa"/>
            <w:vAlign w:val="bottom"/>
            <w:shd w:val="clear" w:color="auto" w:fill="FDE9D9"/>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FDE9D9"/>
          </w:tcPr>
          <w:p>
            <w:pPr>
              <w:jc w:val="right"/>
              <w:ind w:right="274"/>
              <w:spacing w:after="0"/>
              <w:rPr>
                <w:sz w:val="20"/>
                <w:szCs w:val="20"/>
                <w:color w:val="auto"/>
              </w:rPr>
            </w:pPr>
            <w:r>
              <w:rPr>
                <w:rFonts w:ascii="Arial" w:cs="Arial" w:eastAsia="Arial" w:hAnsi="Arial"/>
                <w:sz w:val="18"/>
                <w:szCs w:val="18"/>
                <w:color w:val="auto"/>
              </w:rPr>
              <w:t>10,701</w:t>
            </w:r>
          </w:p>
        </w:tc>
        <w:tc>
          <w:tcPr>
            <w:tcW w:w="420" w:type="dxa"/>
            <w:vAlign w:val="bottom"/>
            <w:gridSpan w:val="2"/>
            <w:shd w:val="clear" w:color="auto" w:fill="FDE9D9"/>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FDE9D9"/>
          </w:tcPr>
          <w:p>
            <w:pPr>
              <w:jc w:val="right"/>
              <w:ind w:right="292"/>
              <w:spacing w:after="0"/>
              <w:rPr>
                <w:sz w:val="20"/>
                <w:szCs w:val="20"/>
                <w:color w:val="auto"/>
              </w:rPr>
            </w:pPr>
            <w:r>
              <w:rPr>
                <w:rFonts w:ascii="Arial" w:cs="Arial" w:eastAsia="Arial" w:hAnsi="Arial"/>
                <w:sz w:val="18"/>
                <w:szCs w:val="18"/>
                <w:color w:val="auto"/>
              </w:rPr>
              <w:t>8,356</w:t>
            </w:r>
          </w:p>
        </w:tc>
      </w:tr>
      <w:tr>
        <w:trPr>
          <w:trHeight w:val="230"/>
        </w:trPr>
        <w:tc>
          <w:tcPr>
            <w:tcW w:w="4780" w:type="dxa"/>
            <w:vAlign w:val="bottom"/>
            <w:tcBorders>
              <w:bottom w:val="single" w:sz="8" w:color="FDE9D9"/>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4,399</w:t>
            </w:r>
          </w:p>
        </w:tc>
        <w:tc>
          <w:tcPr>
            <w:tcW w:w="200" w:type="dxa"/>
            <w:vAlign w:val="bottom"/>
            <w:tcBorders>
              <w:bottom w:val="single" w:sz="8" w:color="FDE9D9"/>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3,161</w:t>
            </w:r>
          </w:p>
        </w:tc>
      </w:tr>
      <w:tr>
        <w:trPr>
          <w:trHeight w:val="196"/>
        </w:trPr>
        <w:tc>
          <w:tcPr>
            <w:tcW w:w="4780" w:type="dxa"/>
            <w:vAlign w:val="bottom"/>
            <w:tcBorders>
              <w:bottom w:val="single" w:sz="8" w:color="FDE9D9"/>
            </w:tcBorders>
            <w:shd w:val="clear" w:color="auto" w:fill="FDE9D9"/>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FDE9D9"/>
          </w:tcPr>
          <w:p>
            <w:pPr>
              <w:spacing w:after="0"/>
              <w:rPr>
                <w:sz w:val="17"/>
                <w:szCs w:val="17"/>
                <w:color w:val="auto"/>
              </w:rPr>
            </w:pPr>
          </w:p>
        </w:tc>
        <w:tc>
          <w:tcPr>
            <w:tcW w:w="1320" w:type="dxa"/>
            <w:vAlign w:val="bottom"/>
            <w:tcBorders>
              <w:bottom w:val="single" w:sz="8" w:color="auto"/>
            </w:tcBorders>
            <w:shd w:val="clear" w:color="auto" w:fill="FDE9D9"/>
          </w:tcPr>
          <w:p>
            <w:pPr>
              <w:jc w:val="right"/>
              <w:ind w:right="274"/>
              <w:spacing w:after="0" w:line="196" w:lineRule="exact"/>
              <w:rPr>
                <w:sz w:val="20"/>
                <w:szCs w:val="20"/>
                <w:color w:val="auto"/>
              </w:rPr>
            </w:pPr>
            <w:r>
              <w:rPr>
                <w:rFonts w:ascii="Arial" w:cs="Arial" w:eastAsia="Arial" w:hAnsi="Arial"/>
                <w:sz w:val="18"/>
                <w:szCs w:val="18"/>
                <w:color w:val="auto"/>
              </w:rPr>
              <w:t>6,302</w:t>
            </w:r>
          </w:p>
        </w:tc>
        <w:tc>
          <w:tcPr>
            <w:tcW w:w="200" w:type="dxa"/>
            <w:vAlign w:val="bottom"/>
            <w:tcBorders>
              <w:bottom w:val="single" w:sz="8" w:color="FDE9D9"/>
            </w:tcBorders>
            <w:shd w:val="clear" w:color="auto" w:fill="FDE9D9"/>
          </w:tcPr>
          <w:p>
            <w:pPr>
              <w:spacing w:after="0"/>
              <w:rPr>
                <w:sz w:val="17"/>
                <w:szCs w:val="17"/>
                <w:color w:val="auto"/>
              </w:rPr>
            </w:pPr>
          </w:p>
        </w:tc>
        <w:tc>
          <w:tcPr>
            <w:tcW w:w="220" w:type="dxa"/>
            <w:vAlign w:val="bottom"/>
            <w:tcBorders>
              <w:bottom w:val="single" w:sz="8" w:color="auto"/>
            </w:tcBorders>
            <w:shd w:val="clear" w:color="auto" w:fill="FDE9D9"/>
          </w:tcPr>
          <w:p>
            <w:pPr>
              <w:spacing w:after="0"/>
              <w:rPr>
                <w:sz w:val="17"/>
                <w:szCs w:val="17"/>
                <w:color w:val="auto"/>
              </w:rPr>
            </w:pPr>
          </w:p>
        </w:tc>
        <w:tc>
          <w:tcPr>
            <w:tcW w:w="1340" w:type="dxa"/>
            <w:vAlign w:val="bottom"/>
            <w:tcBorders>
              <w:bottom w:val="single" w:sz="8" w:color="auto"/>
            </w:tcBorders>
            <w:shd w:val="clear" w:color="auto" w:fill="FDE9D9"/>
          </w:tcPr>
          <w:p>
            <w:pPr>
              <w:jc w:val="right"/>
              <w:ind w:right="292"/>
              <w:spacing w:after="0" w:line="196" w:lineRule="exact"/>
              <w:rPr>
                <w:sz w:val="20"/>
                <w:szCs w:val="20"/>
                <w:color w:val="auto"/>
              </w:rPr>
            </w:pPr>
            <w:r>
              <w:rPr>
                <w:rFonts w:ascii="Arial" w:cs="Arial" w:eastAsia="Arial" w:hAnsi="Arial"/>
                <w:sz w:val="18"/>
                <w:szCs w:val="18"/>
                <w:color w:val="auto"/>
              </w:rPr>
              <w:t>5,195</w:t>
            </w:r>
          </w:p>
        </w:tc>
      </w:tr>
    </w:tbl>
    <w:p>
      <w:pPr>
        <w:spacing w:after="0" w:line="200" w:lineRule="exact"/>
        <w:rPr>
          <w:sz w:val="20"/>
          <w:szCs w:val="20"/>
          <w:color w:val="auto"/>
        </w:rPr>
      </w:pPr>
    </w:p>
    <w:p>
      <w:pPr>
        <w:sectPr>
          <w:pgSz w:w="11900" w:h="16838" w:orient="portrait"/>
          <w:cols w:equalWidth="0" w:num="1">
            <w:col w:w="9719"/>
          </w:cols>
          <w:pgMar w:left="740" w:top="355" w:right="1440"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Research and product development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1,983</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1,902</w:t>
            </w:r>
          </w:p>
        </w:tc>
      </w:tr>
      <w:tr>
        <w:trPr>
          <w:trHeight w:val="230"/>
        </w:trPr>
        <w:tc>
          <w:tcPr>
            <w:tcW w:w="5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1,904</w:t>
            </w:r>
          </w:p>
        </w:tc>
      </w:tr>
      <w:tr>
        <w:trPr>
          <w:trHeight w:val="203"/>
        </w:trPr>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1,472</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932</w:t>
            </w:r>
          </w:p>
        </w:tc>
      </w:tr>
      <w:tr>
        <w:trPr>
          <w:trHeight w:val="196"/>
        </w:trPr>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5,092</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4,738</w:t>
            </w:r>
          </w:p>
        </w:tc>
      </w:tr>
      <w:tr>
        <w:trPr>
          <w:trHeight w:val="480"/>
        </w:trPr>
        <w:tc>
          <w:tcPr>
            <w:tcW w:w="52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1,210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457</w:t>
            </w:r>
          </w:p>
        </w:tc>
      </w:tr>
      <w:tr>
        <w:trPr>
          <w:trHeight w:val="419"/>
        </w:trPr>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(132)</w:t>
            </w:r>
          </w:p>
        </w:tc>
      </w:tr>
      <w:tr>
        <w:trPr>
          <w:trHeight w:val="465"/>
        </w:trPr>
        <w:tc>
          <w:tcPr>
            <w:tcW w:w="52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325</w:t>
            </w:r>
          </w:p>
        </w:tc>
      </w:tr>
      <w:tr>
        <w:trPr>
          <w:trHeight w:val="203"/>
        </w:trPr>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(409)</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(108)</w:t>
            </w:r>
          </w:p>
        </w:tc>
      </w:tr>
      <w:tr>
        <w:trPr>
          <w:trHeight w:val="196"/>
        </w:trPr>
        <w:tc>
          <w:tcPr>
            <w:tcW w:w="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812</w:t>
            </w:r>
          </w:p>
        </w:tc>
        <w:tc>
          <w:tcPr>
            <w:tcW w:w="200" w:type="dxa"/>
            <w:vAlign w:val="bottom"/>
          </w:tcPr>
          <w:p>
            <w:pPr>
              <w:spacing w:after="0"/>
              <w:rPr>
                <w:sz w:val="17"/>
                <w:szCs w:val="17"/>
                <w:color w:val="auto"/>
              </w:rPr>
            </w:pPr>
          </w:p>
        </w:tc>
        <w:tc>
          <w:tcPr>
            <w:tcW w:w="5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217</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-1903095</wp:posOffset>
            </wp:positionV>
            <wp:extent cx="514540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14605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-1611630</wp:posOffset>
            </wp:positionV>
            <wp:extent cx="514540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14605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-1320165</wp:posOffset>
            </wp:positionV>
            <wp:extent cx="514540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14605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-1028700</wp:posOffset>
            </wp:positionV>
            <wp:extent cx="514540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14605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-736600</wp:posOffset>
            </wp:positionV>
            <wp:extent cx="514540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14605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-445135</wp:posOffset>
            </wp:positionV>
            <wp:extent cx="514540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14605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-153670</wp:posOffset>
            </wp:positionV>
            <wp:extent cx="514540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4939"/>
          </w:cols>
          <w:pgMar w:left="740" w:top="355" w:right="1440"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shd w:val="clear" w:color="auto" w:fill="FDE9D9"/>
          </w:tcPr>
          <w:p>
            <w:pPr>
              <w:spacing w:after="0"/>
              <w:rPr>
                <w:sz w:val="20"/>
                <w:szCs w:val="20"/>
                <w:color w:val="auto"/>
              </w:rPr>
            </w:pPr>
            <w:r>
              <w:rPr>
                <w:rFonts w:ascii="Arial" w:cs="Arial" w:eastAsia="Arial" w:hAnsi="Arial"/>
                <w:sz w:val="18"/>
                <w:szCs w:val="18"/>
                <w:color w:val="auto"/>
              </w:rPr>
              <w:t>Basic earnings per common share</w:t>
            </w:r>
          </w:p>
        </w:tc>
        <w:tc>
          <w:tcPr>
            <w:tcW w:w="1080" w:type="dxa"/>
            <w:vAlign w:val="bottom"/>
            <w:shd w:val="clear" w:color="auto" w:fill="FDE9D9"/>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FDE9D9"/>
          </w:tcPr>
          <w:p>
            <w:pPr>
              <w:jc w:val="right"/>
              <w:ind w:right="250"/>
              <w:spacing w:after="0"/>
              <w:rPr>
                <w:sz w:val="20"/>
                <w:szCs w:val="20"/>
                <w:color w:val="auto"/>
              </w:rPr>
            </w:pPr>
            <w:r>
              <w:rPr>
                <w:rFonts w:ascii="Arial" w:cs="Arial" w:eastAsia="Arial" w:hAnsi="Arial"/>
                <w:sz w:val="18"/>
                <w:szCs w:val="18"/>
                <w:color w:val="auto"/>
              </w:rPr>
              <w:t>0.09</w:t>
            </w:r>
          </w:p>
        </w:tc>
        <w:tc>
          <w:tcPr>
            <w:tcW w:w="560" w:type="dxa"/>
            <w:vAlign w:val="bottom"/>
            <w:shd w:val="clear" w:color="auto" w:fill="FDE9D9"/>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0.09</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FDE9D9"/>
          </w:tcPr>
          <w:p>
            <w:pPr>
              <w:spacing w:after="0"/>
              <w:rPr>
                <w:sz w:val="19"/>
                <w:szCs w:val="19"/>
                <w:color w:val="auto"/>
              </w:rPr>
            </w:pPr>
          </w:p>
        </w:tc>
        <w:tc>
          <w:tcPr>
            <w:tcW w:w="1080" w:type="dxa"/>
            <w:vAlign w:val="bottom"/>
            <w:shd w:val="clear" w:color="auto" w:fill="FDE9D9"/>
          </w:tcPr>
          <w:p>
            <w:pPr>
              <w:spacing w:after="0"/>
              <w:rPr>
                <w:sz w:val="19"/>
                <w:szCs w:val="19"/>
                <w:color w:val="auto"/>
              </w:rPr>
            </w:pPr>
          </w:p>
        </w:tc>
        <w:tc>
          <w:tcPr>
            <w:tcW w:w="1180" w:type="dxa"/>
            <w:vAlign w:val="bottom"/>
            <w:shd w:val="clear" w:color="auto" w:fill="FDE9D9"/>
          </w:tcPr>
          <w:p>
            <w:pPr>
              <w:spacing w:after="0"/>
              <w:rPr>
                <w:sz w:val="19"/>
                <w:szCs w:val="19"/>
                <w:color w:val="auto"/>
              </w:rPr>
            </w:pPr>
          </w:p>
        </w:tc>
        <w:tc>
          <w:tcPr>
            <w:tcW w:w="560" w:type="dxa"/>
            <w:vAlign w:val="bottom"/>
            <w:shd w:val="clear" w:color="auto" w:fill="FDE9D9"/>
          </w:tcPr>
          <w:p>
            <w:pPr>
              <w:spacing w:after="0"/>
              <w:rPr>
                <w:sz w:val="19"/>
                <w:szCs w:val="19"/>
                <w:color w:val="auto"/>
              </w:rPr>
            </w:pPr>
          </w:p>
        </w:tc>
        <w:tc>
          <w:tcPr>
            <w:tcW w:w="122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080" w:type="dxa"/>
            <w:vAlign w:val="bottom"/>
          </w:tcPr>
          <w:p>
            <w:pPr>
              <w:spacing w:after="0"/>
              <w:rPr>
                <w:sz w:val="19"/>
                <w:szCs w:val="19"/>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8,931,504</w:t>
            </w:r>
          </w:p>
        </w:tc>
        <w:tc>
          <w:tcPr>
            <w:tcW w:w="560" w:type="dxa"/>
            <w:vAlign w:val="bottom"/>
          </w:tcPr>
          <w:p>
            <w:pPr>
              <w:spacing w:after="0"/>
              <w:rPr>
                <w:sz w:val="19"/>
                <w:szCs w:val="19"/>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8,929,174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FDE9D9"/>
          </w:tcPr>
          <w:p>
            <w:pPr>
              <w:spacing w:after="0"/>
              <w:rPr>
                <w:sz w:val="20"/>
                <w:szCs w:val="20"/>
                <w:color w:val="auto"/>
              </w:rPr>
            </w:pPr>
            <w:r>
              <w:rPr>
                <w:rFonts w:ascii="Arial" w:cs="Arial" w:eastAsia="Arial" w:hAnsi="Arial"/>
                <w:sz w:val="18"/>
                <w:szCs w:val="18"/>
                <w:color w:val="auto"/>
              </w:rPr>
              <w:t>Diluted weighted average shares outstanding</w:t>
            </w:r>
          </w:p>
        </w:tc>
        <w:tc>
          <w:tcPr>
            <w:tcW w:w="1080" w:type="dxa"/>
            <w:vAlign w:val="bottom"/>
            <w:shd w:val="clear" w:color="auto" w:fill="FDE9D9"/>
          </w:tcPr>
          <w:p>
            <w:pPr>
              <w:spacing w:after="0"/>
              <w:rPr>
                <w:sz w:val="19"/>
                <w:szCs w:val="19"/>
                <w:color w:val="auto"/>
              </w:rPr>
            </w:pPr>
          </w:p>
        </w:tc>
        <w:tc>
          <w:tcPr>
            <w:tcW w:w="1180" w:type="dxa"/>
            <w:vAlign w:val="bottom"/>
            <w:shd w:val="clear" w:color="auto" w:fill="FDE9D9"/>
          </w:tcPr>
          <w:p>
            <w:pPr>
              <w:jc w:val="right"/>
              <w:ind w:right="250"/>
              <w:spacing w:after="0"/>
              <w:rPr>
                <w:sz w:val="20"/>
                <w:szCs w:val="20"/>
                <w:color w:val="auto"/>
              </w:rPr>
            </w:pPr>
            <w:r>
              <w:rPr>
                <w:rFonts w:ascii="Arial" w:cs="Arial" w:eastAsia="Arial" w:hAnsi="Arial"/>
                <w:sz w:val="18"/>
                <w:szCs w:val="18"/>
                <w:color w:val="auto"/>
              </w:rPr>
              <w:t>9,122,671</w:t>
            </w:r>
          </w:p>
        </w:tc>
        <w:tc>
          <w:tcPr>
            <w:tcW w:w="560" w:type="dxa"/>
            <w:vAlign w:val="bottom"/>
            <w:shd w:val="clear" w:color="auto" w:fill="FDE9D9"/>
          </w:tcPr>
          <w:p>
            <w:pPr>
              <w:spacing w:after="0"/>
              <w:rPr>
                <w:sz w:val="19"/>
                <w:szCs w:val="19"/>
                <w:color w:val="auto"/>
              </w:rPr>
            </w:pPr>
          </w:p>
        </w:tc>
        <w:tc>
          <w:tcPr>
            <w:tcW w:w="122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9,036,225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98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230505</wp:posOffset>
            </wp:positionV>
            <wp:extent cx="576326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719"/>
          </w:cols>
          <w:pgMar w:left="740" w:top="355" w:right="1440" w:bottom="1440" w:gutter="0" w:footer="0" w:header="0"/>
          <w:type w:val="continuous"/>
        </w:sectPr>
      </w:pPr>
    </w:p>
    <w:bookmarkStart w:id="4" w:name="page5"/>
    <w:bookmarkEnd w:id="4"/>
    <w:p>
      <w:pPr>
        <w:jc w:val="center"/>
        <w:ind w:left="400" w:right="880"/>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CASH FLOWS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3"/>
              </w:rPr>
              <w:t>March 31, 2011</w:t>
            </w: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w w:val="93"/>
              </w:rPr>
              <w:t>March 31, 2010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shd w:val="clear" w:color="auto" w:fill="FDE9D9"/>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spacing w:after="0"/>
              <w:rPr>
                <w:sz w:val="19"/>
                <w:szCs w:val="19"/>
                <w:color w:val="auto"/>
              </w:rPr>
            </w:pP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812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FDE9D9"/>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spacing w:after="0"/>
              <w:rPr>
                <w:sz w:val="19"/>
                <w:szCs w:val="19"/>
                <w:color w:val="auto"/>
              </w:rPr>
            </w:pP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FDE9D9"/>
          </w:tcPr>
          <w:p>
            <w:pPr>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FDE9D9"/>
          </w:tcPr>
          <w:p>
            <w:pPr>
              <w:spacing w:after="0"/>
              <w:rPr>
                <w:sz w:val="20"/>
                <w:szCs w:val="20"/>
                <w:color w:val="auto"/>
              </w:rPr>
            </w:pPr>
          </w:p>
        </w:tc>
        <w:tc>
          <w:tcPr>
            <w:tcW w:w="1320" w:type="dxa"/>
            <w:vAlign w:val="bottom"/>
            <w:shd w:val="clear" w:color="auto" w:fill="FDE9D9"/>
          </w:tcPr>
          <w:p>
            <w:pPr>
              <w:spacing w:after="0"/>
              <w:rPr>
                <w:sz w:val="20"/>
                <w:szCs w:val="20"/>
                <w:color w:val="auto"/>
              </w:rPr>
            </w:pPr>
          </w:p>
        </w:tc>
        <w:tc>
          <w:tcPr>
            <w:tcW w:w="40" w:type="dxa"/>
            <w:vAlign w:val="bottom"/>
            <w:shd w:val="clear" w:color="auto" w:fill="FDE9D9"/>
          </w:tcPr>
          <w:p>
            <w:pPr>
              <w:spacing w:after="0"/>
              <w:rPr>
                <w:sz w:val="20"/>
                <w:szCs w:val="20"/>
                <w:color w:val="auto"/>
              </w:rPr>
            </w:pPr>
          </w:p>
        </w:tc>
        <w:tc>
          <w:tcPr>
            <w:tcW w:w="240" w:type="dxa"/>
            <w:vAlign w:val="bottom"/>
            <w:shd w:val="clear" w:color="auto" w:fill="FDE9D9"/>
          </w:tcPr>
          <w:p>
            <w:pPr>
              <w:spacing w:after="0"/>
              <w:rPr>
                <w:sz w:val="20"/>
                <w:szCs w:val="20"/>
                <w:color w:val="auto"/>
              </w:rPr>
            </w:pPr>
          </w:p>
        </w:tc>
        <w:tc>
          <w:tcPr>
            <w:tcW w:w="1340" w:type="dxa"/>
            <w:vAlign w:val="bottom"/>
            <w:shd w:val="clear" w:color="auto" w:fill="FDE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jc w:val="right"/>
              <w:ind w:right="271"/>
              <w:spacing w:after="0"/>
              <w:rPr>
                <w:sz w:val="20"/>
                <w:szCs w:val="20"/>
                <w:color w:val="auto"/>
              </w:rPr>
            </w:pPr>
            <w:r>
              <w:rPr>
                <w:rFonts w:ascii="Arial" w:cs="Arial" w:eastAsia="Arial" w:hAnsi="Arial"/>
                <w:sz w:val="18"/>
                <w:szCs w:val="18"/>
                <w:color w:val="auto"/>
              </w:rPr>
              <w:t>39</w:t>
            </w: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Increase (decrease) in reserves against inventory</w:t>
            </w:r>
          </w:p>
        </w:tc>
        <w:tc>
          <w:tcPr>
            <w:tcW w:w="240" w:type="dxa"/>
            <w:vAlign w:val="bottom"/>
            <w:shd w:val="clear" w:color="auto" w:fill="FDE9D9"/>
          </w:tcPr>
          <w:p>
            <w:pPr>
              <w:spacing w:after="0"/>
              <w:rPr>
                <w:sz w:val="18"/>
                <w:szCs w:val="18"/>
                <w:color w:val="auto"/>
              </w:rPr>
            </w:pPr>
          </w:p>
        </w:tc>
        <w:tc>
          <w:tcPr>
            <w:tcW w:w="1320" w:type="dxa"/>
            <w:vAlign w:val="bottom"/>
            <w:shd w:val="clear" w:color="auto" w:fill="FDE9D9"/>
          </w:tcPr>
          <w:p>
            <w:pPr>
              <w:jc w:val="right"/>
              <w:ind w:right="231"/>
              <w:spacing w:after="0"/>
              <w:rPr>
                <w:sz w:val="20"/>
                <w:szCs w:val="20"/>
                <w:color w:val="auto"/>
              </w:rPr>
            </w:pPr>
            <w:r>
              <w:rPr>
                <w:rFonts w:ascii="Arial" w:cs="Arial" w:eastAsia="Arial" w:hAnsi="Arial"/>
                <w:sz w:val="18"/>
                <w:szCs w:val="18"/>
                <w:color w:val="auto"/>
              </w:rPr>
              <w:t>(214)</w:t>
            </w:r>
          </w:p>
        </w:tc>
        <w:tc>
          <w:tcPr>
            <w:tcW w:w="40" w:type="dxa"/>
            <w:vAlign w:val="bottom"/>
            <w:shd w:val="clear" w:color="auto" w:fill="FDE9D9"/>
          </w:tcPr>
          <w:p>
            <w:pPr>
              <w:spacing w:after="0"/>
              <w:rPr>
                <w:sz w:val="18"/>
                <w:szCs w:val="18"/>
                <w:color w:val="auto"/>
              </w:rPr>
            </w:pPr>
          </w:p>
        </w:tc>
        <w:tc>
          <w:tcPr>
            <w:tcW w:w="240" w:type="dxa"/>
            <w:vAlign w:val="bottom"/>
            <w:shd w:val="clear" w:color="auto" w:fill="FDE9D9"/>
          </w:tcPr>
          <w:p>
            <w:pPr>
              <w:spacing w:after="0"/>
              <w:rPr>
                <w:sz w:val="18"/>
                <w:szCs w:val="18"/>
                <w:color w:val="auto"/>
              </w:rPr>
            </w:pPr>
          </w:p>
        </w:tc>
        <w:tc>
          <w:tcPr>
            <w:tcW w:w="134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Loss on disposal of assets</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spacing w:after="0"/>
              <w:rPr>
                <w:sz w:val="19"/>
                <w:szCs w:val="19"/>
                <w:color w:val="auto"/>
              </w:rPr>
            </w:pP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1,396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jc w:val="right"/>
              <w:ind w:right="231"/>
              <w:spacing w:after="0"/>
              <w:rPr>
                <w:sz w:val="20"/>
                <w:szCs w:val="20"/>
                <w:color w:val="auto"/>
              </w:rPr>
            </w:pPr>
            <w:r>
              <w:rPr>
                <w:rFonts w:ascii="Arial" w:cs="Arial" w:eastAsia="Arial" w:hAnsi="Arial"/>
                <w:sz w:val="18"/>
                <w:szCs w:val="18"/>
                <w:color w:val="auto"/>
              </w:rPr>
              <w:t>(379)</w:t>
            </w: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jc w:val="right"/>
              <w:ind w:right="231"/>
              <w:spacing w:after="0"/>
              <w:rPr>
                <w:sz w:val="20"/>
                <w:szCs w:val="20"/>
                <w:color w:val="auto"/>
              </w:rPr>
            </w:pPr>
            <w:r>
              <w:rPr>
                <w:rFonts w:ascii="Arial" w:cs="Arial" w:eastAsia="Arial" w:hAnsi="Arial"/>
                <w:sz w:val="18"/>
                <w:szCs w:val="18"/>
                <w:color w:val="auto"/>
              </w:rPr>
              <w:t>(54)</w:t>
            </w: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1,082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FDE9D9"/>
          </w:tcPr>
          <w:p>
            <w:pPr>
              <w:spacing w:after="0"/>
              <w:rPr>
                <w:sz w:val="21"/>
                <w:szCs w:val="21"/>
                <w:color w:val="auto"/>
              </w:rPr>
            </w:pPr>
          </w:p>
        </w:tc>
        <w:tc>
          <w:tcPr>
            <w:tcW w:w="1320" w:type="dxa"/>
            <w:vAlign w:val="bottom"/>
            <w:shd w:val="clear" w:color="auto" w:fill="FDE9D9"/>
          </w:tcPr>
          <w:p>
            <w:pPr>
              <w:jc w:val="right"/>
              <w:ind w:right="231"/>
              <w:spacing w:after="0"/>
              <w:rPr>
                <w:sz w:val="20"/>
                <w:szCs w:val="20"/>
                <w:color w:val="auto"/>
              </w:rPr>
            </w:pPr>
            <w:r>
              <w:rPr>
                <w:rFonts w:ascii="Arial" w:cs="Arial" w:eastAsia="Arial" w:hAnsi="Arial"/>
                <w:sz w:val="18"/>
                <w:szCs w:val="18"/>
                <w:color w:val="auto"/>
              </w:rPr>
              <w:t>(1,148)</w:t>
            </w:r>
          </w:p>
        </w:tc>
        <w:tc>
          <w:tcPr>
            <w:tcW w:w="40" w:type="dxa"/>
            <w:vAlign w:val="bottom"/>
            <w:shd w:val="clear" w:color="auto" w:fill="FDE9D9"/>
          </w:tcPr>
          <w:p>
            <w:pPr>
              <w:spacing w:after="0"/>
              <w:rPr>
                <w:sz w:val="21"/>
                <w:szCs w:val="21"/>
                <w:color w:val="auto"/>
              </w:rPr>
            </w:pPr>
          </w:p>
        </w:tc>
        <w:tc>
          <w:tcPr>
            <w:tcW w:w="240" w:type="dxa"/>
            <w:vAlign w:val="bottom"/>
            <w:shd w:val="clear" w:color="auto" w:fill="FDE9D9"/>
          </w:tcPr>
          <w:p>
            <w:pPr>
              <w:spacing w:after="0"/>
              <w:rPr>
                <w:sz w:val="21"/>
                <w:szCs w:val="21"/>
                <w:color w:val="auto"/>
              </w:rPr>
            </w:pPr>
          </w:p>
        </w:tc>
        <w:tc>
          <w:tcPr>
            <w:tcW w:w="134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FDE9D9"/>
          </w:tcPr>
          <w:p>
            <w:pPr>
              <w:spacing w:after="0"/>
              <w:rPr>
                <w:sz w:val="19"/>
                <w:szCs w:val="19"/>
                <w:color w:val="auto"/>
              </w:rPr>
            </w:pPr>
          </w:p>
        </w:tc>
        <w:tc>
          <w:tcPr>
            <w:tcW w:w="1320" w:type="dxa"/>
            <w:vAlign w:val="bottom"/>
            <w:tcBorders>
              <w:bottom w:val="single" w:sz="8" w:color="auto"/>
            </w:tcBorders>
            <w:shd w:val="clear" w:color="auto" w:fill="FDE9D9"/>
          </w:tcPr>
          <w:p>
            <w:pPr>
              <w:jc w:val="right"/>
              <w:ind w:right="271"/>
              <w:spacing w:after="0"/>
              <w:rPr>
                <w:sz w:val="20"/>
                <w:szCs w:val="20"/>
                <w:color w:val="auto"/>
              </w:rPr>
            </w:pPr>
            <w:r>
              <w:rPr>
                <w:rFonts w:ascii="Arial" w:cs="Arial" w:eastAsia="Arial" w:hAnsi="Arial"/>
                <w:sz w:val="18"/>
                <w:szCs w:val="18"/>
                <w:color w:val="auto"/>
              </w:rPr>
              <w:t>53</w:t>
            </w:r>
          </w:p>
        </w:tc>
        <w:tc>
          <w:tcPr>
            <w:tcW w:w="40" w:type="dxa"/>
            <w:vAlign w:val="bottom"/>
            <w:shd w:val="clear" w:color="auto" w:fill="FDE9D9"/>
          </w:tcPr>
          <w:p>
            <w:pPr>
              <w:spacing w:after="0"/>
              <w:rPr>
                <w:sz w:val="19"/>
                <w:szCs w:val="19"/>
                <w:color w:val="auto"/>
              </w:rPr>
            </w:pPr>
          </w:p>
        </w:tc>
        <w:tc>
          <w:tcPr>
            <w:tcW w:w="240" w:type="dxa"/>
            <w:vAlign w:val="bottom"/>
            <w:tcBorders>
              <w:bottom w:val="single" w:sz="8" w:color="auto"/>
            </w:tcBorders>
            <w:shd w:val="clear" w:color="auto" w:fill="FDE9D9"/>
          </w:tcPr>
          <w:p>
            <w:pPr>
              <w:spacing w:after="0"/>
              <w:rPr>
                <w:sz w:val="19"/>
                <w:szCs w:val="19"/>
                <w:color w:val="auto"/>
              </w:rPr>
            </w:pPr>
          </w:p>
        </w:tc>
        <w:tc>
          <w:tcPr>
            <w:tcW w:w="1340" w:type="dxa"/>
            <w:vAlign w:val="bottom"/>
            <w:tcBorders>
              <w:bottom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71"/>
              <w:spacing w:after="0" w:line="196" w:lineRule="exact"/>
              <w:rPr>
                <w:sz w:val="20"/>
                <w:szCs w:val="20"/>
                <w:color w:val="auto"/>
              </w:rPr>
            </w:pPr>
            <w:r>
              <w:rPr>
                <w:rFonts w:ascii="Arial" w:cs="Arial" w:eastAsia="Arial" w:hAnsi="Arial"/>
                <w:sz w:val="18"/>
                <w:szCs w:val="18"/>
                <w:color w:val="auto"/>
              </w:rPr>
              <w:t>2,199</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FDE9D9"/>
          </w:tcPr>
          <w:p>
            <w:pPr>
              <w:spacing w:after="0"/>
              <w:rPr>
                <w:sz w:val="18"/>
                <w:szCs w:val="18"/>
                <w:color w:val="auto"/>
              </w:rPr>
            </w:pPr>
          </w:p>
        </w:tc>
        <w:tc>
          <w:tcPr>
            <w:tcW w:w="240" w:type="dxa"/>
            <w:vAlign w:val="bottom"/>
            <w:shd w:val="clear" w:color="auto" w:fill="FDE9D9"/>
          </w:tcPr>
          <w:p>
            <w:pPr>
              <w:spacing w:after="0"/>
              <w:rPr>
                <w:sz w:val="18"/>
                <w:szCs w:val="18"/>
                <w:color w:val="auto"/>
              </w:rPr>
            </w:pPr>
          </w:p>
        </w:tc>
        <w:tc>
          <w:tcPr>
            <w:tcW w:w="1320" w:type="dxa"/>
            <w:vAlign w:val="bottom"/>
            <w:shd w:val="clear" w:color="auto" w:fill="FDE9D9"/>
          </w:tcPr>
          <w:p>
            <w:pPr>
              <w:spacing w:after="0"/>
              <w:rPr>
                <w:sz w:val="18"/>
                <w:szCs w:val="18"/>
                <w:color w:val="auto"/>
              </w:rPr>
            </w:pPr>
          </w:p>
        </w:tc>
        <w:tc>
          <w:tcPr>
            <w:tcW w:w="40" w:type="dxa"/>
            <w:vAlign w:val="bottom"/>
            <w:shd w:val="clear" w:color="auto" w:fill="FDE9D9"/>
          </w:tcPr>
          <w:p>
            <w:pPr>
              <w:spacing w:after="0"/>
              <w:rPr>
                <w:sz w:val="18"/>
                <w:szCs w:val="18"/>
                <w:color w:val="auto"/>
              </w:rPr>
            </w:pPr>
          </w:p>
        </w:tc>
        <w:tc>
          <w:tcPr>
            <w:tcW w:w="240" w:type="dxa"/>
            <w:vAlign w:val="bottom"/>
            <w:shd w:val="clear" w:color="auto" w:fill="FDE9D9"/>
          </w:tcPr>
          <w:p>
            <w:pPr>
              <w:spacing w:after="0"/>
              <w:rPr>
                <w:sz w:val="18"/>
                <w:szCs w:val="18"/>
                <w:color w:val="auto"/>
              </w:rPr>
            </w:pPr>
          </w:p>
        </w:tc>
        <w:tc>
          <w:tcPr>
            <w:tcW w:w="1340" w:type="dxa"/>
            <w:vAlign w:val="bottom"/>
            <w:shd w:val="clear" w:color="auto" w:fill="FDE9D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Escrow proceeds received pursuant to NetStreams acquisition</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jc w:val="right"/>
              <w:ind w:right="271"/>
              <w:spacing w:after="0"/>
              <w:rPr>
                <w:sz w:val="20"/>
                <w:szCs w:val="20"/>
                <w:color w:val="auto"/>
              </w:rPr>
            </w:pPr>
            <w:r>
              <w:rPr>
                <w:rFonts w:ascii="Arial" w:cs="Arial" w:eastAsia="Arial" w:hAnsi="Arial"/>
                <w:sz w:val="18"/>
                <w:szCs w:val="18"/>
                <w:color w:val="auto"/>
              </w:rPr>
              <w:t>-</w:t>
            </w: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FDE9D9"/>
            </w:tcBorders>
          </w:tcPr>
          <w:p>
            <w:pPr>
              <w:ind w:left="16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FDE9D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FDE9D9"/>
            </w:tcBorders>
            <w:shd w:val="clear" w:color="auto" w:fill="FDE9D9"/>
          </w:tcPr>
          <w:p>
            <w:pPr>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bottom w:val="single" w:sz="8" w:color="auto"/>
            </w:tcBorders>
            <w:shd w:val="clear" w:color="auto" w:fill="FDE9D9"/>
          </w:tcPr>
          <w:p>
            <w:pPr>
              <w:spacing w:after="0"/>
              <w:rPr>
                <w:sz w:val="17"/>
                <w:szCs w:val="17"/>
                <w:color w:val="auto"/>
              </w:rPr>
            </w:pPr>
          </w:p>
        </w:tc>
        <w:tc>
          <w:tcPr>
            <w:tcW w:w="1320" w:type="dxa"/>
            <w:vAlign w:val="bottom"/>
            <w:tcBorders>
              <w:bottom w:val="single" w:sz="8" w:color="auto"/>
            </w:tcBorders>
            <w:shd w:val="clear" w:color="auto" w:fill="FDE9D9"/>
          </w:tcPr>
          <w:p>
            <w:pPr>
              <w:jc w:val="right"/>
              <w:ind w:right="231"/>
              <w:spacing w:after="0" w:line="196" w:lineRule="exact"/>
              <w:rPr>
                <w:sz w:val="20"/>
                <w:szCs w:val="20"/>
                <w:color w:val="auto"/>
              </w:rPr>
            </w:pPr>
            <w:r>
              <w:rPr>
                <w:rFonts w:ascii="Arial" w:cs="Arial" w:eastAsia="Arial" w:hAnsi="Arial"/>
                <w:sz w:val="18"/>
                <w:szCs w:val="18"/>
                <w:color w:val="auto"/>
              </w:rPr>
              <w:t>(175)</w:t>
            </w:r>
          </w:p>
        </w:tc>
        <w:tc>
          <w:tcPr>
            <w:tcW w:w="40" w:type="dxa"/>
            <w:vAlign w:val="bottom"/>
            <w:tcBorders>
              <w:bottom w:val="single" w:sz="8" w:color="FDE9D9"/>
            </w:tcBorders>
            <w:shd w:val="clear" w:color="auto" w:fill="FDE9D9"/>
          </w:tcPr>
          <w:p>
            <w:pPr>
              <w:spacing w:after="0"/>
              <w:rPr>
                <w:sz w:val="17"/>
                <w:szCs w:val="17"/>
                <w:color w:val="auto"/>
              </w:rPr>
            </w:pPr>
          </w:p>
        </w:tc>
        <w:tc>
          <w:tcPr>
            <w:tcW w:w="240" w:type="dxa"/>
            <w:vAlign w:val="bottom"/>
            <w:tcBorders>
              <w:bottom w:val="single" w:sz="8" w:color="auto"/>
            </w:tcBorders>
            <w:shd w:val="clear" w:color="auto" w:fill="FDE9D9"/>
          </w:tcPr>
          <w:p>
            <w:pPr>
              <w:spacing w:after="0"/>
              <w:rPr>
                <w:sz w:val="17"/>
                <w:szCs w:val="17"/>
                <w:color w:val="auto"/>
              </w:rPr>
            </w:pPr>
          </w:p>
        </w:tc>
        <w:tc>
          <w:tcPr>
            <w:tcW w:w="1340" w:type="dxa"/>
            <w:vAlign w:val="bottom"/>
            <w:tcBorders>
              <w:bottom w:val="single" w:sz="8" w:color="auto"/>
            </w:tcBorders>
            <w:shd w:val="clear" w:color="auto" w:fill="FDE9D9"/>
          </w:tcPr>
          <w:p>
            <w:pPr>
              <w:jc w:val="right"/>
              <w:ind w:right="290"/>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FDE9D9"/>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FDE9D9"/>
          </w:tcPr>
          <w:p>
            <w:pPr>
              <w:spacing w:after="0"/>
              <w:rPr>
                <w:sz w:val="19"/>
                <w:szCs w:val="19"/>
                <w:color w:val="auto"/>
              </w:rPr>
            </w:pPr>
          </w:p>
        </w:tc>
        <w:tc>
          <w:tcPr>
            <w:tcW w:w="1320" w:type="dxa"/>
            <w:vAlign w:val="bottom"/>
            <w:shd w:val="clear" w:color="auto" w:fill="FDE9D9"/>
          </w:tcPr>
          <w:p>
            <w:pPr>
              <w:spacing w:after="0"/>
              <w:rPr>
                <w:sz w:val="19"/>
                <w:szCs w:val="19"/>
                <w:color w:val="auto"/>
              </w:rPr>
            </w:pPr>
          </w:p>
        </w:tc>
        <w:tc>
          <w:tcPr>
            <w:tcW w:w="4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34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 options</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Borders>
              <w:bottom w:val="single" w:sz="8" w:color="auto"/>
            </w:tcBorders>
            <w:shd w:val="clear" w:color="auto" w:fill="FDE9D9"/>
          </w:tcPr>
          <w:p>
            <w:pPr>
              <w:spacing w:after="0"/>
              <w:rPr>
                <w:sz w:val="19"/>
                <w:szCs w:val="19"/>
                <w:color w:val="auto"/>
              </w:rPr>
            </w:pPr>
          </w:p>
        </w:tc>
        <w:tc>
          <w:tcPr>
            <w:tcW w:w="1320" w:type="dxa"/>
            <w:vAlign w:val="bottom"/>
            <w:tcBorders>
              <w:bottom w:val="single" w:sz="8" w:color="auto"/>
            </w:tcBorders>
            <w:shd w:val="clear" w:color="auto" w:fill="FDE9D9"/>
          </w:tcPr>
          <w:p>
            <w:pPr>
              <w:jc w:val="right"/>
              <w:ind w:right="271"/>
              <w:spacing w:after="0"/>
              <w:rPr>
                <w:sz w:val="20"/>
                <w:szCs w:val="20"/>
                <w:color w:val="auto"/>
              </w:rPr>
            </w:pPr>
            <w:r>
              <w:rPr>
                <w:rFonts w:ascii="Arial" w:cs="Arial" w:eastAsia="Arial" w:hAnsi="Arial"/>
                <w:sz w:val="18"/>
                <w:szCs w:val="18"/>
                <w:color w:val="auto"/>
              </w:rPr>
              <w:t>-</w:t>
            </w:r>
          </w:p>
        </w:tc>
        <w:tc>
          <w:tcPr>
            <w:tcW w:w="40" w:type="dxa"/>
            <w:vAlign w:val="bottom"/>
            <w:shd w:val="clear" w:color="auto" w:fill="FDE9D9"/>
          </w:tcPr>
          <w:p>
            <w:pPr>
              <w:spacing w:after="0"/>
              <w:rPr>
                <w:sz w:val="19"/>
                <w:szCs w:val="19"/>
                <w:color w:val="auto"/>
              </w:rPr>
            </w:pPr>
          </w:p>
        </w:tc>
        <w:tc>
          <w:tcPr>
            <w:tcW w:w="240" w:type="dxa"/>
            <w:vAlign w:val="bottom"/>
            <w:tcBorders>
              <w:bottom w:val="single" w:sz="8" w:color="auto"/>
            </w:tcBorders>
            <w:shd w:val="clear" w:color="auto" w:fill="FDE9D9"/>
          </w:tcPr>
          <w:p>
            <w:pPr>
              <w:spacing w:after="0"/>
              <w:rPr>
                <w:sz w:val="19"/>
                <w:szCs w:val="19"/>
                <w:color w:val="auto"/>
              </w:rPr>
            </w:pPr>
          </w:p>
        </w:tc>
        <w:tc>
          <w:tcPr>
            <w:tcW w:w="1340" w:type="dxa"/>
            <w:vAlign w:val="bottom"/>
            <w:tcBorders>
              <w:bottom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71"/>
              <w:spacing w:after="0" w:line="196"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FDE9D9"/>
          </w:tcPr>
          <w:p>
            <w:pPr>
              <w:spacing w:after="0"/>
              <w:rPr>
                <w:sz w:val="18"/>
                <w:szCs w:val="18"/>
                <w:color w:val="auto"/>
              </w:rPr>
            </w:pPr>
          </w:p>
        </w:tc>
        <w:tc>
          <w:tcPr>
            <w:tcW w:w="240" w:type="dxa"/>
            <w:vAlign w:val="bottom"/>
            <w:shd w:val="clear" w:color="auto" w:fill="FDE9D9"/>
          </w:tcPr>
          <w:p>
            <w:pPr>
              <w:spacing w:after="0"/>
              <w:rPr>
                <w:sz w:val="18"/>
                <w:szCs w:val="18"/>
                <w:color w:val="auto"/>
              </w:rPr>
            </w:pPr>
          </w:p>
        </w:tc>
        <w:tc>
          <w:tcPr>
            <w:tcW w:w="1320" w:type="dxa"/>
            <w:vAlign w:val="bottom"/>
            <w:shd w:val="clear" w:color="auto" w:fill="FDE9D9"/>
          </w:tcPr>
          <w:p>
            <w:pPr>
              <w:spacing w:after="0"/>
              <w:rPr>
                <w:sz w:val="18"/>
                <w:szCs w:val="18"/>
                <w:color w:val="auto"/>
              </w:rPr>
            </w:pPr>
          </w:p>
        </w:tc>
        <w:tc>
          <w:tcPr>
            <w:tcW w:w="40" w:type="dxa"/>
            <w:vAlign w:val="bottom"/>
            <w:shd w:val="clear" w:color="auto" w:fill="FDE9D9"/>
          </w:tcPr>
          <w:p>
            <w:pPr>
              <w:spacing w:after="0"/>
              <w:rPr>
                <w:sz w:val="18"/>
                <w:szCs w:val="18"/>
                <w:color w:val="auto"/>
              </w:rPr>
            </w:pPr>
          </w:p>
        </w:tc>
        <w:tc>
          <w:tcPr>
            <w:tcW w:w="240" w:type="dxa"/>
            <w:vAlign w:val="bottom"/>
            <w:shd w:val="clear" w:color="auto" w:fill="FDE9D9"/>
          </w:tcPr>
          <w:p>
            <w:pPr>
              <w:spacing w:after="0"/>
              <w:rPr>
                <w:sz w:val="18"/>
                <w:szCs w:val="18"/>
                <w:color w:val="auto"/>
              </w:rPr>
            </w:pPr>
          </w:p>
        </w:tc>
        <w:tc>
          <w:tcPr>
            <w:tcW w:w="1340" w:type="dxa"/>
            <w:vAlign w:val="bottom"/>
            <w:shd w:val="clear" w:color="auto" w:fill="FDE9D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9"/>
                <w:szCs w:val="19"/>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2,045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tcBorders>
              <w:bottom w:val="single" w:sz="8" w:color="auto"/>
            </w:tcBorders>
            <w:shd w:val="clear" w:color="auto" w:fill="FDE9D9"/>
          </w:tcPr>
          <w:p>
            <w:pPr>
              <w:spacing w:after="0"/>
              <w:rPr>
                <w:sz w:val="19"/>
                <w:szCs w:val="19"/>
                <w:color w:val="auto"/>
              </w:rPr>
            </w:pPr>
          </w:p>
        </w:tc>
        <w:tc>
          <w:tcPr>
            <w:tcW w:w="1320" w:type="dxa"/>
            <w:vAlign w:val="bottom"/>
            <w:tcBorders>
              <w:bottom w:val="single" w:sz="8" w:color="auto"/>
            </w:tcBorders>
            <w:shd w:val="clear" w:color="auto" w:fill="FDE9D9"/>
          </w:tcPr>
          <w:p>
            <w:pPr>
              <w:jc w:val="right"/>
              <w:ind w:right="271"/>
              <w:spacing w:after="0"/>
              <w:rPr>
                <w:sz w:val="20"/>
                <w:szCs w:val="20"/>
                <w:color w:val="auto"/>
              </w:rPr>
            </w:pPr>
            <w:r>
              <w:rPr>
                <w:rFonts w:ascii="Arial" w:cs="Arial" w:eastAsia="Arial" w:hAnsi="Arial"/>
                <w:sz w:val="18"/>
                <w:szCs w:val="18"/>
                <w:color w:val="auto"/>
              </w:rPr>
              <w:t>11,431</w:t>
            </w:r>
          </w:p>
        </w:tc>
        <w:tc>
          <w:tcPr>
            <w:tcW w:w="40" w:type="dxa"/>
            <w:vAlign w:val="bottom"/>
            <w:shd w:val="clear" w:color="auto" w:fill="FDE9D9"/>
          </w:tcPr>
          <w:p>
            <w:pPr>
              <w:spacing w:after="0"/>
              <w:rPr>
                <w:sz w:val="19"/>
                <w:szCs w:val="19"/>
                <w:color w:val="auto"/>
              </w:rPr>
            </w:pPr>
          </w:p>
        </w:tc>
        <w:tc>
          <w:tcPr>
            <w:tcW w:w="240" w:type="dxa"/>
            <w:vAlign w:val="bottom"/>
            <w:tcBorders>
              <w:bottom w:val="single" w:sz="8" w:color="auto"/>
            </w:tcBorders>
            <w:shd w:val="clear" w:color="auto" w:fill="FDE9D9"/>
          </w:tcPr>
          <w:p>
            <w:pPr>
              <w:spacing w:after="0"/>
              <w:rPr>
                <w:sz w:val="19"/>
                <w:szCs w:val="19"/>
                <w:color w:val="auto"/>
              </w:rPr>
            </w:pPr>
          </w:p>
        </w:tc>
        <w:tc>
          <w:tcPr>
            <w:tcW w:w="1340" w:type="dxa"/>
            <w:vAlign w:val="bottom"/>
            <w:tcBorders>
              <w:bottom w:val="single" w:sz="8" w:color="auto"/>
            </w:tcBorders>
            <w:shd w:val="clear" w:color="auto" w:fill="FDE9D9"/>
          </w:tcPr>
          <w:p>
            <w:pPr>
              <w:jc w:val="right"/>
              <w:ind w:right="29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183"/>
        </w:trPr>
        <w:tc>
          <w:tcPr>
            <w:tcW w:w="5180" w:type="dxa"/>
            <w:vAlign w:val="bottom"/>
            <w:gridSpan w:val="2"/>
          </w:tcPr>
          <w:p>
            <w:pPr>
              <w:spacing w:after="0" w:line="182" w:lineRule="exact"/>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71"/>
              <w:spacing w:after="0" w:line="182" w:lineRule="exact"/>
              <w:rPr>
                <w:sz w:val="20"/>
                <w:szCs w:val="20"/>
                <w:color w:val="auto"/>
              </w:rPr>
            </w:pPr>
            <w:r>
              <w:rPr>
                <w:rFonts w:ascii="Arial" w:cs="Arial" w:eastAsia="Arial" w:hAnsi="Arial"/>
                <w:sz w:val="18"/>
                <w:szCs w:val="18"/>
                <w:color w:val="auto"/>
              </w:rPr>
              <w:t>13,476</w:t>
            </w:r>
          </w:p>
        </w:tc>
        <w:tc>
          <w:tcPr>
            <w:tcW w:w="40" w:type="dxa"/>
            <w:vAlign w:val="bottom"/>
          </w:tcPr>
          <w:p>
            <w:pPr>
              <w:spacing w:after="0"/>
              <w:rPr>
                <w:sz w:val="15"/>
                <w:szCs w:val="15"/>
                <w:color w:val="auto"/>
              </w:rPr>
            </w:pP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shd w:val="clear" w:color="auto" w:fill="FDE9D9"/>
          </w:tcPr>
          <w:p>
            <w:pPr>
              <w:spacing w:after="0"/>
              <w:rPr>
                <w:sz w:val="17"/>
                <w:szCs w:val="17"/>
                <w:color w:val="auto"/>
              </w:rPr>
            </w:pPr>
          </w:p>
        </w:tc>
        <w:tc>
          <w:tcPr>
            <w:tcW w:w="240" w:type="dxa"/>
            <w:vAlign w:val="bottom"/>
            <w:shd w:val="clear" w:color="auto" w:fill="FDE9D9"/>
          </w:tcPr>
          <w:p>
            <w:pPr>
              <w:spacing w:after="0"/>
              <w:rPr>
                <w:sz w:val="17"/>
                <w:szCs w:val="17"/>
                <w:color w:val="auto"/>
              </w:rPr>
            </w:pPr>
          </w:p>
        </w:tc>
        <w:tc>
          <w:tcPr>
            <w:tcW w:w="1320" w:type="dxa"/>
            <w:vAlign w:val="bottom"/>
            <w:shd w:val="clear" w:color="auto" w:fill="FDE9D9"/>
          </w:tcPr>
          <w:p>
            <w:pPr>
              <w:spacing w:after="0"/>
              <w:rPr>
                <w:sz w:val="17"/>
                <w:szCs w:val="17"/>
                <w:color w:val="auto"/>
              </w:rPr>
            </w:pPr>
          </w:p>
        </w:tc>
        <w:tc>
          <w:tcPr>
            <w:tcW w:w="40" w:type="dxa"/>
            <w:vAlign w:val="bottom"/>
            <w:shd w:val="clear" w:color="auto" w:fill="FDE9D9"/>
          </w:tcPr>
          <w:p>
            <w:pPr>
              <w:spacing w:after="0"/>
              <w:rPr>
                <w:sz w:val="17"/>
                <w:szCs w:val="17"/>
                <w:color w:val="auto"/>
              </w:rPr>
            </w:pPr>
          </w:p>
        </w:tc>
        <w:tc>
          <w:tcPr>
            <w:tcW w:w="240" w:type="dxa"/>
            <w:vAlign w:val="bottom"/>
            <w:shd w:val="clear" w:color="auto" w:fill="FDE9D9"/>
          </w:tcPr>
          <w:p>
            <w:pPr>
              <w:spacing w:after="0"/>
              <w:rPr>
                <w:sz w:val="17"/>
                <w:szCs w:val="17"/>
                <w:color w:val="auto"/>
              </w:rPr>
            </w:pPr>
          </w:p>
        </w:tc>
        <w:tc>
          <w:tcPr>
            <w:tcW w:w="1340" w:type="dxa"/>
            <w:vAlign w:val="bottom"/>
            <w:shd w:val="clear" w:color="auto" w:fill="FDE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FDE9D9"/>
          </w:tcPr>
          <w:p>
            <w:pPr>
              <w:ind w:left="16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FDE9D9"/>
          </w:tcPr>
          <w:p>
            <w:pPr>
              <w:jc w:val="right"/>
              <w:ind w:right="27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FDE9D9"/>
          </w:tcPr>
          <w:p>
            <w:pPr>
              <w:jc w:val="right"/>
              <w:ind w:right="29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76326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5" w:name="page6"/>
    <w:bookmarkEnd w:id="5"/>
    <w:p>
      <w:pPr>
        <w:jc w:val="center"/>
        <w:ind w:left="340" w:right="162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(Unaudited – Dollars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239" w:lineRule="exact"/>
        <w:rPr>
          <w:sz w:val="20"/>
          <w:szCs w:val="20"/>
          <w:color w:val="auto"/>
        </w:rPr>
      </w:pPr>
    </w:p>
    <w:p>
      <w:pPr>
        <w:ind w:right="1279"/>
        <w:spacing w:after="0" w:line="238" w:lineRule="auto"/>
        <w:rPr>
          <w:sz w:val="20"/>
          <w:szCs w:val="20"/>
          <w:color w:val="auto"/>
        </w:rPr>
      </w:pPr>
      <w:r>
        <w:rPr>
          <w:rFonts w:ascii="Arial" w:cs="Arial" w:eastAsia="Arial" w:hAnsi="Arial"/>
          <w:sz w:val="22"/>
          <w:szCs w:val="22"/>
          <w:color w:val="auto"/>
        </w:rPr>
        <w:t>The fiscal year for ClearOne Communications, Inc. and its subsidiaries (collectively, “ClearOne” or the “Company”) is the 12 months ending on December 31</w:t>
      </w:r>
      <w:r>
        <w:rPr>
          <w:rFonts w:ascii="Arial" w:cs="Arial" w:eastAsia="Arial" w:hAnsi="Arial"/>
          <w:sz w:val="12"/>
          <w:szCs w:val="12"/>
          <w:color w:val="auto"/>
        </w:rPr>
        <w:t>st</w:t>
      </w:r>
      <w:r>
        <w:rPr>
          <w:rFonts w:ascii="Arial" w:cs="Arial" w:eastAsia="Arial" w:hAnsi="Arial"/>
          <w:sz w:val="22"/>
          <w:szCs w:val="22"/>
          <w:color w:val="auto"/>
        </w:rPr>
        <w:t>. The consolidated financial statements include the accounts of ClearOne and its subsidiaries. All significant intercompany accounts and transactions have been eliminated.</w:t>
      </w:r>
    </w:p>
    <w:p>
      <w:pPr>
        <w:spacing w:after="0" w:line="212" w:lineRule="exact"/>
        <w:rPr>
          <w:sz w:val="20"/>
          <w:szCs w:val="20"/>
          <w:color w:val="auto"/>
        </w:rPr>
      </w:pPr>
    </w:p>
    <w:p>
      <w:pPr>
        <w:ind w:right="1219"/>
        <w:spacing w:after="0" w:line="272" w:lineRule="auto"/>
        <w:rPr>
          <w:sz w:val="20"/>
          <w:szCs w:val="20"/>
          <w:color w:val="auto"/>
        </w:rPr>
      </w:pPr>
      <w:r>
        <w:rPr>
          <w:rFonts w:ascii="Arial" w:cs="Arial" w:eastAsia="Arial" w:hAnsi="Arial"/>
          <w:sz w:val="19"/>
          <w:szCs w:val="19"/>
          <w:color w:val="auto"/>
        </w:rPr>
        <w:t>The accompanying interim consolidated financial statements for the quarters ended March 31, 2011 and 2010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March 31, 2011, the results of operations for the quarters ended March 31, 2011 and 2010, and the statements of cash flows for the quarters ended March 31, 2011 and 2010. The results of operations for the quarters ended March 31, 2011 and 2010 are not necessarily indicative of the results for a full-year period. These interim consolidated financial statements should be read in conjunction with the financial statements included in our Annual Report on Form 10-K for the year ended December 31, 2010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Intangibles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Intangibles as of March 31, 2011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useful lives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w w:val="99"/>
              </w:rPr>
              <w:t>Accumulated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3"/>
        </w:trPr>
        <w:tc>
          <w:tcPr>
            <w:tcW w:w="39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Net</w:t>
            </w:r>
          </w:p>
        </w:tc>
      </w:tr>
      <w:tr>
        <w:trPr>
          <w:trHeight w:val="226"/>
        </w:trPr>
        <w:tc>
          <w:tcPr>
            <w:tcW w:w="3980" w:type="dxa"/>
            <w:vAlign w:val="bottom"/>
            <w:shd w:val="clear" w:color="auto" w:fill="FDE9D9"/>
          </w:tcPr>
          <w:p>
            <w:pPr>
              <w:spacing w:after="0"/>
              <w:rPr>
                <w:sz w:val="20"/>
                <w:szCs w:val="20"/>
                <w:color w:val="auto"/>
              </w:rPr>
            </w:pPr>
            <w:r>
              <w:rPr>
                <w:rFonts w:ascii="Arial" w:cs="Arial" w:eastAsia="Arial" w:hAnsi="Arial"/>
                <w:sz w:val="18"/>
                <w:szCs w:val="18"/>
                <w:color w:val="auto"/>
              </w:rPr>
              <w:t>Tradename</w:t>
            </w:r>
          </w:p>
        </w:tc>
        <w:tc>
          <w:tcPr>
            <w:tcW w:w="1140" w:type="dxa"/>
            <w:vAlign w:val="bottom"/>
            <w:shd w:val="clear" w:color="auto" w:fill="FDE9D9"/>
          </w:tcPr>
          <w:p>
            <w:pPr>
              <w:jc w:val="center"/>
              <w:spacing w:after="0"/>
              <w:rPr>
                <w:sz w:val="20"/>
                <w:szCs w:val="20"/>
                <w:color w:val="auto"/>
              </w:rPr>
            </w:pPr>
            <w:r>
              <w:rPr>
                <w:rFonts w:ascii="Arial" w:cs="Arial" w:eastAsia="Arial" w:hAnsi="Arial"/>
                <w:sz w:val="18"/>
                <w:szCs w:val="18"/>
                <w:color w:val="auto"/>
                <w:w w:val="99"/>
              </w:rPr>
              <w:t>7</w:t>
            </w:r>
          </w:p>
        </w:tc>
        <w:tc>
          <w:tcPr>
            <w:tcW w:w="480" w:type="dxa"/>
            <w:vAlign w:val="bottom"/>
            <w:gridSpan w:val="2"/>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DE9D9"/>
          </w:tcPr>
          <w:p>
            <w:pPr>
              <w:jc w:val="right"/>
              <w:ind w:right="171"/>
              <w:spacing w:after="0"/>
              <w:rPr>
                <w:sz w:val="20"/>
                <w:szCs w:val="20"/>
                <w:color w:val="auto"/>
              </w:rPr>
            </w:pPr>
            <w:r>
              <w:rPr>
                <w:rFonts w:ascii="Arial" w:cs="Arial" w:eastAsia="Arial" w:hAnsi="Arial"/>
                <w:sz w:val="18"/>
                <w:szCs w:val="18"/>
                <w:color w:val="auto"/>
              </w:rPr>
              <w:t>435</w:t>
            </w:r>
          </w:p>
        </w:tc>
        <w:tc>
          <w:tcPr>
            <w:tcW w:w="560" w:type="dxa"/>
            <w:vAlign w:val="bottom"/>
            <w:gridSpan w:val="2"/>
            <w:shd w:val="clear" w:color="auto" w:fill="FDE9D9"/>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FDE9D9"/>
          </w:tcPr>
          <w:p>
            <w:pPr>
              <w:jc w:val="right"/>
              <w:ind w:right="230"/>
              <w:spacing w:after="0"/>
              <w:rPr>
                <w:sz w:val="20"/>
                <w:szCs w:val="20"/>
                <w:color w:val="auto"/>
              </w:rPr>
            </w:pPr>
            <w:r>
              <w:rPr>
                <w:rFonts w:ascii="Arial" w:cs="Arial" w:eastAsia="Arial" w:hAnsi="Arial"/>
                <w:sz w:val="18"/>
                <w:szCs w:val="18"/>
                <w:color w:val="auto"/>
              </w:rPr>
              <w:t>88</w:t>
            </w:r>
          </w:p>
        </w:tc>
        <w:tc>
          <w:tcPr>
            <w:tcW w:w="380" w:type="dxa"/>
            <w:vAlign w:val="bottom"/>
            <w:gridSpan w:val="2"/>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DE9D9"/>
          </w:tcPr>
          <w:p>
            <w:pPr>
              <w:jc w:val="right"/>
              <w:ind w:right="231"/>
              <w:spacing w:after="0"/>
              <w:rPr>
                <w:sz w:val="20"/>
                <w:szCs w:val="20"/>
                <w:color w:val="auto"/>
              </w:rPr>
            </w:pPr>
            <w:r>
              <w:rPr>
                <w:rFonts w:ascii="Arial" w:cs="Arial" w:eastAsia="Arial" w:hAnsi="Arial"/>
                <w:sz w:val="18"/>
                <w:szCs w:val="18"/>
                <w:color w:val="auto"/>
              </w:rPr>
              <w:t>347</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2,070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w w:val="88"/>
              </w:rPr>
              <w:t>1,778</w:t>
            </w:r>
          </w:p>
        </w:tc>
      </w:tr>
      <w:tr>
        <w:trPr>
          <w:trHeight w:val="230"/>
        </w:trPr>
        <w:tc>
          <w:tcPr>
            <w:tcW w:w="3980" w:type="dxa"/>
            <w:vAlign w:val="bottom"/>
            <w:shd w:val="clear" w:color="auto" w:fill="FDE9D9"/>
          </w:tcPr>
          <w:p>
            <w:pPr>
              <w:spacing w:after="0"/>
              <w:rPr>
                <w:sz w:val="20"/>
                <w:szCs w:val="20"/>
                <w:color w:val="auto"/>
              </w:rPr>
            </w:pPr>
            <w:r>
              <w:rPr>
                <w:rFonts w:ascii="Arial" w:cs="Arial" w:eastAsia="Arial" w:hAnsi="Arial"/>
                <w:sz w:val="18"/>
                <w:szCs w:val="18"/>
                <w:color w:val="auto"/>
              </w:rPr>
              <w:t>Proprietary Software</w:t>
            </w:r>
          </w:p>
        </w:tc>
        <w:tc>
          <w:tcPr>
            <w:tcW w:w="1140" w:type="dxa"/>
            <w:vAlign w:val="bottom"/>
            <w:shd w:val="clear" w:color="auto" w:fill="FDE9D9"/>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FDE9D9"/>
          </w:tcPr>
          <w:p>
            <w:pPr>
              <w:spacing w:after="0"/>
              <w:rPr>
                <w:sz w:val="19"/>
                <w:szCs w:val="19"/>
                <w:color w:val="auto"/>
              </w:rPr>
            </w:pPr>
          </w:p>
        </w:tc>
        <w:tc>
          <w:tcPr>
            <w:tcW w:w="300" w:type="dxa"/>
            <w:vAlign w:val="bottom"/>
            <w:shd w:val="clear" w:color="auto" w:fill="FDE9D9"/>
          </w:tcPr>
          <w:p>
            <w:pPr>
              <w:spacing w:after="0"/>
              <w:rPr>
                <w:sz w:val="19"/>
                <w:szCs w:val="19"/>
                <w:color w:val="auto"/>
              </w:rPr>
            </w:pPr>
          </w:p>
        </w:tc>
        <w:tc>
          <w:tcPr>
            <w:tcW w:w="1000" w:type="dxa"/>
            <w:vAlign w:val="bottom"/>
            <w:shd w:val="clear" w:color="auto" w:fill="FDE9D9"/>
          </w:tcPr>
          <w:p>
            <w:pPr>
              <w:jc w:val="right"/>
              <w:ind w:right="171"/>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FDE9D9"/>
          </w:tcPr>
          <w:p>
            <w:pPr>
              <w:spacing w:after="0"/>
              <w:rPr>
                <w:sz w:val="19"/>
                <w:szCs w:val="19"/>
                <w:color w:val="auto"/>
              </w:rPr>
            </w:pPr>
          </w:p>
        </w:tc>
        <w:tc>
          <w:tcPr>
            <w:tcW w:w="380" w:type="dxa"/>
            <w:vAlign w:val="bottom"/>
            <w:shd w:val="clear" w:color="auto" w:fill="FDE9D9"/>
          </w:tcPr>
          <w:p>
            <w:pPr>
              <w:spacing w:after="0"/>
              <w:rPr>
                <w:sz w:val="19"/>
                <w:szCs w:val="19"/>
                <w:color w:val="auto"/>
              </w:rPr>
            </w:pPr>
          </w:p>
        </w:tc>
        <w:tc>
          <w:tcPr>
            <w:tcW w:w="740" w:type="dxa"/>
            <w:vAlign w:val="bottom"/>
            <w:shd w:val="clear" w:color="auto" w:fill="FDE9D9"/>
          </w:tcPr>
          <w:p>
            <w:pPr>
              <w:jc w:val="right"/>
              <w:ind w:right="23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700" w:type="dxa"/>
            <w:vAlign w:val="bottom"/>
            <w:shd w:val="clear" w:color="auto" w:fill="FDE9D9"/>
          </w:tcPr>
          <w:p>
            <w:pPr>
              <w:jc w:val="right"/>
              <w:ind w:right="191"/>
              <w:spacing w:after="0"/>
              <w:rPr>
                <w:sz w:val="20"/>
                <w:szCs w:val="20"/>
                <w:color w:val="auto"/>
              </w:rPr>
            </w:pPr>
            <w:r>
              <w:rPr>
                <w:rFonts w:ascii="Arial" w:cs="Arial" w:eastAsia="Arial" w:hAnsi="Arial"/>
                <w:sz w:val="18"/>
                <w:szCs w:val="18"/>
                <w:color w:val="auto"/>
              </w:rPr>
              <w:t>113</w:t>
            </w:r>
          </w:p>
        </w:tc>
      </w:tr>
      <w:tr>
        <w:trPr>
          <w:trHeight w:val="216"/>
        </w:trPr>
        <w:tc>
          <w:tcPr>
            <w:tcW w:w="3980" w:type="dxa"/>
            <w:vAlign w:val="bottom"/>
            <w:tcBorders>
              <w:bottom w:val="single" w:sz="8" w:color="FDE9D9"/>
            </w:tcBorders>
            <w:shd w:val="clear" w:color="auto" w:fill="FDE9D9"/>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FDE9D9"/>
            </w:tcBorders>
            <w:shd w:val="clear" w:color="auto" w:fill="FDE9D9"/>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tcBorders>
              <w:bottom w:val="single" w:sz="8" w:color="FDE9D9"/>
            </w:tcBorders>
            <w:shd w:val="clear" w:color="auto" w:fill="FDE9D9"/>
          </w:tcPr>
          <w:p>
            <w:pPr>
              <w:spacing w:after="0"/>
              <w:rPr>
                <w:sz w:val="18"/>
                <w:szCs w:val="18"/>
                <w:color w:val="auto"/>
              </w:rPr>
            </w:pPr>
          </w:p>
        </w:tc>
        <w:tc>
          <w:tcPr>
            <w:tcW w:w="300" w:type="dxa"/>
            <w:vAlign w:val="bottom"/>
            <w:tcBorders>
              <w:bottom w:val="single" w:sz="8" w:color="auto"/>
            </w:tcBorders>
            <w:shd w:val="clear" w:color="auto" w:fill="FDE9D9"/>
          </w:tcPr>
          <w:p>
            <w:pPr>
              <w:spacing w:after="0"/>
              <w:rPr>
                <w:sz w:val="18"/>
                <w:szCs w:val="18"/>
                <w:color w:val="auto"/>
              </w:rPr>
            </w:pPr>
          </w:p>
        </w:tc>
        <w:tc>
          <w:tcPr>
            <w:tcW w:w="1000" w:type="dxa"/>
            <w:vAlign w:val="bottom"/>
            <w:tcBorders>
              <w:bottom w:val="single" w:sz="8" w:color="auto"/>
            </w:tcBorders>
            <w:shd w:val="clear" w:color="auto" w:fill="FDE9D9"/>
          </w:tcPr>
          <w:p>
            <w:pPr>
              <w:jc w:val="right"/>
              <w:ind w:right="171"/>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FDE9D9"/>
            </w:tcBorders>
            <w:shd w:val="clear" w:color="auto" w:fill="FDE9D9"/>
          </w:tcPr>
          <w:p>
            <w:pPr>
              <w:spacing w:after="0"/>
              <w:rPr>
                <w:sz w:val="18"/>
                <w:szCs w:val="18"/>
                <w:color w:val="auto"/>
              </w:rPr>
            </w:pPr>
          </w:p>
        </w:tc>
        <w:tc>
          <w:tcPr>
            <w:tcW w:w="380" w:type="dxa"/>
            <w:vAlign w:val="bottom"/>
            <w:tcBorders>
              <w:bottom w:val="single" w:sz="8" w:color="auto"/>
            </w:tcBorders>
            <w:shd w:val="clear" w:color="auto" w:fill="FDE9D9"/>
          </w:tcPr>
          <w:p>
            <w:pPr>
              <w:spacing w:after="0"/>
              <w:rPr>
                <w:sz w:val="18"/>
                <w:szCs w:val="18"/>
                <w:color w:val="auto"/>
              </w:rPr>
            </w:pPr>
          </w:p>
        </w:tc>
        <w:tc>
          <w:tcPr>
            <w:tcW w:w="740" w:type="dxa"/>
            <w:vAlign w:val="bottom"/>
            <w:tcBorders>
              <w:bottom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FDE9D9"/>
            </w:tcBorders>
            <w:shd w:val="clear" w:color="auto" w:fill="FDE9D9"/>
          </w:tcPr>
          <w:p>
            <w:pPr>
              <w:spacing w:after="0"/>
              <w:rPr>
                <w:sz w:val="18"/>
                <w:szCs w:val="18"/>
                <w:color w:val="auto"/>
              </w:rPr>
            </w:pPr>
          </w:p>
        </w:tc>
        <w:tc>
          <w:tcPr>
            <w:tcW w:w="180" w:type="dxa"/>
            <w:vAlign w:val="bottom"/>
            <w:tcBorders>
              <w:bottom w:val="single" w:sz="8" w:color="auto"/>
            </w:tcBorders>
            <w:shd w:val="clear" w:color="auto" w:fill="FDE9D9"/>
          </w:tcPr>
          <w:p>
            <w:pPr>
              <w:spacing w:after="0"/>
              <w:rPr>
                <w:sz w:val="18"/>
                <w:szCs w:val="18"/>
                <w:color w:val="auto"/>
              </w:rPr>
            </w:pPr>
          </w:p>
        </w:tc>
        <w:tc>
          <w:tcPr>
            <w:tcW w:w="700" w:type="dxa"/>
            <w:vAlign w:val="bottom"/>
            <w:tcBorders>
              <w:bottom w:val="single" w:sz="8" w:color="auto"/>
            </w:tcBorders>
            <w:shd w:val="clear" w:color="auto" w:fill="FDE9D9"/>
          </w:tcPr>
          <w:p>
            <w:pPr>
              <w:jc w:val="right"/>
              <w:ind w:right="191"/>
              <w:spacing w:after="0"/>
              <w:rPr>
                <w:sz w:val="20"/>
                <w:szCs w:val="20"/>
                <w:color w:val="auto"/>
              </w:rPr>
            </w:pPr>
            <w:r>
              <w:rPr>
                <w:rFonts w:ascii="Arial" w:cs="Arial" w:eastAsia="Arial" w:hAnsi="Arial"/>
                <w:sz w:val="18"/>
                <w:szCs w:val="18"/>
                <w:color w:val="auto"/>
              </w:rPr>
              <w:t>19</w:t>
            </w:r>
          </w:p>
        </w:tc>
      </w:tr>
      <w:tr>
        <w:trPr>
          <w:trHeight w:val="223"/>
        </w:trPr>
        <w:tc>
          <w:tcPr>
            <w:tcW w:w="3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2,769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w w:val="88"/>
              </w:rPr>
              <w:t>2,257</w:t>
            </w:r>
          </w:p>
        </w:tc>
      </w:tr>
      <w:tr>
        <w:trPr>
          <w:trHeight w:val="216"/>
        </w:trPr>
        <w:tc>
          <w:tcPr>
            <w:tcW w:w="3980" w:type="dxa"/>
            <w:vAlign w:val="bottom"/>
            <w:tcBorders>
              <w:bottom w:val="single" w:sz="8" w:color="FDE9D9"/>
            </w:tcBorders>
            <w:shd w:val="clear" w:color="auto" w:fill="FDE9D9"/>
          </w:tcPr>
          <w:p>
            <w:pPr>
              <w:spacing w:after="0"/>
              <w:rPr>
                <w:sz w:val="20"/>
                <w:szCs w:val="20"/>
                <w:color w:val="auto"/>
              </w:rPr>
            </w:pPr>
            <w:r>
              <w:rPr>
                <w:rFonts w:ascii="Arial" w:cs="Arial" w:eastAsia="Arial" w:hAnsi="Arial"/>
                <w:sz w:val="18"/>
                <w:szCs w:val="18"/>
                <w:color w:val="auto"/>
              </w:rPr>
              <w:t>In-process Research and Development</w:t>
            </w:r>
          </w:p>
        </w:tc>
        <w:tc>
          <w:tcPr>
            <w:tcW w:w="1140" w:type="dxa"/>
            <w:vAlign w:val="bottom"/>
            <w:tcBorders>
              <w:bottom w:val="single" w:sz="8" w:color="FDE9D9"/>
            </w:tcBorders>
            <w:shd w:val="clear" w:color="auto" w:fill="FDE9D9"/>
          </w:tcPr>
          <w:p>
            <w:pPr>
              <w:jc w:val="center"/>
              <w:spacing w:after="0"/>
              <w:rPr>
                <w:sz w:val="20"/>
                <w:szCs w:val="20"/>
                <w:color w:val="auto"/>
              </w:rPr>
            </w:pPr>
            <w:r>
              <w:rPr>
                <w:rFonts w:ascii="Arial" w:cs="Arial" w:eastAsia="Arial" w:hAnsi="Arial"/>
                <w:sz w:val="18"/>
                <w:szCs w:val="18"/>
                <w:color w:val="auto"/>
                <w:w w:val="95"/>
              </w:rPr>
              <w:t>Indefinite</w:t>
            </w:r>
          </w:p>
        </w:tc>
        <w:tc>
          <w:tcPr>
            <w:tcW w:w="180" w:type="dxa"/>
            <w:vAlign w:val="bottom"/>
            <w:tcBorders>
              <w:bottom w:val="single" w:sz="8" w:color="FDE9D9"/>
            </w:tcBorders>
            <w:shd w:val="clear" w:color="auto" w:fill="FDE9D9"/>
          </w:tcPr>
          <w:p>
            <w:pPr>
              <w:spacing w:after="0"/>
              <w:rPr>
                <w:sz w:val="18"/>
                <w:szCs w:val="18"/>
                <w:color w:val="auto"/>
              </w:rPr>
            </w:pPr>
          </w:p>
        </w:tc>
        <w:tc>
          <w:tcPr>
            <w:tcW w:w="300" w:type="dxa"/>
            <w:vAlign w:val="bottom"/>
            <w:tcBorders>
              <w:bottom w:val="single" w:sz="8" w:color="auto"/>
            </w:tcBorders>
            <w:shd w:val="clear" w:color="auto" w:fill="FDE9D9"/>
          </w:tcPr>
          <w:p>
            <w:pPr>
              <w:spacing w:after="0"/>
              <w:rPr>
                <w:sz w:val="18"/>
                <w:szCs w:val="18"/>
                <w:color w:val="auto"/>
              </w:rPr>
            </w:pPr>
          </w:p>
        </w:tc>
        <w:tc>
          <w:tcPr>
            <w:tcW w:w="1000" w:type="dxa"/>
            <w:vAlign w:val="bottom"/>
            <w:tcBorders>
              <w:bottom w:val="single" w:sz="8" w:color="auto"/>
            </w:tcBorders>
            <w:shd w:val="clear" w:color="auto" w:fill="FDE9D9"/>
          </w:tcPr>
          <w:p>
            <w:pPr>
              <w:jc w:val="right"/>
              <w:ind w:right="171"/>
              <w:spacing w:after="0"/>
              <w:rPr>
                <w:sz w:val="20"/>
                <w:szCs w:val="20"/>
                <w:color w:val="auto"/>
              </w:rPr>
            </w:pPr>
            <w:r>
              <w:rPr>
                <w:rFonts w:ascii="Arial" w:cs="Arial" w:eastAsia="Arial" w:hAnsi="Arial"/>
                <w:sz w:val="18"/>
                <w:szCs w:val="18"/>
                <w:color w:val="auto"/>
              </w:rPr>
              <w:t>400</w:t>
            </w:r>
          </w:p>
        </w:tc>
        <w:tc>
          <w:tcPr>
            <w:tcW w:w="180" w:type="dxa"/>
            <w:vAlign w:val="bottom"/>
            <w:tcBorders>
              <w:bottom w:val="single" w:sz="8" w:color="FDE9D9"/>
            </w:tcBorders>
            <w:shd w:val="clear" w:color="auto" w:fill="FDE9D9"/>
          </w:tcPr>
          <w:p>
            <w:pPr>
              <w:spacing w:after="0"/>
              <w:rPr>
                <w:sz w:val="18"/>
                <w:szCs w:val="18"/>
                <w:color w:val="auto"/>
              </w:rPr>
            </w:pPr>
          </w:p>
        </w:tc>
        <w:tc>
          <w:tcPr>
            <w:tcW w:w="380" w:type="dxa"/>
            <w:vAlign w:val="bottom"/>
            <w:tcBorders>
              <w:bottom w:val="single" w:sz="8" w:color="auto"/>
            </w:tcBorders>
            <w:shd w:val="clear" w:color="auto" w:fill="FDE9D9"/>
          </w:tcPr>
          <w:p>
            <w:pPr>
              <w:spacing w:after="0"/>
              <w:rPr>
                <w:sz w:val="18"/>
                <w:szCs w:val="18"/>
                <w:color w:val="auto"/>
              </w:rPr>
            </w:pPr>
          </w:p>
        </w:tc>
        <w:tc>
          <w:tcPr>
            <w:tcW w:w="740" w:type="dxa"/>
            <w:vAlign w:val="bottom"/>
            <w:tcBorders>
              <w:bottom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DE9D9"/>
            </w:tcBorders>
            <w:shd w:val="clear" w:color="auto" w:fill="FDE9D9"/>
          </w:tcPr>
          <w:p>
            <w:pPr>
              <w:spacing w:after="0"/>
              <w:rPr>
                <w:sz w:val="18"/>
                <w:szCs w:val="18"/>
                <w:color w:val="auto"/>
              </w:rPr>
            </w:pPr>
          </w:p>
        </w:tc>
        <w:tc>
          <w:tcPr>
            <w:tcW w:w="180" w:type="dxa"/>
            <w:vAlign w:val="bottom"/>
            <w:tcBorders>
              <w:bottom w:val="single" w:sz="8" w:color="auto"/>
            </w:tcBorders>
            <w:shd w:val="clear" w:color="auto" w:fill="FDE9D9"/>
          </w:tcPr>
          <w:p>
            <w:pPr>
              <w:spacing w:after="0"/>
              <w:rPr>
                <w:sz w:val="18"/>
                <w:szCs w:val="18"/>
                <w:color w:val="auto"/>
              </w:rPr>
            </w:pPr>
          </w:p>
        </w:tc>
        <w:tc>
          <w:tcPr>
            <w:tcW w:w="700" w:type="dxa"/>
            <w:vAlign w:val="bottom"/>
            <w:tcBorders>
              <w:bottom w:val="single" w:sz="8" w:color="auto"/>
            </w:tcBorders>
            <w:shd w:val="clear" w:color="auto" w:fill="FDE9D9"/>
          </w:tcPr>
          <w:p>
            <w:pPr>
              <w:jc w:val="right"/>
              <w:ind w:right="191"/>
              <w:spacing w:after="0"/>
              <w:rPr>
                <w:sz w:val="20"/>
                <w:szCs w:val="20"/>
                <w:color w:val="auto"/>
              </w:rPr>
            </w:pPr>
            <w:r>
              <w:rPr>
                <w:rFonts w:ascii="Arial" w:cs="Arial" w:eastAsia="Arial" w:hAnsi="Arial"/>
                <w:sz w:val="18"/>
                <w:szCs w:val="18"/>
                <w:color w:val="auto"/>
              </w:rPr>
              <w:t>400</w:t>
            </w:r>
          </w:p>
        </w:tc>
      </w:tr>
      <w:tr>
        <w:trPr>
          <w:trHeight w:val="210"/>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8"/>
                <w:szCs w:val="18"/>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88"/>
              </w:rPr>
              <w:t>2,657</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amortization during the quarters ended March 31, 2011 and 2010: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Quarter ended</w:t>
            </w:r>
          </w:p>
        </w:tc>
        <w:tc>
          <w:tcPr>
            <w:tcW w:w="780" w:type="dxa"/>
            <w:vAlign w:val="bottom"/>
            <w:tcBorders>
              <w:bottom w:val="single" w:sz="8" w:color="auto"/>
            </w:tcBorders>
          </w:tcPr>
          <w:p>
            <w:pPr>
              <w:spacing w:after="0"/>
              <w:rPr>
                <w:sz w:val="18"/>
                <w:szCs w:val="18"/>
                <w:color w:val="auto"/>
              </w:rPr>
            </w:pPr>
          </w:p>
        </w:tc>
      </w:tr>
      <w:tr>
        <w:trPr>
          <w:trHeight w:val="199"/>
        </w:trPr>
        <w:tc>
          <w:tcPr>
            <w:tcW w:w="5100" w:type="dxa"/>
            <w:vAlign w:val="bottom"/>
          </w:tcPr>
          <w:p>
            <w:pPr>
              <w:spacing w:after="0"/>
              <w:rPr>
                <w:sz w:val="17"/>
                <w:szCs w:val="17"/>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March 31, 2011</w:t>
            </w:r>
          </w:p>
        </w:tc>
        <w:tc>
          <w:tcPr>
            <w:tcW w:w="30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rPr>
              <w:t>March 31, 2010</w:t>
            </w:r>
          </w:p>
        </w:tc>
      </w:tr>
      <w:tr>
        <w:trPr>
          <w:trHeight w:val="223"/>
        </w:trPr>
        <w:tc>
          <w:tcPr>
            <w:tcW w:w="5100" w:type="dxa"/>
            <w:vAlign w:val="bottom"/>
            <w:shd w:val="clear" w:color="auto" w:fill="FDE9D9"/>
          </w:tcPr>
          <w:p>
            <w:pPr>
              <w:spacing w:after="0"/>
              <w:rPr>
                <w:sz w:val="20"/>
                <w:szCs w:val="20"/>
                <w:color w:val="auto"/>
              </w:rPr>
            </w:pPr>
            <w:r>
              <w:rPr>
                <w:rFonts w:ascii="Arial" w:cs="Arial" w:eastAsia="Arial" w:hAnsi="Arial"/>
                <w:sz w:val="18"/>
                <w:szCs w:val="18"/>
                <w:color w:val="auto"/>
              </w:rPr>
              <w:t>Amortization of intangibles with finite lives</w:t>
            </w:r>
          </w:p>
        </w:tc>
        <w:tc>
          <w:tcPr>
            <w:tcW w:w="500" w:type="dxa"/>
            <w:vAlign w:val="bottom"/>
            <w:shd w:val="clear" w:color="auto" w:fill="FDE9D9"/>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FDE9D9"/>
          </w:tcPr>
          <w:p>
            <w:pPr>
              <w:jc w:val="right"/>
              <w:ind w:right="234"/>
              <w:spacing w:after="0"/>
              <w:rPr>
                <w:sz w:val="20"/>
                <w:szCs w:val="20"/>
                <w:color w:val="auto"/>
              </w:rPr>
            </w:pPr>
            <w:r>
              <w:rPr>
                <w:rFonts w:ascii="Arial" w:cs="Arial" w:eastAsia="Arial" w:hAnsi="Arial"/>
                <w:sz w:val="18"/>
                <w:szCs w:val="18"/>
                <w:color w:val="auto"/>
              </w:rPr>
              <w:t>88</w:t>
            </w:r>
          </w:p>
        </w:tc>
        <w:tc>
          <w:tcPr>
            <w:tcW w:w="1000" w:type="dxa"/>
            <w:vAlign w:val="bottom"/>
            <w:gridSpan w:val="2"/>
            <w:shd w:val="clear" w:color="auto" w:fill="FDE9D9"/>
          </w:tcPr>
          <w:p>
            <w:pPr>
              <w:jc w:val="right"/>
              <w:ind w:right="399"/>
              <w:spacing w:after="0"/>
              <w:rPr>
                <w:sz w:val="20"/>
                <w:szCs w:val="20"/>
                <w:color w:val="auto"/>
              </w:rPr>
            </w:pPr>
            <w:r>
              <w:rPr>
                <w:rFonts w:ascii="Arial" w:cs="Arial" w:eastAsia="Arial" w:hAnsi="Arial"/>
                <w:sz w:val="18"/>
                <w:szCs w:val="18"/>
                <w:color w:val="auto"/>
              </w:rPr>
              <w:t>$</w:t>
            </w:r>
          </w:p>
        </w:tc>
        <w:tc>
          <w:tcPr>
            <w:tcW w:w="780" w:type="dxa"/>
            <w:vAlign w:val="bottom"/>
            <w:shd w:val="clear" w:color="auto" w:fill="FDE9D9"/>
          </w:tcPr>
          <w:p>
            <w:pPr>
              <w:jc w:val="right"/>
              <w:ind w:right="250"/>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76326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6" w:name="page7"/>
    <w:bookmarkEnd w:id="6"/>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(Unaudited – Dollars in thousands)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Inventories, net of reserves, consisted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w w:val="94"/>
              </w:rPr>
              <w:t>March 31, 2011</w:t>
            </w:r>
          </w:p>
        </w:tc>
        <w:tc>
          <w:tcPr>
            <w:tcW w:w="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6"/>
                <w:szCs w:val="16"/>
                <w:b w:val="1"/>
                <w:bCs w:val="1"/>
                <w:color w:val="auto"/>
              </w:rPr>
              <w:t>December 31, 2010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80" w:type="dxa"/>
            <w:vAlign w:val="bottom"/>
            <w:shd w:val="clear" w:color="auto" w:fill="FDE9D9"/>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FDE9D9"/>
          </w:tcPr>
          <w:p>
            <w:pPr>
              <w:spacing w:after="0"/>
              <w:rPr>
                <w:sz w:val="19"/>
                <w:szCs w:val="19"/>
                <w:color w:val="auto"/>
              </w:rPr>
            </w:pPr>
          </w:p>
        </w:tc>
        <w:tc>
          <w:tcPr>
            <w:tcW w:w="120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5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1,009</w:t>
            </w:r>
          </w:p>
        </w:tc>
        <w:tc>
          <w:tcPr>
            <w:tcW w:w="920" w:type="dxa"/>
            <w:vAlign w:val="bottom"/>
            <w:gridSpan w:val="3"/>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FDE9D9"/>
          </w:tcPr>
          <w:p>
            <w:pPr>
              <w:ind w:left="16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FDE9D9"/>
          </w:tcPr>
          <w:p>
            <w:pPr>
              <w:spacing w:after="0"/>
              <w:rPr>
                <w:sz w:val="19"/>
                <w:szCs w:val="19"/>
                <w:color w:val="auto"/>
              </w:rPr>
            </w:pPr>
          </w:p>
        </w:tc>
        <w:tc>
          <w:tcPr>
            <w:tcW w:w="1200" w:type="dxa"/>
            <w:vAlign w:val="bottom"/>
            <w:tcBorders>
              <w:bottom w:val="single" w:sz="8" w:color="auto"/>
            </w:tcBorders>
            <w:shd w:val="clear" w:color="auto" w:fill="FDE9D9"/>
          </w:tcPr>
          <w:p>
            <w:pPr>
              <w:jc w:val="right"/>
              <w:ind w:right="51"/>
              <w:spacing w:after="0"/>
              <w:rPr>
                <w:sz w:val="20"/>
                <w:szCs w:val="20"/>
                <w:color w:val="auto"/>
              </w:rPr>
            </w:pPr>
            <w:r>
              <w:rPr>
                <w:rFonts w:ascii="Arial" w:cs="Arial" w:eastAsia="Arial" w:hAnsi="Arial"/>
                <w:sz w:val="18"/>
                <w:szCs w:val="18"/>
                <w:color w:val="auto"/>
              </w:rPr>
              <w:t>8,791</w:t>
            </w:r>
          </w:p>
        </w:tc>
        <w:tc>
          <w:tcPr>
            <w:tcW w:w="180" w:type="dxa"/>
            <w:vAlign w:val="bottom"/>
            <w:tcBorders>
              <w:bottom w:val="single" w:sz="8" w:color="auto"/>
            </w:tcBorders>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560" w:type="dxa"/>
            <w:vAlign w:val="bottom"/>
            <w:tcBorders>
              <w:bottom w:val="single" w:sz="8" w:color="auto"/>
            </w:tcBorders>
            <w:shd w:val="clear" w:color="auto" w:fill="FDE9D9"/>
          </w:tcPr>
          <w:p>
            <w:pPr>
              <w:spacing w:after="0"/>
              <w:rPr>
                <w:sz w:val="19"/>
                <w:szCs w:val="19"/>
                <w:color w:val="auto"/>
              </w:rPr>
            </w:pPr>
          </w:p>
        </w:tc>
        <w:tc>
          <w:tcPr>
            <w:tcW w:w="1100" w:type="dxa"/>
            <w:vAlign w:val="bottom"/>
            <w:tcBorders>
              <w:bottom w:val="single" w:sz="8" w:color="auto"/>
            </w:tcBorders>
            <w:shd w:val="clear" w:color="auto" w:fill="FDE9D9"/>
          </w:tcPr>
          <w:p>
            <w:pPr>
              <w:jc w:val="right"/>
              <w:ind w:right="250"/>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line="182" w:lineRule="exact"/>
              <w:rPr>
                <w:sz w:val="20"/>
                <w:szCs w:val="20"/>
                <w:color w:val="auto"/>
              </w:rPr>
            </w:pPr>
            <w:r>
              <w:rPr>
                <w:rFonts w:ascii="Arial" w:cs="Arial" w:eastAsia="Arial" w:hAnsi="Arial"/>
                <w:sz w:val="18"/>
                <w:szCs w:val="18"/>
                <w:color w:val="auto"/>
              </w:rPr>
              <w:t>9,800</w:t>
            </w: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253"/>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980" w:type="dxa"/>
            <w:vAlign w:val="bottom"/>
            <w:shd w:val="clear" w:color="auto" w:fill="FDE9D9"/>
          </w:tcPr>
          <w:p>
            <w:pPr>
              <w:spacing w:after="0"/>
              <w:rPr>
                <w:sz w:val="19"/>
                <w:szCs w:val="19"/>
                <w:color w:val="auto"/>
              </w:rPr>
            </w:pPr>
          </w:p>
        </w:tc>
        <w:tc>
          <w:tcPr>
            <w:tcW w:w="240" w:type="dxa"/>
            <w:vAlign w:val="bottom"/>
            <w:shd w:val="clear" w:color="auto" w:fill="FDE9D9"/>
          </w:tcPr>
          <w:p>
            <w:pPr>
              <w:spacing w:after="0"/>
              <w:rPr>
                <w:sz w:val="19"/>
                <w:szCs w:val="19"/>
                <w:color w:val="auto"/>
              </w:rPr>
            </w:pPr>
          </w:p>
        </w:tc>
        <w:tc>
          <w:tcPr>
            <w:tcW w:w="120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180" w:type="dxa"/>
            <w:vAlign w:val="bottom"/>
            <w:shd w:val="clear" w:color="auto" w:fill="FDE9D9"/>
          </w:tcPr>
          <w:p>
            <w:pPr>
              <w:spacing w:after="0"/>
              <w:rPr>
                <w:sz w:val="19"/>
                <w:szCs w:val="19"/>
                <w:color w:val="auto"/>
              </w:rPr>
            </w:pPr>
          </w:p>
        </w:tc>
        <w:tc>
          <w:tcPr>
            <w:tcW w:w="560" w:type="dxa"/>
            <w:vAlign w:val="bottom"/>
            <w:shd w:val="clear" w:color="auto" w:fill="FDE9D9"/>
          </w:tcPr>
          <w:p>
            <w:pPr>
              <w:spacing w:after="0"/>
              <w:rPr>
                <w:sz w:val="19"/>
                <w:szCs w:val="19"/>
                <w:color w:val="auto"/>
              </w:rPr>
            </w:pPr>
          </w:p>
        </w:tc>
        <w:tc>
          <w:tcPr>
            <w:tcW w:w="1100" w:type="dxa"/>
            <w:vAlign w:val="bottom"/>
            <w:shd w:val="clear" w:color="auto" w:fill="FDE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FDE9D9"/>
          </w:tcPr>
          <w:p>
            <w:pPr>
              <w:ind w:left="16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FDE9D9"/>
          </w:tcPr>
          <w:p>
            <w:pPr>
              <w:jc w:val="right"/>
              <w:ind w:right="51"/>
              <w:spacing w:after="0"/>
              <w:rPr>
                <w:sz w:val="20"/>
                <w:szCs w:val="20"/>
                <w:color w:val="auto"/>
              </w:rPr>
            </w:pPr>
            <w:r>
              <w:rPr>
                <w:rFonts w:ascii="Arial" w:cs="Arial" w:eastAsia="Arial" w:hAnsi="Arial"/>
                <w:sz w:val="18"/>
                <w:szCs w:val="18"/>
                <w:color w:val="auto"/>
              </w:rPr>
              <w:t>366</w:t>
            </w:r>
          </w:p>
        </w:tc>
        <w:tc>
          <w:tcPr>
            <w:tcW w:w="920" w:type="dxa"/>
            <w:vAlign w:val="bottom"/>
            <w:gridSpan w:val="3"/>
            <w:shd w:val="clear" w:color="auto" w:fill="FDE9D9"/>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shd w:val="clear" w:color="auto" w:fill="FDE9D9"/>
          </w:tcPr>
          <w:p>
            <w:pPr>
              <w:jc w:val="right"/>
              <w:ind w:right="25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FDE9D9"/>
            </w:tcBorders>
          </w:tcPr>
          <w:p>
            <w:pPr>
              <w:ind w:left="16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1,824</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FDE9D9"/>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FDE9D9"/>
            </w:tcBorders>
            <w:shd w:val="clear" w:color="auto" w:fill="FDE9D9"/>
          </w:tcPr>
          <w:p>
            <w:pPr>
              <w:spacing w:after="0"/>
              <w:rPr>
                <w:sz w:val="19"/>
                <w:szCs w:val="19"/>
                <w:color w:val="auto"/>
              </w:rPr>
            </w:pPr>
          </w:p>
        </w:tc>
        <w:tc>
          <w:tcPr>
            <w:tcW w:w="24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DE9D9"/>
          </w:tcPr>
          <w:p>
            <w:pPr>
              <w:jc w:val="right"/>
              <w:ind w:right="51"/>
              <w:spacing w:after="0" w:line="182" w:lineRule="exact"/>
              <w:rPr>
                <w:sz w:val="20"/>
                <w:szCs w:val="20"/>
                <w:color w:val="auto"/>
              </w:rPr>
            </w:pPr>
            <w:r>
              <w:rPr>
                <w:rFonts w:ascii="Arial" w:cs="Arial" w:eastAsia="Arial" w:hAnsi="Arial"/>
                <w:sz w:val="18"/>
                <w:szCs w:val="18"/>
                <w:color w:val="auto"/>
              </w:rPr>
              <w:t>2,190</w:t>
            </w:r>
          </w:p>
        </w:tc>
        <w:tc>
          <w:tcPr>
            <w:tcW w:w="180" w:type="dxa"/>
            <w:vAlign w:val="bottom"/>
            <w:tcBorders>
              <w:bottom w:val="single" w:sz="8" w:color="auto"/>
            </w:tcBorders>
            <w:shd w:val="clear" w:color="auto" w:fill="FDE9D9"/>
          </w:tcPr>
          <w:p>
            <w:pPr>
              <w:spacing w:after="0"/>
              <w:rPr>
                <w:sz w:val="19"/>
                <w:szCs w:val="19"/>
                <w:color w:val="auto"/>
              </w:rPr>
            </w:pPr>
          </w:p>
        </w:tc>
        <w:tc>
          <w:tcPr>
            <w:tcW w:w="180" w:type="dxa"/>
            <w:vAlign w:val="bottom"/>
            <w:tcBorders>
              <w:bottom w:val="single" w:sz="8" w:color="FDE9D9"/>
            </w:tcBorders>
            <w:shd w:val="clear" w:color="auto" w:fill="FDE9D9"/>
          </w:tcPr>
          <w:p>
            <w:pPr>
              <w:spacing w:after="0"/>
              <w:rPr>
                <w:sz w:val="19"/>
                <w:szCs w:val="19"/>
                <w:color w:val="auto"/>
              </w:rPr>
            </w:pPr>
          </w:p>
        </w:tc>
        <w:tc>
          <w:tcPr>
            <w:tcW w:w="560" w:type="dxa"/>
            <w:vAlign w:val="bottom"/>
            <w:tcBorders>
              <w:bottom w:val="single" w:sz="8" w:color="auto"/>
            </w:tcBorders>
            <w:shd w:val="clear" w:color="auto" w:fill="FDE9D9"/>
          </w:tcPr>
          <w:p>
            <w:pPr>
              <w:jc w:val="right"/>
              <w:ind w:right="253"/>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DE9D9"/>
          </w:tcPr>
          <w:p>
            <w:pPr>
              <w:jc w:val="right"/>
              <w:ind w:right="250"/>
              <w:spacing w:after="0" w:line="182" w:lineRule="exact"/>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159"/>
        <w:spacing w:after="0" w:line="252" w:lineRule="auto"/>
        <w:rPr>
          <w:sz w:val="20"/>
          <w:szCs w:val="20"/>
          <w:color w:val="auto"/>
        </w:rPr>
      </w:pPr>
      <w:r>
        <w:rPr>
          <w:rFonts w:ascii="Arial" w:cs="Arial" w:eastAsia="Arial" w:hAnsi="Arial"/>
          <w:sz w:val="21"/>
          <w:szCs w:val="21"/>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201" w:lineRule="exact"/>
        <w:rPr>
          <w:sz w:val="20"/>
          <w:szCs w:val="20"/>
          <w:color w:val="auto"/>
        </w:rPr>
      </w:pPr>
    </w:p>
    <w:p>
      <w:pPr>
        <w:jc w:val="both"/>
        <w:ind w:right="1179"/>
        <w:spacing w:after="0" w:line="297" w:lineRule="auto"/>
        <w:rPr>
          <w:sz w:val="20"/>
          <w:szCs w:val="20"/>
          <w:color w:val="auto"/>
        </w:rPr>
      </w:pPr>
      <w:r>
        <w:rPr>
          <w:rFonts w:ascii="Arial" w:cs="Arial" w:eastAsia="Arial" w:hAnsi="Arial"/>
          <w:sz w:val="19"/>
          <w:szCs w:val="19"/>
          <w:color w:val="auto"/>
        </w:rPr>
        <w:t>Current finished goods include consigned inventory in the amounts of approximately $1,841 and $1,742 as of March 31, 2011 and December 31, 2010, respectively. Consigned inventory represents inventory at distributors and other customers where revenue recognition criteria have not been achieved.</w:t>
      </w:r>
    </w:p>
    <w:p>
      <w:pPr>
        <w:spacing w:after="0" w:line="161" w:lineRule="exact"/>
        <w:rPr>
          <w:sz w:val="20"/>
          <w:szCs w:val="20"/>
          <w:color w:val="auto"/>
        </w:rPr>
      </w:pPr>
    </w:p>
    <w:p>
      <w:pPr>
        <w:ind w:right="1299"/>
        <w:spacing w:after="0" w:line="328" w:lineRule="auto"/>
        <w:rPr>
          <w:sz w:val="20"/>
          <w:szCs w:val="20"/>
          <w:color w:val="auto"/>
        </w:rPr>
      </w:pPr>
      <w:r>
        <w:rPr>
          <w:rFonts w:ascii="Arial" w:cs="Arial" w:eastAsia="Arial" w:hAnsi="Arial"/>
          <w:sz w:val="19"/>
          <w:szCs w:val="19"/>
          <w:color w:val="auto"/>
        </w:rPr>
        <w:t>The losses incurred on valuation of inventory at lower of cost or market value and write-off of obsolete inventory amounted to $0 and $85 during the quarters ended March 31, 2011 and 2010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Share-based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Share-based compensation expense has been allocated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6"/>
                <w:szCs w:val="16"/>
                <w:b w:val="1"/>
                <w:bCs w:val="1"/>
                <w:color w:val="auto"/>
              </w:rPr>
              <w:t>Quarter ended</w:t>
            </w:r>
          </w:p>
        </w:tc>
      </w:tr>
      <w:tr>
        <w:trPr>
          <w:trHeight w:val="210"/>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3"/>
              </w:rPr>
              <w:t>March 31, 2011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4"/>
              </w:rPr>
              <w:t>March 31, 2010</w:t>
            </w:r>
          </w:p>
        </w:tc>
      </w:tr>
      <w:tr>
        <w:trPr>
          <w:trHeight w:val="226"/>
        </w:trPr>
        <w:tc>
          <w:tcPr>
            <w:tcW w:w="3000" w:type="dxa"/>
            <w:vAlign w:val="bottom"/>
            <w:shd w:val="clear" w:color="auto" w:fill="FDE9D9"/>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FDE9D9"/>
          </w:tcPr>
          <w:p>
            <w:pPr>
              <w:jc w:val="right"/>
              <w:ind w:right="233"/>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FDE9D9"/>
          </w:tcPr>
          <w:p>
            <w:pPr>
              <w:jc w:val="right"/>
              <w:ind w:right="251"/>
              <w:spacing w:after="0"/>
              <w:rPr>
                <w:sz w:val="20"/>
                <w:szCs w:val="20"/>
                <w:color w:val="auto"/>
              </w:rPr>
            </w:pPr>
            <w:r>
              <w:rPr>
                <w:rFonts w:ascii="Arial" w:cs="Arial" w:eastAsia="Arial" w:hAnsi="Arial"/>
                <w:sz w:val="18"/>
                <w:szCs w:val="18"/>
                <w:color w:val="auto"/>
              </w:rPr>
              <w:t>-</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36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11</w:t>
            </w:r>
          </w:p>
        </w:tc>
      </w:tr>
      <w:tr>
        <w:trPr>
          <w:trHeight w:val="230"/>
        </w:trPr>
        <w:tc>
          <w:tcPr>
            <w:tcW w:w="3000" w:type="dxa"/>
            <w:vAlign w:val="bottom"/>
            <w:shd w:val="clear" w:color="auto" w:fill="FDE9D9"/>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FDE9D9"/>
          </w:tcPr>
          <w:p>
            <w:pPr>
              <w:spacing w:after="0"/>
              <w:rPr>
                <w:sz w:val="19"/>
                <w:szCs w:val="19"/>
                <w:color w:val="auto"/>
              </w:rPr>
            </w:pPr>
          </w:p>
        </w:tc>
        <w:tc>
          <w:tcPr>
            <w:tcW w:w="1360" w:type="dxa"/>
            <w:vAlign w:val="bottom"/>
            <w:shd w:val="clear" w:color="auto" w:fill="FDE9D9"/>
          </w:tcPr>
          <w:p>
            <w:pPr>
              <w:jc w:val="right"/>
              <w:ind w:right="233"/>
              <w:spacing w:after="0"/>
              <w:rPr>
                <w:sz w:val="20"/>
                <w:szCs w:val="20"/>
                <w:color w:val="auto"/>
              </w:rPr>
            </w:pPr>
            <w:r>
              <w:rPr>
                <w:rFonts w:ascii="Arial" w:cs="Arial" w:eastAsia="Arial" w:hAnsi="Arial"/>
                <w:sz w:val="18"/>
                <w:szCs w:val="18"/>
                <w:color w:val="auto"/>
              </w:rPr>
              <w:t>4</w:t>
            </w:r>
          </w:p>
        </w:tc>
        <w:tc>
          <w:tcPr>
            <w:tcW w:w="200" w:type="dxa"/>
            <w:vAlign w:val="bottom"/>
            <w:shd w:val="clear" w:color="auto" w:fill="FDE9D9"/>
          </w:tcPr>
          <w:p>
            <w:pPr>
              <w:spacing w:after="0"/>
              <w:rPr>
                <w:sz w:val="19"/>
                <w:szCs w:val="19"/>
                <w:color w:val="auto"/>
              </w:rPr>
            </w:pPr>
          </w:p>
        </w:tc>
        <w:tc>
          <w:tcPr>
            <w:tcW w:w="260" w:type="dxa"/>
            <w:vAlign w:val="bottom"/>
            <w:shd w:val="clear" w:color="auto" w:fill="FDE9D9"/>
          </w:tcPr>
          <w:p>
            <w:pPr>
              <w:spacing w:after="0"/>
              <w:rPr>
                <w:sz w:val="19"/>
                <w:szCs w:val="19"/>
                <w:color w:val="auto"/>
              </w:rPr>
            </w:pPr>
          </w:p>
        </w:tc>
        <w:tc>
          <w:tcPr>
            <w:tcW w:w="1420" w:type="dxa"/>
            <w:vAlign w:val="bottom"/>
            <w:shd w:val="clear" w:color="auto" w:fill="FDE9D9"/>
          </w:tcPr>
          <w:p>
            <w:pPr>
              <w:jc w:val="right"/>
              <w:ind w:right="251"/>
              <w:spacing w:after="0"/>
              <w:rPr>
                <w:sz w:val="20"/>
                <w:szCs w:val="20"/>
                <w:color w:val="auto"/>
              </w:rPr>
            </w:pPr>
            <w:r>
              <w:rPr>
                <w:rFonts w:ascii="Arial" w:cs="Arial" w:eastAsia="Arial" w:hAnsi="Arial"/>
                <w:sz w:val="18"/>
                <w:szCs w:val="18"/>
                <w:color w:val="auto"/>
              </w:rPr>
              <w:t>7</w:t>
            </w:r>
          </w:p>
        </w:tc>
      </w:tr>
      <w:tr>
        <w:trPr>
          <w:trHeight w:val="230"/>
        </w:trPr>
        <w:tc>
          <w:tcPr>
            <w:tcW w:w="3000" w:type="dxa"/>
            <w:vAlign w:val="bottom"/>
            <w:tcBorders>
              <w:bottom w:val="single" w:sz="8" w:color="FDE9D9"/>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FDE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57</w:t>
            </w:r>
          </w:p>
        </w:tc>
      </w:tr>
      <w:tr>
        <w:trPr>
          <w:trHeight w:val="223"/>
        </w:trPr>
        <w:tc>
          <w:tcPr>
            <w:tcW w:w="3000" w:type="dxa"/>
            <w:vAlign w:val="bottom"/>
            <w:tcBorders>
              <w:bottom w:val="single" w:sz="8" w:color="FDE9D9"/>
            </w:tcBorders>
            <w:shd w:val="clear" w:color="auto" w:fill="FDE9D9"/>
          </w:tcPr>
          <w:p>
            <w:pPr>
              <w:spacing w:after="0"/>
              <w:rPr>
                <w:sz w:val="19"/>
                <w:szCs w:val="19"/>
                <w:color w:val="auto"/>
              </w:rPr>
            </w:pPr>
          </w:p>
        </w:tc>
        <w:tc>
          <w:tcPr>
            <w:tcW w:w="26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FDE9D9"/>
          </w:tcPr>
          <w:p>
            <w:pPr>
              <w:jc w:val="right"/>
              <w:ind w:right="233"/>
              <w:spacing w:after="0" w:line="182" w:lineRule="exact"/>
              <w:rPr>
                <w:sz w:val="20"/>
                <w:szCs w:val="20"/>
                <w:color w:val="auto"/>
              </w:rPr>
            </w:pPr>
            <w:r>
              <w:rPr>
                <w:rFonts w:ascii="Arial" w:cs="Arial" w:eastAsia="Arial" w:hAnsi="Arial"/>
                <w:sz w:val="18"/>
                <w:szCs w:val="18"/>
                <w:color w:val="auto"/>
              </w:rPr>
              <w:t>39</w:t>
            </w:r>
          </w:p>
        </w:tc>
        <w:tc>
          <w:tcPr>
            <w:tcW w:w="200" w:type="dxa"/>
            <w:vAlign w:val="bottom"/>
            <w:tcBorders>
              <w:bottom w:val="single" w:sz="8" w:color="FDE9D9"/>
            </w:tcBorders>
            <w:shd w:val="clear" w:color="auto" w:fill="FDE9D9"/>
          </w:tcPr>
          <w:p>
            <w:pPr>
              <w:spacing w:after="0"/>
              <w:rPr>
                <w:sz w:val="19"/>
                <w:szCs w:val="19"/>
                <w:color w:val="auto"/>
              </w:rPr>
            </w:pPr>
          </w:p>
        </w:tc>
        <w:tc>
          <w:tcPr>
            <w:tcW w:w="26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FDE9D9"/>
          </w:tcPr>
          <w:p>
            <w:pPr>
              <w:jc w:val="right"/>
              <w:ind w:right="251"/>
              <w:spacing w:after="0" w:line="182" w:lineRule="exact"/>
              <w:rPr>
                <w:sz w:val="20"/>
                <w:szCs w:val="20"/>
                <w:color w:val="auto"/>
              </w:rPr>
            </w:pPr>
            <w:r>
              <w:rPr>
                <w:rFonts w:ascii="Arial" w:cs="Arial" w:eastAsia="Arial" w:hAnsi="Arial"/>
                <w:sz w:val="18"/>
                <w:szCs w:val="18"/>
                <w:color w:val="auto"/>
              </w:rPr>
              <w:t>75</w:t>
            </w:r>
          </w:p>
        </w:tc>
      </w:tr>
    </w:tbl>
    <w:p>
      <w:pPr>
        <w:spacing w:after="0" w:line="222" w:lineRule="exact"/>
        <w:rPr>
          <w:sz w:val="20"/>
          <w:szCs w:val="20"/>
          <w:color w:val="auto"/>
        </w:rPr>
      </w:pPr>
    </w:p>
    <w:p>
      <w:pPr>
        <w:ind w:right="1379"/>
        <w:spacing w:after="0" w:line="251" w:lineRule="auto"/>
        <w:rPr>
          <w:sz w:val="20"/>
          <w:szCs w:val="20"/>
          <w:color w:val="auto"/>
        </w:rPr>
      </w:pPr>
      <w:r>
        <w:rPr>
          <w:rFonts w:ascii="Arial" w:cs="Arial" w:eastAsia="Arial" w:hAnsi="Arial"/>
          <w:sz w:val="22"/>
          <w:szCs w:val="22"/>
          <w:color w:val="auto"/>
        </w:rPr>
        <w:t>As of March 31, 2011 the total remaining unrecognized compensation cost related to non-vested stock options, net of forfeitures, was approximately $240.</w:t>
      </w:r>
    </w:p>
    <w:p>
      <w:pPr>
        <w:spacing w:after="0" w:line="200" w:lineRule="exact"/>
        <w:rPr>
          <w:sz w:val="20"/>
          <w:szCs w:val="20"/>
          <w:color w:val="auto"/>
        </w:rPr>
      </w:pPr>
    </w:p>
    <w:p>
      <w:pPr>
        <w:ind w:right="1139"/>
        <w:spacing w:after="0" w:line="277" w:lineRule="auto"/>
        <w:rPr>
          <w:sz w:val="20"/>
          <w:szCs w:val="20"/>
          <w:color w:val="auto"/>
        </w:rPr>
      </w:pPr>
      <w:r>
        <w:rPr>
          <w:rFonts w:ascii="Arial" w:cs="Arial" w:eastAsia="Arial" w:hAnsi="Arial"/>
          <w:sz w:val="19"/>
          <w:szCs w:val="19"/>
          <w:color w:val="auto"/>
        </w:rPr>
        <w:t>During the quarters ended March 31, 2011 and 2010, we granted 0 and 51,750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5</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576326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7" w:name="page8"/>
    <w:bookmarkEnd w:id="7"/>
    <w:p>
      <w:pPr>
        <w:jc w:val="center"/>
        <w:ind w:left="260" w:right="170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(Unaudited – Dollars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Shareholders’ Equity</w:t>
      </w:r>
    </w:p>
    <w:p>
      <w:pPr>
        <w:spacing w:after="0" w:line="239" w:lineRule="exact"/>
        <w:rPr>
          <w:sz w:val="20"/>
          <w:szCs w:val="20"/>
          <w:color w:val="auto"/>
        </w:rPr>
      </w:pPr>
    </w:p>
    <w:p>
      <w:pPr>
        <w:ind w:right="1199"/>
        <w:spacing w:after="0" w:line="251" w:lineRule="auto"/>
        <w:rPr>
          <w:sz w:val="20"/>
          <w:szCs w:val="20"/>
          <w:color w:val="auto"/>
        </w:rPr>
      </w:pPr>
      <w:r>
        <w:rPr>
          <w:rFonts w:ascii="Arial" w:cs="Arial" w:eastAsia="Arial" w:hAnsi="Arial"/>
          <w:sz w:val="22"/>
          <w:szCs w:val="22"/>
          <w:color w:val="auto"/>
        </w:rPr>
        <w:t>The following table summarizes the change in shareholders’ equity during the quarters ended March 31, 2011 and 2010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6"/>
                <w:szCs w:val="16"/>
                <w:b w:val="1"/>
                <w:bCs w:val="1"/>
                <w:color w:val="auto"/>
              </w:rPr>
              <w:t>Quarter ended</w:t>
            </w:r>
          </w:p>
        </w:tc>
        <w:tc>
          <w:tcPr>
            <w:tcW w:w="20" w:type="dxa"/>
            <w:vAlign w:val="bottom"/>
          </w:tcPr>
          <w:p>
            <w:pPr>
              <w:spacing w:after="0"/>
              <w:rPr>
                <w:sz w:val="18"/>
                <w:szCs w:val="18"/>
                <w:color w:val="auto"/>
              </w:rPr>
            </w:pPr>
          </w:p>
        </w:tc>
      </w:tr>
      <w:tr>
        <w:trPr>
          <w:trHeight w:val="210"/>
        </w:trPr>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4"/>
              </w:rPr>
              <w:t>March 31, 2011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March 31, 2010</w:t>
            </w:r>
          </w:p>
        </w:tc>
        <w:tc>
          <w:tcPr>
            <w:tcW w:w="20" w:type="dxa"/>
            <w:vAlign w:val="bottom"/>
          </w:tcPr>
          <w:p>
            <w:pPr>
              <w:spacing w:after="0"/>
              <w:rPr>
                <w:sz w:val="18"/>
                <w:szCs w:val="18"/>
                <w:color w:val="auto"/>
              </w:rPr>
            </w:pPr>
          </w:p>
        </w:tc>
      </w:tr>
      <w:tr>
        <w:trPr>
          <w:trHeight w:val="226"/>
        </w:trPr>
        <w:tc>
          <w:tcPr>
            <w:tcW w:w="3980" w:type="dxa"/>
            <w:vAlign w:val="bottom"/>
            <w:shd w:val="clear" w:color="auto" w:fill="FDE9D9"/>
          </w:tcPr>
          <w:p>
            <w:pPr>
              <w:spacing w:after="0"/>
              <w:rPr>
                <w:sz w:val="20"/>
                <w:szCs w:val="20"/>
                <w:color w:val="auto"/>
              </w:rPr>
            </w:pPr>
            <w:r>
              <w:rPr>
                <w:rFonts w:ascii="Arial" w:cs="Arial" w:eastAsia="Arial" w:hAnsi="Arial"/>
                <w:sz w:val="18"/>
                <w:szCs w:val="18"/>
                <w:color w:val="auto"/>
              </w:rPr>
              <w:t>Balance at the beginning of the period</w:t>
            </w:r>
          </w:p>
        </w:tc>
        <w:tc>
          <w:tcPr>
            <w:tcW w:w="2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FDE9D9"/>
          </w:tcPr>
          <w:p>
            <w:pPr>
              <w:jc w:val="right"/>
              <w:ind w:right="233"/>
              <w:spacing w:after="0"/>
              <w:rPr>
                <w:sz w:val="20"/>
                <w:szCs w:val="20"/>
                <w:color w:val="auto"/>
              </w:rPr>
            </w:pPr>
            <w:r>
              <w:rPr>
                <w:rFonts w:ascii="Arial" w:cs="Arial" w:eastAsia="Arial" w:hAnsi="Arial"/>
                <w:sz w:val="18"/>
                <w:szCs w:val="18"/>
                <w:color w:val="auto"/>
              </w:rPr>
              <w:t>31,735</w:t>
            </w:r>
          </w:p>
        </w:tc>
        <w:tc>
          <w:tcPr>
            <w:tcW w:w="440" w:type="dxa"/>
            <w:vAlign w:val="bottom"/>
            <w:gridSpan w:val="2"/>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FDE9D9"/>
          </w:tcPr>
          <w:p>
            <w:pPr>
              <w:jc w:val="right"/>
              <w:ind w:right="231"/>
              <w:spacing w:after="0"/>
              <w:rPr>
                <w:sz w:val="20"/>
                <w:szCs w:val="20"/>
                <w:color w:val="auto"/>
              </w:rPr>
            </w:pPr>
            <w:r>
              <w:rPr>
                <w:rFonts w:ascii="Arial" w:cs="Arial" w:eastAsia="Arial" w:hAnsi="Arial"/>
                <w:sz w:val="18"/>
                <w:szCs w:val="18"/>
                <w:color w:val="auto"/>
              </w:rPr>
              <w:t>29,098</w:t>
            </w:r>
          </w:p>
        </w:tc>
        <w:tc>
          <w:tcPr>
            <w:tcW w:w="2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Net income during the period</w:t>
            </w:r>
          </w:p>
        </w:tc>
        <w:tc>
          <w:tcPr>
            <w:tcW w:w="240" w:type="dxa"/>
            <w:vAlign w:val="bottom"/>
          </w:tcPr>
          <w:p>
            <w:pPr>
              <w:spacing w:after="0"/>
              <w:rPr>
                <w:sz w:val="19"/>
                <w:szCs w:val="19"/>
                <w:color w:val="auto"/>
              </w:rPr>
            </w:pPr>
          </w:p>
        </w:tc>
        <w:tc>
          <w:tcPr>
            <w:tcW w:w="1380" w:type="dxa"/>
            <w:vAlign w:val="bottom"/>
          </w:tcPr>
          <w:p>
            <w:pPr>
              <w:jc w:val="right"/>
              <w:ind w:right="233"/>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231"/>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30"/>
        </w:trPr>
        <w:tc>
          <w:tcPr>
            <w:tcW w:w="3980" w:type="dxa"/>
            <w:vAlign w:val="bottom"/>
            <w:shd w:val="clear" w:color="auto" w:fill="FDE9D9"/>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FDE9D9"/>
          </w:tcPr>
          <w:p>
            <w:pPr>
              <w:spacing w:after="0"/>
              <w:rPr>
                <w:sz w:val="19"/>
                <w:szCs w:val="19"/>
                <w:color w:val="auto"/>
              </w:rPr>
            </w:pPr>
          </w:p>
        </w:tc>
        <w:tc>
          <w:tcPr>
            <w:tcW w:w="1380" w:type="dxa"/>
            <w:vAlign w:val="bottom"/>
            <w:shd w:val="clear" w:color="auto" w:fill="FDE9D9"/>
          </w:tcPr>
          <w:p>
            <w:pPr>
              <w:jc w:val="right"/>
              <w:ind w:right="233"/>
              <w:spacing w:after="0"/>
              <w:rPr>
                <w:sz w:val="20"/>
                <w:szCs w:val="20"/>
                <w:color w:val="auto"/>
              </w:rPr>
            </w:pPr>
            <w:r>
              <w:rPr>
                <w:rFonts w:ascii="Arial" w:cs="Arial" w:eastAsia="Arial" w:hAnsi="Arial"/>
                <w:sz w:val="18"/>
                <w:szCs w:val="18"/>
                <w:color w:val="auto"/>
              </w:rPr>
              <w:t>39</w:t>
            </w:r>
          </w:p>
        </w:tc>
        <w:tc>
          <w:tcPr>
            <w:tcW w:w="180" w:type="dxa"/>
            <w:vAlign w:val="bottom"/>
            <w:shd w:val="clear" w:color="auto" w:fill="FDE9D9"/>
          </w:tcPr>
          <w:p>
            <w:pPr>
              <w:spacing w:after="0"/>
              <w:rPr>
                <w:sz w:val="19"/>
                <w:szCs w:val="19"/>
                <w:color w:val="auto"/>
              </w:rPr>
            </w:pPr>
          </w:p>
        </w:tc>
        <w:tc>
          <w:tcPr>
            <w:tcW w:w="260" w:type="dxa"/>
            <w:vAlign w:val="bottom"/>
            <w:shd w:val="clear" w:color="auto" w:fill="FDE9D9"/>
          </w:tcPr>
          <w:p>
            <w:pPr>
              <w:spacing w:after="0"/>
              <w:rPr>
                <w:sz w:val="19"/>
                <w:szCs w:val="19"/>
                <w:color w:val="auto"/>
              </w:rPr>
            </w:pPr>
          </w:p>
        </w:tc>
        <w:tc>
          <w:tcPr>
            <w:tcW w:w="1420" w:type="dxa"/>
            <w:vAlign w:val="bottom"/>
            <w:shd w:val="clear" w:color="auto" w:fill="FDE9D9"/>
          </w:tcPr>
          <w:p>
            <w:pPr>
              <w:jc w:val="right"/>
              <w:ind w:right="231"/>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r>
      <w:tr>
        <w:trPr>
          <w:trHeight w:val="230"/>
        </w:trPr>
        <w:tc>
          <w:tcPr>
            <w:tcW w:w="3980" w:type="dxa"/>
            <w:vAlign w:val="bottom"/>
            <w:tcBorders>
              <w:bottom w:val="single" w:sz="8" w:color="FDE9D9"/>
            </w:tcBorders>
          </w:tcPr>
          <w:p>
            <w:pPr>
              <w:spacing w:after="0"/>
              <w:rPr>
                <w:sz w:val="20"/>
                <w:szCs w:val="20"/>
                <w:color w:val="auto"/>
              </w:rPr>
            </w:pPr>
            <w:r>
              <w:rPr>
                <w:rFonts w:ascii="Arial" w:cs="Arial" w:eastAsia="Arial" w:hAnsi="Arial"/>
                <w:sz w:val="18"/>
                <w:szCs w:val="18"/>
                <w:color w:val="auto"/>
              </w:rPr>
              <w:t>Exercise of stock options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FDE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3980" w:type="dxa"/>
            <w:vAlign w:val="bottom"/>
            <w:tcBorders>
              <w:bottom w:val="single" w:sz="8" w:color="FDE9D9"/>
            </w:tcBorders>
            <w:shd w:val="clear" w:color="auto" w:fill="FDE9D9"/>
          </w:tcPr>
          <w:p>
            <w:pPr>
              <w:spacing w:after="0" w:line="182" w:lineRule="exact"/>
              <w:rPr>
                <w:sz w:val="20"/>
                <w:szCs w:val="20"/>
                <w:color w:val="auto"/>
              </w:rPr>
            </w:pPr>
            <w:r>
              <w:rPr>
                <w:rFonts w:ascii="Arial" w:cs="Arial" w:eastAsia="Arial" w:hAnsi="Arial"/>
                <w:sz w:val="18"/>
                <w:szCs w:val="18"/>
                <w:color w:val="auto"/>
              </w:rPr>
              <w:t>Balance at end of the period</w:t>
            </w:r>
          </w:p>
        </w:tc>
        <w:tc>
          <w:tcPr>
            <w:tcW w:w="24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DE9D9"/>
          </w:tcPr>
          <w:p>
            <w:pPr>
              <w:jc w:val="right"/>
              <w:ind w:right="233"/>
              <w:spacing w:after="0" w:line="182" w:lineRule="exact"/>
              <w:rPr>
                <w:sz w:val="20"/>
                <w:szCs w:val="20"/>
                <w:color w:val="auto"/>
              </w:rPr>
            </w:pPr>
            <w:r>
              <w:rPr>
                <w:rFonts w:ascii="Arial" w:cs="Arial" w:eastAsia="Arial" w:hAnsi="Arial"/>
                <w:sz w:val="18"/>
                <w:szCs w:val="18"/>
                <w:color w:val="auto"/>
              </w:rPr>
              <w:t>32,607</w:t>
            </w:r>
          </w:p>
        </w:tc>
        <w:tc>
          <w:tcPr>
            <w:tcW w:w="180" w:type="dxa"/>
            <w:vAlign w:val="bottom"/>
            <w:tcBorders>
              <w:bottom w:val="single" w:sz="8" w:color="FDE9D9"/>
            </w:tcBorders>
            <w:shd w:val="clear" w:color="auto" w:fill="FDE9D9"/>
          </w:tcPr>
          <w:p>
            <w:pPr>
              <w:spacing w:after="0"/>
              <w:rPr>
                <w:sz w:val="19"/>
                <w:szCs w:val="19"/>
                <w:color w:val="auto"/>
              </w:rPr>
            </w:pPr>
          </w:p>
        </w:tc>
        <w:tc>
          <w:tcPr>
            <w:tcW w:w="26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FDE9D9"/>
          </w:tcPr>
          <w:p>
            <w:pPr>
              <w:jc w:val="right"/>
              <w:ind w:right="231"/>
              <w:spacing w:after="0" w:line="182" w:lineRule="exact"/>
              <w:rPr>
                <w:sz w:val="20"/>
                <w:szCs w:val="20"/>
                <w:color w:val="auto"/>
              </w:rPr>
            </w:pPr>
            <w:r>
              <w:rPr>
                <w:rFonts w:ascii="Arial" w:cs="Arial" w:eastAsia="Arial" w:hAnsi="Arial"/>
                <w:sz w:val="18"/>
                <w:szCs w:val="18"/>
                <w:color w:val="auto"/>
              </w:rPr>
              <w:t>29,390</w:t>
            </w:r>
          </w:p>
        </w:tc>
        <w:tc>
          <w:tcPr>
            <w:tcW w:w="20" w:type="dxa"/>
            <w:vAlign w:val="bottom"/>
          </w:tcPr>
          <w:p>
            <w:pPr>
              <w:spacing w:after="0"/>
              <w:rPr>
                <w:sz w:val="19"/>
                <w:szCs w:val="19"/>
                <w:color w:val="auto"/>
              </w:rPr>
            </w:pPr>
          </w:p>
        </w:tc>
      </w:tr>
      <w:tr>
        <w:trPr>
          <w:trHeight w:val="477"/>
        </w:trPr>
        <w:tc>
          <w:tcPr>
            <w:tcW w:w="3980" w:type="dxa"/>
            <w:vAlign w:val="bottom"/>
          </w:tcPr>
          <w:p>
            <w:pPr>
              <w:spacing w:after="0"/>
              <w:rPr>
                <w:sz w:val="20"/>
                <w:szCs w:val="20"/>
                <w:color w:val="auto"/>
              </w:rPr>
            </w:pPr>
            <w:r>
              <w:rPr>
                <w:rFonts w:ascii="Arial" w:cs="Arial" w:eastAsia="Arial" w:hAnsi="Arial"/>
                <w:sz w:val="22"/>
                <w:szCs w:val="22"/>
                <w:b w:val="1"/>
                <w:bCs w:val="1"/>
                <w:color w:val="auto"/>
              </w:rPr>
              <w:t>6. Other income (expense), net</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5600" w:type="dxa"/>
            <w:vAlign w:val="bottom"/>
            <w:gridSpan w:val="3"/>
          </w:tcPr>
          <w:p>
            <w:pPr>
              <w:spacing w:after="0"/>
              <w:rPr>
                <w:sz w:val="20"/>
                <w:szCs w:val="20"/>
                <w:color w:val="auto"/>
              </w:rPr>
            </w:pPr>
            <w:r>
              <w:rPr>
                <w:rFonts w:ascii="Arial" w:cs="Arial" w:eastAsia="Arial" w:hAnsi="Arial"/>
                <w:sz w:val="22"/>
                <w:szCs w:val="22"/>
                <w:color w:val="auto"/>
                <w:w w:val="99"/>
              </w:rPr>
              <w:t>The details of other income (expense), net are as follows: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3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6"/>
                <w:szCs w:val="16"/>
                <w:b w:val="1"/>
                <w:bCs w:val="1"/>
                <w:color w:val="auto"/>
              </w:rPr>
              <w:t>Quarter ended</w:t>
            </w:r>
          </w:p>
        </w:tc>
        <w:tc>
          <w:tcPr>
            <w:tcW w:w="20" w:type="dxa"/>
            <w:vAlign w:val="bottom"/>
            <w:tcBorders>
              <w:bottom w:val="single" w:sz="8" w:color="auto"/>
            </w:tcBorders>
          </w:tcPr>
          <w:p>
            <w:pPr>
              <w:spacing w:after="0"/>
              <w:rPr>
                <w:sz w:val="24"/>
                <w:szCs w:val="24"/>
                <w:color w:val="auto"/>
              </w:rPr>
            </w:pPr>
          </w:p>
        </w:tc>
      </w:tr>
      <w:tr>
        <w:trPr>
          <w:trHeight w:val="210"/>
        </w:trPr>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4"/>
              </w:rPr>
              <w:t>March 31, 2011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8"/>
              </w:rPr>
              <w:t>March 31, 2010</w:t>
            </w:r>
          </w:p>
        </w:tc>
        <w:tc>
          <w:tcPr>
            <w:tcW w:w="20" w:type="dxa"/>
            <w:vAlign w:val="bottom"/>
            <w:tcBorders>
              <w:bottom w:val="single" w:sz="8" w:color="auto"/>
            </w:tcBorders>
          </w:tcPr>
          <w:p>
            <w:pPr>
              <w:spacing w:after="0"/>
              <w:rPr>
                <w:sz w:val="18"/>
                <w:szCs w:val="18"/>
                <w:color w:val="auto"/>
              </w:rPr>
            </w:pPr>
          </w:p>
        </w:tc>
      </w:tr>
      <w:tr>
        <w:trPr>
          <w:trHeight w:val="226"/>
        </w:trPr>
        <w:tc>
          <w:tcPr>
            <w:tcW w:w="3980" w:type="dxa"/>
            <w:vAlign w:val="bottom"/>
            <w:shd w:val="clear" w:color="auto" w:fill="FDE9D9"/>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FDE9D9"/>
          </w:tcPr>
          <w:p>
            <w:pPr>
              <w:jc w:val="right"/>
              <w:ind w:right="233"/>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FDE9D9"/>
          </w:tcPr>
          <w:p>
            <w:pPr>
              <w:jc w:val="right"/>
              <w:ind w:right="271"/>
              <w:spacing w:after="0"/>
              <w:rPr>
                <w:sz w:val="20"/>
                <w:szCs w:val="20"/>
                <w:color w:val="auto"/>
              </w:rPr>
            </w:pPr>
            <w:r>
              <w:rPr>
                <w:rFonts w:ascii="Arial" w:cs="Arial" w:eastAsia="Arial" w:hAnsi="Arial"/>
                <w:sz w:val="18"/>
                <w:szCs w:val="18"/>
                <w:color w:val="auto"/>
              </w:rPr>
              <w:t>23</w:t>
            </w:r>
          </w:p>
        </w:tc>
        <w:tc>
          <w:tcPr>
            <w:tcW w:w="20" w:type="dxa"/>
            <w:vAlign w:val="bottom"/>
            <w:shd w:val="clear" w:color="auto" w:fill="FDE9D9"/>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3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211"/>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r>
        <w:trPr>
          <w:trHeight w:val="230"/>
        </w:trPr>
        <w:tc>
          <w:tcPr>
            <w:tcW w:w="3980" w:type="dxa"/>
            <w:vAlign w:val="bottom"/>
            <w:shd w:val="clear" w:color="auto" w:fill="FDE9D9"/>
          </w:tcPr>
          <w:p>
            <w:pPr>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shd w:val="clear" w:color="auto" w:fill="FDE9D9"/>
          </w:tcPr>
          <w:p>
            <w:pPr>
              <w:spacing w:after="0"/>
              <w:rPr>
                <w:sz w:val="19"/>
                <w:szCs w:val="19"/>
                <w:color w:val="auto"/>
              </w:rPr>
            </w:pPr>
          </w:p>
        </w:tc>
        <w:tc>
          <w:tcPr>
            <w:tcW w:w="1380" w:type="dxa"/>
            <w:vAlign w:val="bottom"/>
            <w:shd w:val="clear" w:color="auto" w:fill="FDE9D9"/>
          </w:tcPr>
          <w:p>
            <w:pPr>
              <w:jc w:val="right"/>
              <w:ind w:right="233"/>
              <w:spacing w:after="0"/>
              <w:rPr>
                <w:sz w:val="20"/>
                <w:szCs w:val="20"/>
                <w:color w:val="auto"/>
              </w:rPr>
            </w:pPr>
            <w:r>
              <w:rPr>
                <w:rFonts w:ascii="Arial" w:cs="Arial" w:eastAsia="Arial" w:hAnsi="Arial"/>
                <w:sz w:val="18"/>
                <w:szCs w:val="18"/>
                <w:color w:val="auto"/>
              </w:rPr>
              <w:t>-</w:t>
            </w:r>
          </w:p>
        </w:tc>
        <w:tc>
          <w:tcPr>
            <w:tcW w:w="180" w:type="dxa"/>
            <w:vAlign w:val="bottom"/>
            <w:shd w:val="clear" w:color="auto" w:fill="FDE9D9"/>
          </w:tcPr>
          <w:p>
            <w:pPr>
              <w:spacing w:after="0"/>
              <w:rPr>
                <w:sz w:val="19"/>
                <w:szCs w:val="19"/>
                <w:color w:val="auto"/>
              </w:rPr>
            </w:pPr>
          </w:p>
        </w:tc>
        <w:tc>
          <w:tcPr>
            <w:tcW w:w="260" w:type="dxa"/>
            <w:vAlign w:val="bottom"/>
            <w:shd w:val="clear" w:color="auto" w:fill="FDE9D9"/>
          </w:tcPr>
          <w:p>
            <w:pPr>
              <w:spacing w:after="0"/>
              <w:rPr>
                <w:sz w:val="19"/>
                <w:szCs w:val="19"/>
                <w:color w:val="auto"/>
              </w:rPr>
            </w:pPr>
          </w:p>
        </w:tc>
        <w:tc>
          <w:tcPr>
            <w:tcW w:w="1420" w:type="dxa"/>
            <w:vAlign w:val="bottom"/>
            <w:shd w:val="clear" w:color="auto" w:fill="FDE9D9"/>
          </w:tcPr>
          <w:p>
            <w:pPr>
              <w:jc w:val="right"/>
              <w:ind w:right="211"/>
              <w:spacing w:after="0"/>
              <w:rPr>
                <w:sz w:val="20"/>
                <w:szCs w:val="20"/>
                <w:color w:val="auto"/>
              </w:rPr>
            </w:pPr>
            <w:r>
              <w:rPr>
                <w:rFonts w:ascii="Arial" w:cs="Arial" w:eastAsia="Arial" w:hAnsi="Arial"/>
                <w:sz w:val="18"/>
                <w:szCs w:val="18"/>
                <w:color w:val="auto"/>
              </w:rPr>
              <w:t>(111)</w:t>
            </w:r>
          </w:p>
        </w:tc>
        <w:tc>
          <w:tcPr>
            <w:tcW w:w="20" w:type="dxa"/>
            <w:vAlign w:val="bottom"/>
            <w:shd w:val="clear" w:color="auto" w:fill="FDE9D9"/>
          </w:tcPr>
          <w:p>
            <w:pPr>
              <w:spacing w:after="0"/>
              <w:rPr>
                <w:sz w:val="19"/>
                <w:szCs w:val="19"/>
                <w:color w:val="auto"/>
              </w:rPr>
            </w:pPr>
          </w:p>
        </w:tc>
      </w:tr>
      <w:tr>
        <w:trPr>
          <w:trHeight w:val="230"/>
        </w:trPr>
        <w:tc>
          <w:tcPr>
            <w:tcW w:w="3980" w:type="dxa"/>
            <w:vAlign w:val="bottom"/>
            <w:tcBorders>
              <w:bottom w:val="single" w:sz="8" w:color="FDE9D9"/>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FDE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FDE9D9"/>
            </w:tcBorders>
            <w:shd w:val="clear" w:color="auto" w:fill="FDE9D9"/>
          </w:tcPr>
          <w:p>
            <w:pPr>
              <w:spacing w:after="0"/>
              <w:rPr>
                <w:sz w:val="19"/>
                <w:szCs w:val="19"/>
                <w:color w:val="auto"/>
              </w:rPr>
            </w:pPr>
          </w:p>
        </w:tc>
        <w:tc>
          <w:tcPr>
            <w:tcW w:w="24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FDE9D9"/>
          </w:tcPr>
          <w:p>
            <w:pPr>
              <w:jc w:val="right"/>
              <w:ind w:right="233"/>
              <w:spacing w:after="0" w:line="182" w:lineRule="exact"/>
              <w:rPr>
                <w:sz w:val="20"/>
                <w:szCs w:val="20"/>
                <w:color w:val="auto"/>
              </w:rPr>
            </w:pPr>
            <w:r>
              <w:rPr>
                <w:rFonts w:ascii="Arial" w:cs="Arial" w:eastAsia="Arial" w:hAnsi="Arial"/>
                <w:sz w:val="18"/>
                <w:szCs w:val="18"/>
                <w:color w:val="auto"/>
              </w:rPr>
              <w:t>11</w:t>
            </w:r>
          </w:p>
        </w:tc>
        <w:tc>
          <w:tcPr>
            <w:tcW w:w="180" w:type="dxa"/>
            <w:vAlign w:val="bottom"/>
            <w:tcBorders>
              <w:bottom w:val="single" w:sz="8" w:color="FDE9D9"/>
            </w:tcBorders>
            <w:shd w:val="clear" w:color="auto" w:fill="FDE9D9"/>
          </w:tcPr>
          <w:p>
            <w:pPr>
              <w:spacing w:after="0"/>
              <w:rPr>
                <w:sz w:val="19"/>
                <w:szCs w:val="19"/>
                <w:color w:val="auto"/>
              </w:rPr>
            </w:pPr>
          </w:p>
        </w:tc>
        <w:tc>
          <w:tcPr>
            <w:tcW w:w="26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FDE9D9"/>
          </w:tcPr>
          <w:p>
            <w:pPr>
              <w:jc w:val="right"/>
              <w:ind w:right="211"/>
              <w:spacing w:after="0" w:line="182" w:lineRule="exact"/>
              <w:rPr>
                <w:sz w:val="20"/>
                <w:szCs w:val="20"/>
                <w:color w:val="auto"/>
              </w:rPr>
            </w:pPr>
            <w:r>
              <w:rPr>
                <w:rFonts w:ascii="Arial" w:cs="Arial" w:eastAsia="Arial" w:hAnsi="Arial"/>
                <w:sz w:val="18"/>
                <w:szCs w:val="18"/>
                <w:color w:val="auto"/>
              </w:rPr>
              <w:t>(132)</w:t>
            </w:r>
          </w:p>
        </w:tc>
        <w:tc>
          <w:tcPr>
            <w:tcW w:w="20" w:type="dxa"/>
            <w:vAlign w:val="bottom"/>
            <w:tcBorders>
              <w:bottom w:val="single" w:sz="8" w:color="auto"/>
            </w:tcBorders>
            <w:shd w:val="clear" w:color="auto" w:fill="FDE9D9"/>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Income Taxes</w:t>
      </w:r>
    </w:p>
    <w:p>
      <w:pPr>
        <w:spacing w:after="0" w:line="239" w:lineRule="exact"/>
        <w:rPr>
          <w:sz w:val="20"/>
          <w:szCs w:val="20"/>
          <w:color w:val="auto"/>
        </w:rPr>
      </w:pPr>
    </w:p>
    <w:p>
      <w:pPr>
        <w:ind w:right="1339"/>
        <w:spacing w:after="0" w:line="297" w:lineRule="auto"/>
        <w:rPr>
          <w:sz w:val="20"/>
          <w:szCs w:val="20"/>
          <w:color w:val="auto"/>
        </w:rPr>
      </w:pPr>
      <w:r>
        <w:rPr>
          <w:rFonts w:ascii="Arial" w:cs="Arial" w:eastAsia="Arial" w:hAnsi="Arial"/>
          <w:sz w:val="19"/>
          <w:szCs w:val="19"/>
          <w:color w:val="auto"/>
        </w:rPr>
        <w:t>The total outstanding balance for liabilities related to unrecognized tax benefits at March 31, 2011 was approximately $474 of which $15 was associated with interest and penalties. We account for interest expense and penalties for unrecognized tax benefits as part of our income tax provision.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Subsequent Events</w:t>
      </w:r>
    </w:p>
    <w:p>
      <w:pPr>
        <w:spacing w:after="0" w:line="239" w:lineRule="exact"/>
        <w:rPr>
          <w:sz w:val="20"/>
          <w:szCs w:val="20"/>
          <w:color w:val="auto"/>
        </w:rPr>
      </w:pPr>
    </w:p>
    <w:p>
      <w:pPr>
        <w:ind w:right="1279"/>
        <w:spacing w:after="0" w:line="274" w:lineRule="auto"/>
        <w:rPr>
          <w:sz w:val="20"/>
          <w:szCs w:val="20"/>
          <w:color w:val="auto"/>
        </w:rPr>
      </w:pPr>
      <w:r>
        <w:rPr>
          <w:rFonts w:ascii="Arial" w:cs="Arial" w:eastAsia="Arial" w:hAnsi="Arial"/>
          <w:sz w:val="21"/>
          <w:szCs w:val="21"/>
          <w:color w:val="auto"/>
        </w:rPr>
        <w:t>The Company evaluated its consolidated financial statements as of and for the quarter ended March 31, 2011 for subsequent events through the date the financial statements were issued.</w:t>
      </w:r>
    </w:p>
    <w:p>
      <w:pPr>
        <w:spacing w:after="0" w:line="178" w:lineRule="exact"/>
        <w:rPr>
          <w:sz w:val="20"/>
          <w:szCs w:val="20"/>
          <w:color w:val="auto"/>
        </w:rPr>
      </w:pPr>
    </w:p>
    <w:p>
      <w:pPr>
        <w:jc w:val="both"/>
        <w:ind w:right="1139"/>
        <w:spacing w:after="0" w:line="272" w:lineRule="auto"/>
        <w:rPr>
          <w:sz w:val="20"/>
          <w:szCs w:val="20"/>
          <w:color w:val="auto"/>
        </w:rPr>
      </w:pPr>
      <w:r>
        <w:rPr>
          <w:rFonts w:ascii="Arial" w:cs="Arial" w:eastAsia="Arial" w:hAnsi="Arial"/>
          <w:sz w:val="19"/>
          <w:szCs w:val="19"/>
          <w:color w:val="auto"/>
        </w:rPr>
        <w:t>In connection with the closing of the NetStreams, Inc. acquisition, on November 3, 2009, we entered into a Joinder to the Loan and Security Agreement (the “Joinder”) with Square 1 Bank (the “Bank”), and became an additional borrower under the Loan and Security Agreement dated November 12, 2008, as amended (the “Loan Agreement”), by and between the Bank, and NetStreams, Inc. and NetStreams, LLC (collectively, “NetStreams”). Under the terms of the Joinder, we assumed the liability of NetStreams under the Loan Agreement in the amount of $2,000 which we repaid in March 2010. As of May 4, 2011, we and the Bank terminated the Loan Agreement and the Joinder and we repaid all remaining outstanding obligations, which consisted solely of the Bank’s expenses in connection with the restructuring of the loan facility and amending and restating the Loan Agreement, and termination of all security interests and liens held by the Bank under the Loan Agreement. In connection with our repayment of the remaining outstanding obligations, all of our indebtedness and obligations to the Bank were discharged in full and the Bank will terminate all security interests and other liens held as security under the Loan Agreement.</w:t>
      </w:r>
    </w:p>
    <w:p>
      <w:pPr>
        <w:spacing w:after="0" w:line="200" w:lineRule="exact"/>
        <w:rPr>
          <w:sz w:val="20"/>
          <w:szCs w:val="20"/>
          <w:color w:val="auto"/>
        </w:rPr>
      </w:pPr>
    </w:p>
    <w:p>
      <w:pPr>
        <w:spacing w:after="0" w:line="232" w:lineRule="exact"/>
        <w:rPr>
          <w:sz w:val="20"/>
          <w:szCs w:val="20"/>
          <w:color w:val="auto"/>
        </w:rPr>
      </w:pPr>
    </w:p>
    <w:p>
      <w:pPr>
        <w:ind w:right="2059"/>
        <w:spacing w:after="0" w:line="251" w:lineRule="auto"/>
        <w:rPr>
          <w:sz w:val="20"/>
          <w:szCs w:val="20"/>
          <w:color w:val="auto"/>
        </w:rPr>
      </w:pPr>
      <w:r>
        <w:rPr>
          <w:rFonts w:ascii="Arial" w:cs="Arial" w:eastAsia="Arial" w:hAnsi="Arial"/>
          <w:sz w:val="22"/>
          <w:szCs w:val="22"/>
          <w:color w:val="auto"/>
        </w:rPr>
        <w:t>The Company is not aware of any other subsequent events which would require recognition or disclosure in the financial statements.</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6</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576326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8" w:name="page9"/>
    <w:bookmarkEnd w:id="8"/>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ind w:right="1139"/>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6" w:lineRule="exact"/>
        <w:rPr>
          <w:sz w:val="20"/>
          <w:szCs w:val="20"/>
          <w:color w:val="auto"/>
        </w:rPr>
      </w:pPr>
    </w:p>
    <w:p>
      <w:pPr>
        <w:ind w:right="1179"/>
        <w:spacing w:after="0" w:line="268" w:lineRule="auto"/>
        <w:rPr>
          <w:sz w:val="20"/>
          <w:szCs w:val="20"/>
          <w:color w:val="auto"/>
        </w:rPr>
      </w:pPr>
      <w:r>
        <w:rPr>
          <w:rFonts w:ascii="Arial" w:cs="Arial" w:eastAsia="Arial" w:hAnsi="Arial"/>
          <w:sz w:val="19"/>
          <w:szCs w:val="19"/>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w:t>
      </w:r>
    </w:p>
    <w:p>
      <w:pPr>
        <w:spacing w:after="0" w:line="7" w:lineRule="exact"/>
        <w:rPr>
          <w:sz w:val="20"/>
          <w:szCs w:val="20"/>
          <w:color w:val="auto"/>
        </w:rPr>
      </w:pPr>
    </w:p>
    <w:p>
      <w:pPr>
        <w:ind w:right="1139"/>
        <w:spacing w:after="0" w:line="269" w:lineRule="auto"/>
        <w:rPr>
          <w:sz w:val="20"/>
          <w:szCs w:val="20"/>
          <w:color w:val="auto"/>
        </w:rPr>
      </w:pPr>
      <w:r>
        <w:rPr>
          <w:rFonts w:ascii="Arial" w:cs="Arial" w:eastAsia="Arial" w:hAnsi="Arial"/>
          <w:sz w:val="19"/>
          <w:szCs w:val="19"/>
          <w:i w:val="1"/>
          <w:iCs w:val="1"/>
          <w:color w:val="auto"/>
        </w:rPr>
        <w:t>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2010.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226" w:lineRule="exact"/>
        <w:rPr>
          <w:sz w:val="20"/>
          <w:szCs w:val="20"/>
          <w:color w:val="auto"/>
        </w:rPr>
      </w:pPr>
    </w:p>
    <w:p>
      <w:pPr>
        <w:ind w:right="1199"/>
        <w:spacing w:after="0" w:line="209" w:lineRule="auto"/>
        <w:rPr>
          <w:sz w:val="20"/>
          <w:szCs w:val="20"/>
          <w:color w:val="auto"/>
        </w:rPr>
      </w:pPr>
      <w:r>
        <w:rPr>
          <w:rFonts w:ascii="Arial" w:cs="Arial" w:eastAsia="Arial" w:hAnsi="Arial"/>
          <w:sz w:val="22"/>
          <w:szCs w:val="22"/>
          <w:color w:val="auto"/>
        </w:rPr>
        <w:t>We are a global communications solutions company that develops and sells conferencing, collaboration, and streaming multimedia systems for audio, video, and web applications. The reliability, flexibility and performance of our advanced and comprehensive solutions enhance the quality of life through better communication, education, and entertainment.</w:t>
      </w:r>
    </w:p>
    <w:p>
      <w:pPr>
        <w:spacing w:after="0" w:line="132" w:lineRule="exact"/>
        <w:rPr>
          <w:sz w:val="20"/>
          <w:szCs w:val="20"/>
          <w:color w:val="auto"/>
        </w:rPr>
      </w:pPr>
    </w:p>
    <w:p>
      <w:pPr>
        <w:ind w:right="1159"/>
        <w:spacing w:after="0" w:line="233" w:lineRule="auto"/>
        <w:rPr>
          <w:sz w:val="20"/>
          <w:szCs w:val="20"/>
          <w:color w:val="auto"/>
        </w:rPr>
      </w:pPr>
      <w:r>
        <w:rPr>
          <w:rFonts w:ascii="Arial" w:cs="Arial" w:eastAsia="Arial" w:hAnsi="Arial"/>
          <w:sz w:val="19"/>
          <w:szCs w:val="19"/>
          <w:color w:val="auto"/>
        </w:rPr>
        <w:t>We develop, manufacture, market, and service a comprehensive line of high-quality audio conferencing products for personal use as well as traditional tabletop, mid-tier premium and higher end professional products for both large and small businesses. We occupy the number one global market share position, with nearly 50% market share in the professional audio conferencing market for professional products used by large businesses and organizations such as enterprise, healthcare, education and distance learning, government, legal and finance. Our conferencing solutions save organizations time and money by creating a natural environment for collaboration.</w:t>
      </w:r>
    </w:p>
    <w:p>
      <w:pPr>
        <w:spacing w:after="0" w:line="136" w:lineRule="exact"/>
        <w:rPr>
          <w:sz w:val="20"/>
          <w:szCs w:val="20"/>
          <w:color w:val="auto"/>
        </w:rPr>
      </w:pPr>
    </w:p>
    <w:p>
      <w:pPr>
        <w:ind w:right="1219"/>
        <w:spacing w:after="0" w:line="208" w:lineRule="auto"/>
        <w:rPr>
          <w:sz w:val="20"/>
          <w:szCs w:val="20"/>
          <w:color w:val="auto"/>
        </w:rPr>
      </w:pPr>
      <w:r>
        <w:rPr>
          <w:rFonts w:ascii="Arial" w:cs="Arial" w:eastAsia="Arial" w:hAnsi="Arial"/>
          <w:sz w:val="21"/>
          <w:szCs w:val="21"/>
          <w:color w:val="auto"/>
        </w:rPr>
        <w:t xml:space="preserve">NetStreams® DigilinX, the ClearOne brand for residential products, and VIEW™, the ClearOne brand for commercial products, deliver the ultimate IP A/V experience by streaming high definition audio and video (multimedia) and control over TCP/IP networks. ClearOne’s products, designed for commercial and residential use, offer outstanding levels of performance, functionality, simplicity, reliability, and scalability. By combining audio and or video content, meta-data and control signals into one stream, over existing Internet Protocol networks, in harmony with industry standards, ClearOne's newly patented StreamNet® solutions enable the </w:t>
      </w:r>
      <w:r>
        <w:rPr>
          <w:rFonts w:ascii="Arial" w:cs="Arial" w:eastAsia="Arial" w:hAnsi="Arial"/>
          <w:sz w:val="21"/>
          <w:szCs w:val="21"/>
          <w:b w:val="1"/>
          <w:bCs w:val="1"/>
          <w:i w:val="1"/>
          <w:iCs w:val="1"/>
          <w:color w:val="auto"/>
        </w:rPr>
        <w:t>Power of AV over IP</w:t>
      </w:r>
      <w:r>
        <w:rPr>
          <w:rFonts w:ascii="Arial" w:cs="Arial" w:eastAsia="Arial" w:hAnsi="Arial"/>
          <w:sz w:val="21"/>
          <w:szCs w:val="21"/>
          <w:color w:val="auto"/>
        </w:rPr>
        <w:t>™ for bourgeoning markets such as digital signage, enterprise multimedia streaming and home entertainment. Also sold under the NetStreams residential brand are non-IP multimedia distribution solutions for economical multimedia residential streaming applications.</w:t>
      </w:r>
    </w:p>
    <w:p>
      <w:pPr>
        <w:spacing w:after="0" w:line="136" w:lineRule="exact"/>
        <w:rPr>
          <w:sz w:val="20"/>
          <w:szCs w:val="20"/>
          <w:color w:val="auto"/>
        </w:rPr>
      </w:pPr>
    </w:p>
    <w:p>
      <w:pPr>
        <w:ind w:right="1559"/>
        <w:spacing w:after="0" w:line="214" w:lineRule="auto"/>
        <w:rPr>
          <w:sz w:val="20"/>
          <w:szCs w:val="20"/>
          <w:color w:val="auto"/>
        </w:rPr>
      </w:pPr>
      <w:r>
        <w:rPr>
          <w:rFonts w:ascii="Arial" w:cs="Arial" w:eastAsia="Arial" w:hAnsi="Arial"/>
          <w:sz w:val="22"/>
          <w:szCs w:val="22"/>
          <w:color w:val="auto"/>
        </w:rPr>
        <w:t>NetStreams' technology is used in a wide variety of applications including digital signage, corporate video streaming, network operations centers, distance education, and venues for hospitality, entertainment and casinos.</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7</w:t>
      </w:r>
      <w:r>
        <w:rPr>
          <w:rFonts w:ascii="Arial" w:cs="Arial" w:eastAsia="Arial" w:hAnsi="Arial"/>
          <w:sz w:val="15"/>
          <w:szCs w:val="15"/>
          <w:color w:val="auto"/>
        </w:rPr>
        <w:t xml:space="preserve"> |</w:t>
      </w:r>
    </w:p>
    <w:p>
      <w:pPr>
        <w:sectPr>
          <w:pgSz w:w="11900" w:h="16838" w:orient="portrait"/>
          <w:cols w:equalWidth="0" w:num="1">
            <w:col w:w="10219"/>
          </w:cols>
          <w:pgMar w:left="240" w:top="111" w:right="1440" w:bottom="0" w:gutter="0" w:footer="0" w:header="0"/>
          <w:type w:val="continuous"/>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6326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87" w:lineRule="exact"/>
        <w:rPr>
          <w:sz w:val="20"/>
          <w:szCs w:val="20"/>
          <w:color w:val="auto"/>
        </w:rPr>
      </w:pPr>
    </w:p>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23" w:lineRule="exact"/>
        <w:rPr>
          <w:sz w:val="20"/>
          <w:szCs w:val="20"/>
          <w:color w:val="auto"/>
        </w:rPr>
      </w:pPr>
    </w:p>
    <w:p>
      <w:pPr>
        <w:ind w:right="1199"/>
        <w:spacing w:after="0" w:line="211" w:lineRule="auto"/>
        <w:rPr>
          <w:sz w:val="20"/>
          <w:szCs w:val="20"/>
          <w:color w:val="auto"/>
        </w:rPr>
      </w:pPr>
      <w:r>
        <w:rPr>
          <w:rFonts w:ascii="Arial" w:cs="Arial" w:eastAsia="Arial" w:hAnsi="Arial"/>
          <w:sz w:val="21"/>
          <w:szCs w:val="21"/>
          <w:color w:val="auto"/>
        </w:rPr>
        <w:t>NetStreams' patented multimedia and control solutions can synchronously stream virtually any number and any type of digital or analog multimedia audio and or video content sources, including high definition, to virtually an unlimited number of networked endpoints on existing IP networks and infrastructure without the need for centralized switching. In addition, through its ability to combine content and control signals into one data stream, ClearOne’s new multimedia streaming solutions offer new levels of affordability, simplicity, reliability, and scalability, benefiting both installers and end-users with lower costs for installation, set-up, and support.</w:t>
      </w:r>
    </w:p>
    <w:p>
      <w:pPr>
        <w:spacing w:after="0" w:line="135" w:lineRule="exact"/>
        <w:rPr>
          <w:sz w:val="20"/>
          <w:szCs w:val="20"/>
          <w:color w:val="auto"/>
        </w:rPr>
      </w:pPr>
    </w:p>
    <w:p>
      <w:pPr>
        <w:ind w:right="1239"/>
        <w:spacing w:after="0" w:line="205" w:lineRule="auto"/>
        <w:rPr>
          <w:sz w:val="20"/>
          <w:szCs w:val="20"/>
          <w:color w:val="auto"/>
        </w:rPr>
      </w:pPr>
      <w:r>
        <w:rPr>
          <w:rFonts w:ascii="Arial" w:cs="Arial" w:eastAsia="Arial" w:hAnsi="Arial"/>
          <w:sz w:val="22"/>
          <w:szCs w:val="22"/>
          <w:color w:val="auto"/>
        </w:rPr>
        <w:t>The combination of NetStreams’ IP networked multimedia and control streaming products and ClearOne’s portfolio of conferencing and collaboration products presents a great fit for bringing complementary products, markets, and sales channels from both organizations, enabling us to provide a comprehensive high definition audio and video solution to better realize the true promise of audiovisual (AV) and information technology (IT) convergence.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Our business goals are to:</w:t>
      </w:r>
    </w:p>
    <w:p>
      <w:pPr>
        <w:ind w:left="660" w:right="159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Maintain our global market share leadership of professional audio conferencing products for large businesses and organizations;</w:t>
      </w:r>
    </w:p>
    <w:p>
      <w:pPr>
        <w:spacing w:after="0" w:line="1" w:lineRule="exact"/>
        <w:rPr>
          <w:rFonts w:ascii="Arial" w:cs="Arial" w:eastAsia="Arial" w:hAnsi="Arial"/>
          <w:sz w:val="22"/>
          <w:szCs w:val="22"/>
          <w:color w:val="auto"/>
        </w:rPr>
      </w:pPr>
    </w:p>
    <w:p>
      <w:pPr>
        <w:ind w:left="660" w:right="115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Focus on the small and medium business (SMB) market with scaled, lower cost and less complex products and solutions;</w:t>
      </w:r>
    </w:p>
    <w:p>
      <w:pPr>
        <w:spacing w:after="0" w:line="1" w:lineRule="exact"/>
        <w:rPr>
          <w:rFonts w:ascii="Arial" w:cs="Arial" w:eastAsia="Arial" w:hAnsi="Arial"/>
          <w:sz w:val="22"/>
          <w:szCs w:val="22"/>
          <w:color w:val="auto"/>
        </w:rPr>
      </w:pPr>
    </w:p>
    <w:p>
      <w:pPr>
        <w:ind w:left="660" w:right="171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Capitalize on the growing adoption of unified communications and introduce new products through entering Information Technology channels;</w:t>
      </w:r>
    </w:p>
    <w:p>
      <w:pPr>
        <w:spacing w:after="0" w:line="1" w:lineRule="exact"/>
        <w:rPr>
          <w:rFonts w:ascii="Arial" w:cs="Arial" w:eastAsia="Arial" w:hAnsi="Arial"/>
          <w:sz w:val="22"/>
          <w:szCs w:val="22"/>
          <w:color w:val="auto"/>
        </w:rPr>
      </w:pPr>
    </w:p>
    <w:p>
      <w:pPr>
        <w:ind w:left="660" w:right="1179" w:hanging="328"/>
        <w:spacing w:after="0" w:line="230"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Partner with large enterprise communications providers worldwide to bring value added products to their solution portfolios and channels; and</w:t>
      </w:r>
    </w:p>
    <w:p>
      <w:pPr>
        <w:spacing w:after="0" w:line="1" w:lineRule="exact"/>
        <w:rPr>
          <w:rFonts w:ascii="Arial" w:cs="Arial" w:eastAsia="Arial" w:hAnsi="Arial"/>
          <w:sz w:val="22"/>
          <w:szCs w:val="22"/>
          <w:color w:val="auto"/>
        </w:rPr>
      </w:pPr>
    </w:p>
    <w:p>
      <w:pPr>
        <w:ind w:left="660" w:right="1559" w:hanging="328"/>
        <w:spacing w:after="0" w:line="287" w:lineRule="auto"/>
        <w:tabs>
          <w:tab w:leader="none" w:pos="633" w:val="left"/>
        </w:tabs>
        <w:numPr>
          <w:ilvl w:val="0"/>
          <w:numId w:val="3"/>
        </w:numPr>
        <w:rPr>
          <w:rFonts w:ascii="Arial" w:cs="Arial" w:eastAsia="Arial" w:hAnsi="Arial"/>
          <w:sz w:val="19"/>
          <w:szCs w:val="19"/>
          <w:color w:val="auto"/>
        </w:rPr>
      </w:pPr>
      <w:r>
        <w:rPr>
          <w:rFonts w:ascii="Arial" w:cs="Arial" w:eastAsia="Arial" w:hAnsi="Arial"/>
          <w:sz w:val="19"/>
          <w:szCs w:val="19"/>
          <w:color w:val="auto"/>
        </w:rPr>
        <w:t>Capitalize on the convergence of AV over IP by integrating NetStreams and ClearOne core technologies to provide new solutions that reach deeper into the enterprise infrastructure and bring clear, differentiated value to both the practitioner and the customer.</w:t>
      </w:r>
    </w:p>
    <w:p>
      <w:pPr>
        <w:spacing w:after="0" w:line="117" w:lineRule="exact"/>
        <w:rPr>
          <w:sz w:val="20"/>
          <w:szCs w:val="20"/>
          <w:color w:val="auto"/>
        </w:rPr>
      </w:pPr>
    </w:p>
    <w:p>
      <w:pPr>
        <w:jc w:val="both"/>
        <w:ind w:right="1799"/>
        <w:spacing w:after="0" w:line="214" w:lineRule="auto"/>
        <w:rPr>
          <w:sz w:val="20"/>
          <w:szCs w:val="20"/>
          <w:color w:val="auto"/>
        </w:rPr>
      </w:pPr>
      <w:r>
        <w:rPr>
          <w:rFonts w:ascii="Arial" w:cs="Arial" w:eastAsia="Arial" w:hAnsi="Arial"/>
          <w:sz w:val="22"/>
          <w:szCs w:val="22"/>
          <w:color w:val="auto"/>
        </w:rPr>
        <w:t>We will continue to improve our existing high-quality products and develop new products for the bourgeoning conferencing and collaboration, and multimedia streaming markets and focus on the following strategic initiatives:</w:t>
      </w:r>
    </w:p>
    <w:p>
      <w:pPr>
        <w:spacing w:after="0" w:line="147"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Provide a superior conferencing and collaboration experience;</w:t>
      </w:r>
    </w:p>
    <w:p>
      <w:pPr>
        <w:spacing w:after="0" w:line="8"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Provide significant impact on how multimedia and control are distributed;</w:t>
      </w: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Offer greater value to our customers and partners;</w:t>
      </w: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Leverage and extend ClearOne technology leadership and innovation;</w:t>
      </w: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Expand and strengthen sales channels;</w:t>
      </w: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Broaden our product offerings;</w:t>
      </w: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Develop strategic partnerships; and</w:t>
      </w: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Strengthen existing customer and partner relationships through dedicated support</w:t>
      </w:r>
    </w:p>
    <w:p>
      <w:pPr>
        <w:spacing w:after="0" w:line="215" w:lineRule="exact"/>
        <w:rPr>
          <w:sz w:val="20"/>
          <w:szCs w:val="20"/>
          <w:color w:val="auto"/>
        </w:rPr>
      </w:pPr>
    </w:p>
    <w:p>
      <w:pPr>
        <w:ind w:right="1179"/>
        <w:spacing w:after="0" w:line="275" w:lineRule="auto"/>
        <w:rPr>
          <w:sz w:val="20"/>
          <w:szCs w:val="20"/>
          <w:color w:val="auto"/>
        </w:rPr>
      </w:pPr>
      <w:r>
        <w:rPr>
          <w:rFonts w:ascii="Arial" w:cs="Arial" w:eastAsia="Arial" w:hAnsi="Arial"/>
          <w:sz w:val="19"/>
          <w:szCs w:val="19"/>
          <w:color w:val="auto"/>
        </w:rPr>
        <w:t>Our revenues were $10.7 million and $8.4 million during the quarters ended March 31, 2011 and 2010 respectively. Our gross profit increased by $1.1 million during the quarter ended March 31, 2011 compared to the quarter ended March 31, 2010. Net income increased to $812,000 during the quarter ended March 31, 2011 compared to net income of $217,000 during the quarter ended March 31, 2010. The increase in revenues and profits were the result of overall increase in demand for major product categories in all major geographic regions. We expect the momentum established in the previous quarters to continue in the near future. We will continue our existing measures to control costs, invest in strategic products and initiatives and monitor future trends closely.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detailed discussion of our results of operations follows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Results of Operations for the quarters ended March 31, 2011 and 2010</w:t>
      </w:r>
    </w:p>
    <w:p>
      <w:pPr>
        <w:spacing w:after="0" w:line="233" w:lineRule="exact"/>
        <w:rPr>
          <w:sz w:val="20"/>
          <w:szCs w:val="20"/>
          <w:color w:val="auto"/>
        </w:rPr>
      </w:pPr>
    </w:p>
    <w:p>
      <w:pPr>
        <w:ind w:right="1459"/>
        <w:spacing w:after="0"/>
        <w:rPr>
          <w:sz w:val="20"/>
          <w:szCs w:val="20"/>
          <w:color w:val="auto"/>
        </w:rPr>
      </w:pPr>
      <w:r>
        <w:rPr>
          <w:rFonts w:ascii="Arial" w:cs="Arial" w:eastAsia="Arial" w:hAnsi="Arial"/>
          <w:sz w:val="22"/>
          <w:szCs w:val="22"/>
          <w:color w:val="auto"/>
        </w:rPr>
        <w:t>The following table sets forth certain items from our unaudited condensed consolidated statements of operations (dollars in thousands) for the quarters ended March 31, 2011 and 2010, together with the percentage of total revenue which each such item represents:</w:t>
      </w:r>
    </w:p>
    <w:p>
      <w:pPr>
        <w:spacing w:after="0" w:line="200" w:lineRule="exact"/>
        <w:rPr>
          <w:sz w:val="20"/>
          <w:szCs w:val="20"/>
          <w:color w:val="auto"/>
        </w:rPr>
      </w:pPr>
    </w:p>
    <w:p>
      <w:pPr>
        <w:spacing w:after="0" w:line="23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76326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3260" cy="8572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393065</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9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March 31, 2011</w:t>
            </w:r>
          </w:p>
        </w:tc>
        <w:tc>
          <w:tcPr>
            <w:tcW w:w="200" w:type="dxa"/>
            <w:vAlign w:val="bottom"/>
          </w:tcPr>
          <w:p>
            <w:pPr>
              <w:spacing w:after="0"/>
              <w:rPr>
                <w:sz w:val="21"/>
                <w:szCs w:val="21"/>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March 31, 2010</w:t>
            </w:r>
          </w:p>
        </w:tc>
        <w:tc>
          <w:tcPr>
            <w:tcW w:w="200" w:type="dxa"/>
            <w:vAlign w:val="bottom"/>
          </w:tcPr>
          <w:p>
            <w:pPr>
              <w:spacing w:after="0"/>
              <w:rPr>
                <w:sz w:val="21"/>
                <w:szCs w:val="21"/>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7"/>
                <w:szCs w:val="17"/>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7"/>
                <w:szCs w:val="17"/>
                <w:color w:val="auto"/>
              </w:rPr>
            </w:pPr>
          </w:p>
        </w:tc>
        <w:tc>
          <w:tcPr>
            <w:tcW w:w="108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vMerge w:val="restart"/>
          </w:tcPr>
          <w:p>
            <w:pPr>
              <w:spacing w:after="0"/>
              <w:rPr>
                <w:sz w:val="17"/>
                <w:szCs w:val="17"/>
                <w:color w:val="auto"/>
              </w:rPr>
            </w:pPr>
          </w:p>
        </w:tc>
        <w:tc>
          <w:tcPr>
            <w:tcW w:w="160" w:type="dxa"/>
            <w:vAlign w:val="bottom"/>
            <w:tcBorders>
              <w:top w:val="single" w:sz="8" w:color="auto"/>
            </w:tcBorders>
            <w:vMerge w:val="restart"/>
          </w:tcPr>
          <w:p>
            <w:pPr>
              <w:spacing w:after="0"/>
              <w:rPr>
                <w:sz w:val="17"/>
                <w:szCs w:val="17"/>
                <w:color w:val="auto"/>
              </w:rPr>
            </w:pPr>
          </w:p>
        </w:tc>
        <w:tc>
          <w:tcPr>
            <w:tcW w:w="58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FDE9D9"/>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FDE9D9"/>
          </w:tcPr>
          <w:p>
            <w:pPr>
              <w:jc w:val="right"/>
              <w:ind w:right="219"/>
              <w:spacing w:after="0"/>
              <w:rPr>
                <w:sz w:val="20"/>
                <w:szCs w:val="20"/>
                <w:color w:val="auto"/>
              </w:rPr>
            </w:pPr>
            <w:r>
              <w:rPr>
                <w:rFonts w:ascii="Arial" w:cs="Arial" w:eastAsia="Arial" w:hAnsi="Arial"/>
                <w:sz w:val="18"/>
                <w:szCs w:val="18"/>
                <w:color w:val="auto"/>
                <w:w w:val="99"/>
              </w:rPr>
              <w:t>$ 10,701</w:t>
            </w:r>
          </w:p>
        </w:tc>
        <w:tc>
          <w:tcPr>
            <w:tcW w:w="940" w:type="dxa"/>
            <w:vAlign w:val="bottom"/>
            <w:gridSpan w:val="2"/>
            <w:shd w:val="clear" w:color="auto" w:fill="FDE9D9"/>
          </w:tcPr>
          <w:p>
            <w:pPr>
              <w:jc w:val="right"/>
              <w:ind w:right="168"/>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FDE9D9"/>
          </w:tcPr>
          <w:p>
            <w:pPr>
              <w:jc w:val="right"/>
              <w:ind w:right="248"/>
              <w:spacing w:after="0"/>
              <w:rPr>
                <w:sz w:val="20"/>
                <w:szCs w:val="20"/>
                <w:color w:val="auto"/>
              </w:rPr>
            </w:pPr>
            <w:r>
              <w:rPr>
                <w:rFonts w:ascii="Arial" w:cs="Arial" w:eastAsia="Arial" w:hAnsi="Arial"/>
                <w:sz w:val="18"/>
                <w:szCs w:val="18"/>
                <w:color w:val="auto"/>
              </w:rPr>
              <w:t>$ 8,356</w:t>
            </w:r>
          </w:p>
        </w:tc>
        <w:tc>
          <w:tcPr>
            <w:tcW w:w="960" w:type="dxa"/>
            <w:vAlign w:val="bottom"/>
            <w:gridSpan w:val="2"/>
            <w:shd w:val="clear" w:color="auto" w:fill="FDE9D9"/>
          </w:tcPr>
          <w:p>
            <w:pPr>
              <w:jc w:val="right"/>
              <w:ind w:right="208"/>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FDE9D9"/>
          </w:tcPr>
          <w:p>
            <w:pPr>
              <w:jc w:val="right"/>
              <w:ind w:right="268"/>
              <w:spacing w:after="0"/>
              <w:rPr>
                <w:sz w:val="20"/>
                <w:szCs w:val="20"/>
                <w:color w:val="auto"/>
              </w:rPr>
            </w:pPr>
            <w:r>
              <w:rPr>
                <w:rFonts w:ascii="Arial" w:cs="Arial" w:eastAsia="Arial" w:hAnsi="Arial"/>
                <w:sz w:val="18"/>
                <w:szCs w:val="18"/>
                <w:color w:val="auto"/>
              </w:rPr>
              <w:t>$  2,345</w:t>
            </w:r>
          </w:p>
        </w:tc>
        <w:tc>
          <w:tcPr>
            <w:tcW w:w="180" w:type="dxa"/>
            <w:vAlign w:val="bottom"/>
            <w:shd w:val="clear" w:color="auto" w:fill="FDE9D9"/>
          </w:tcPr>
          <w:p>
            <w:pPr>
              <w:spacing w:after="0"/>
              <w:rPr>
                <w:sz w:val="19"/>
                <w:szCs w:val="19"/>
                <w:color w:val="auto"/>
              </w:rPr>
            </w:pPr>
          </w:p>
        </w:tc>
        <w:tc>
          <w:tcPr>
            <w:tcW w:w="160" w:type="dxa"/>
            <w:vAlign w:val="bottom"/>
            <w:shd w:val="clear" w:color="auto" w:fill="FDE9D9"/>
          </w:tcPr>
          <w:p>
            <w:pPr>
              <w:spacing w:after="0"/>
              <w:rPr>
                <w:sz w:val="19"/>
                <w:szCs w:val="19"/>
                <w:color w:val="auto"/>
              </w:rPr>
            </w:pPr>
          </w:p>
        </w:tc>
        <w:tc>
          <w:tcPr>
            <w:tcW w:w="580" w:type="dxa"/>
            <w:vAlign w:val="bottom"/>
            <w:shd w:val="clear" w:color="auto" w:fill="FDE9D9"/>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4,399</w:t>
            </w:r>
          </w:p>
        </w:tc>
        <w:tc>
          <w:tcPr>
            <w:tcW w:w="940" w:type="dxa"/>
            <w:vAlign w:val="bottom"/>
            <w:gridSpan w:val="2"/>
          </w:tcPr>
          <w:p>
            <w:pPr>
              <w:jc w:val="right"/>
              <w:ind w:right="168"/>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248"/>
              <w:spacing w:after="0"/>
              <w:rPr>
                <w:sz w:val="20"/>
                <w:szCs w:val="20"/>
                <w:color w:val="auto"/>
              </w:rPr>
            </w:pPr>
            <w:r>
              <w:rPr>
                <w:rFonts w:ascii="Arial" w:cs="Arial" w:eastAsia="Arial" w:hAnsi="Arial"/>
                <w:sz w:val="18"/>
                <w:szCs w:val="18"/>
                <w:color w:val="auto"/>
              </w:rPr>
              <w:t>3,161</w:t>
            </w:r>
          </w:p>
        </w:tc>
        <w:tc>
          <w:tcPr>
            <w:tcW w:w="960" w:type="dxa"/>
            <w:vAlign w:val="bottom"/>
            <w:gridSpan w:val="2"/>
          </w:tcPr>
          <w:p>
            <w:pPr>
              <w:jc w:val="right"/>
              <w:ind w:right="208"/>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25" w:orient="portrait"/>
          <w:cols w:equalWidth="0" w:num="1">
            <w:col w:w="10219"/>
          </w:cols>
          <w:pgMar w:left="240" w:top="112"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Borders>
              <w:top w:val="single" w:sz="8" w:color="FDE9D9"/>
            </w:tcBorders>
            <w:shd w:val="clear" w:color="auto" w:fill="FDE9D9"/>
          </w:tcPr>
          <w:p>
            <w:pPr>
              <w:ind w:left="18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shd w:val="clear" w:color="auto" w:fill="FDE9D9"/>
          </w:tcPr>
          <w:p>
            <w:pPr>
              <w:jc w:val="right"/>
              <w:ind w:right="210"/>
              <w:spacing w:after="0"/>
              <w:rPr>
                <w:sz w:val="20"/>
                <w:szCs w:val="20"/>
                <w:color w:val="auto"/>
              </w:rPr>
            </w:pPr>
            <w:r>
              <w:rPr>
                <w:rFonts w:ascii="Arial" w:cs="Arial" w:eastAsia="Arial" w:hAnsi="Arial"/>
                <w:sz w:val="18"/>
                <w:szCs w:val="18"/>
                <w:color w:val="auto"/>
              </w:rPr>
              <w:t>6,302</w:t>
            </w:r>
          </w:p>
        </w:tc>
        <w:tc>
          <w:tcPr>
            <w:tcW w:w="200" w:type="dxa"/>
            <w:vAlign w:val="bottom"/>
            <w:tcBorders>
              <w:top w:val="single" w:sz="8" w:color="FDE9D9"/>
            </w:tcBorders>
            <w:shd w:val="clear" w:color="auto" w:fill="FDE9D9"/>
          </w:tcPr>
          <w:p>
            <w:pPr>
              <w:spacing w:after="0"/>
              <w:rPr>
                <w:sz w:val="21"/>
                <w:szCs w:val="21"/>
                <w:color w:val="auto"/>
              </w:rPr>
            </w:pPr>
          </w:p>
        </w:tc>
        <w:tc>
          <w:tcPr>
            <w:tcW w:w="740" w:type="dxa"/>
            <w:vAlign w:val="bottom"/>
            <w:tcBorders>
              <w:top w:val="single" w:sz="8" w:color="auto"/>
            </w:tcBorders>
            <w:shd w:val="clear" w:color="auto" w:fill="FDE9D9"/>
          </w:tcPr>
          <w:p>
            <w:pPr>
              <w:jc w:val="right"/>
              <w:ind w:right="150"/>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FDE9D9"/>
            </w:tcBorders>
            <w:shd w:val="clear" w:color="auto" w:fill="FDE9D9"/>
          </w:tcPr>
          <w:p>
            <w:pPr>
              <w:spacing w:after="0"/>
              <w:rPr>
                <w:sz w:val="21"/>
                <w:szCs w:val="21"/>
                <w:color w:val="auto"/>
              </w:rPr>
            </w:pPr>
          </w:p>
        </w:tc>
        <w:tc>
          <w:tcPr>
            <w:tcW w:w="940" w:type="dxa"/>
            <w:vAlign w:val="bottom"/>
            <w:tcBorders>
              <w:top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5,195</w:t>
            </w:r>
          </w:p>
        </w:tc>
        <w:tc>
          <w:tcPr>
            <w:tcW w:w="180" w:type="dxa"/>
            <w:vAlign w:val="bottom"/>
            <w:tcBorders>
              <w:top w:val="single" w:sz="8" w:color="FDE9D9"/>
            </w:tcBorders>
            <w:shd w:val="clear" w:color="auto" w:fill="FDE9D9"/>
          </w:tcPr>
          <w:p>
            <w:pPr>
              <w:spacing w:after="0"/>
              <w:rPr>
                <w:sz w:val="21"/>
                <w:szCs w:val="21"/>
                <w:color w:val="auto"/>
              </w:rPr>
            </w:pPr>
          </w:p>
        </w:tc>
        <w:tc>
          <w:tcPr>
            <w:tcW w:w="780" w:type="dxa"/>
            <w:vAlign w:val="bottom"/>
            <w:tcBorders>
              <w:top w:val="single" w:sz="8" w:color="auto"/>
            </w:tcBorders>
            <w:shd w:val="clear" w:color="auto" w:fill="FDE9D9"/>
          </w:tcPr>
          <w:p>
            <w:pPr>
              <w:jc w:val="right"/>
              <w:ind w:right="190"/>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FDE9D9"/>
            </w:tcBorders>
            <w:shd w:val="clear" w:color="auto" w:fill="FDE9D9"/>
          </w:tcPr>
          <w:p>
            <w:pPr>
              <w:spacing w:after="0"/>
              <w:rPr>
                <w:sz w:val="21"/>
                <w:szCs w:val="21"/>
                <w:color w:val="auto"/>
              </w:rPr>
            </w:pPr>
          </w:p>
        </w:tc>
        <w:tc>
          <w:tcPr>
            <w:tcW w:w="1080" w:type="dxa"/>
            <w:vAlign w:val="bottom"/>
            <w:tcBorders>
              <w:top w:val="single" w:sz="8" w:color="auto"/>
            </w:tcBorders>
            <w:shd w:val="clear" w:color="auto" w:fill="FDE9D9"/>
          </w:tcPr>
          <w:p>
            <w:pPr>
              <w:jc w:val="right"/>
              <w:ind w:right="250"/>
              <w:spacing w:after="0"/>
              <w:rPr>
                <w:sz w:val="20"/>
                <w:szCs w:val="20"/>
                <w:color w:val="auto"/>
              </w:rPr>
            </w:pPr>
            <w:r>
              <w:rPr>
                <w:rFonts w:ascii="Arial" w:cs="Arial" w:eastAsia="Arial" w:hAnsi="Arial"/>
                <w:sz w:val="18"/>
                <w:szCs w:val="18"/>
                <w:color w:val="auto"/>
              </w:rPr>
              <w:t>1,107</w:t>
            </w:r>
          </w:p>
        </w:tc>
        <w:tc>
          <w:tcPr>
            <w:tcW w:w="180" w:type="dxa"/>
            <w:vAlign w:val="bottom"/>
            <w:tcBorders>
              <w:top w:val="single" w:sz="8" w:color="FDE9D9"/>
            </w:tcBorders>
            <w:shd w:val="clear" w:color="auto" w:fill="FDE9D9"/>
          </w:tcPr>
          <w:p>
            <w:pPr>
              <w:spacing w:after="0"/>
              <w:rPr>
                <w:sz w:val="21"/>
                <w:szCs w:val="21"/>
                <w:color w:val="auto"/>
              </w:rPr>
            </w:pPr>
          </w:p>
        </w:tc>
        <w:tc>
          <w:tcPr>
            <w:tcW w:w="740" w:type="dxa"/>
            <w:vAlign w:val="bottom"/>
            <w:tcBorders>
              <w:top w:val="single" w:sz="8" w:color="auto"/>
            </w:tcBorders>
            <w:shd w:val="clear" w:color="auto" w:fill="FDE9D9"/>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21"/>
                <w:szCs w:val="2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1,983</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1,902</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23%</w:t>
            </w: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2900" w:type="dxa"/>
            <w:vAlign w:val="bottom"/>
            <w:shd w:val="clear" w:color="auto" w:fill="FDE9D9"/>
          </w:tcPr>
          <w:p>
            <w:pPr>
              <w:spacing w:after="0"/>
              <w:rPr>
                <w:sz w:val="20"/>
                <w:szCs w:val="20"/>
                <w:color w:val="auto"/>
              </w:rPr>
            </w:pPr>
            <w:r>
              <w:rPr>
                <w:rFonts w:ascii="Arial" w:cs="Arial" w:eastAsia="Arial" w:hAnsi="Arial"/>
                <w:sz w:val="18"/>
                <w:szCs w:val="18"/>
                <w:color w:val="auto"/>
              </w:rPr>
              <w:t>Research and product development</w:t>
            </w:r>
          </w:p>
        </w:tc>
        <w:tc>
          <w:tcPr>
            <w:tcW w:w="1020" w:type="dxa"/>
            <w:vAlign w:val="bottom"/>
            <w:shd w:val="clear" w:color="auto" w:fill="FDE9D9"/>
          </w:tcPr>
          <w:p>
            <w:pPr>
              <w:jc w:val="right"/>
              <w:ind w:right="210"/>
              <w:spacing w:after="0"/>
              <w:rPr>
                <w:sz w:val="20"/>
                <w:szCs w:val="20"/>
                <w:color w:val="auto"/>
              </w:rPr>
            </w:pPr>
            <w:r>
              <w:rPr>
                <w:rFonts w:ascii="Arial" w:cs="Arial" w:eastAsia="Arial" w:hAnsi="Arial"/>
                <w:sz w:val="18"/>
                <w:szCs w:val="18"/>
                <w:color w:val="auto"/>
              </w:rPr>
              <w:t>1,637</w:t>
            </w:r>
          </w:p>
        </w:tc>
        <w:tc>
          <w:tcPr>
            <w:tcW w:w="940" w:type="dxa"/>
            <w:vAlign w:val="bottom"/>
            <w:gridSpan w:val="2"/>
            <w:shd w:val="clear" w:color="auto" w:fill="FDE9D9"/>
          </w:tcPr>
          <w:p>
            <w:pPr>
              <w:jc w:val="right"/>
              <w:ind w:right="15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FDE9D9"/>
          </w:tcPr>
          <w:p>
            <w:pPr>
              <w:jc w:val="right"/>
              <w:ind w:right="230"/>
              <w:spacing w:after="0"/>
              <w:rPr>
                <w:sz w:val="20"/>
                <w:szCs w:val="20"/>
                <w:color w:val="auto"/>
              </w:rPr>
            </w:pPr>
            <w:r>
              <w:rPr>
                <w:rFonts w:ascii="Arial" w:cs="Arial" w:eastAsia="Arial" w:hAnsi="Arial"/>
                <w:sz w:val="18"/>
                <w:szCs w:val="18"/>
                <w:color w:val="auto"/>
              </w:rPr>
              <w:t>1,904</w:t>
            </w:r>
          </w:p>
        </w:tc>
        <w:tc>
          <w:tcPr>
            <w:tcW w:w="960" w:type="dxa"/>
            <w:vAlign w:val="bottom"/>
            <w:gridSpan w:val="2"/>
            <w:shd w:val="clear" w:color="auto" w:fill="FDE9D9"/>
          </w:tcPr>
          <w:p>
            <w:pPr>
              <w:jc w:val="right"/>
              <w:ind w:right="190"/>
              <w:spacing w:after="0"/>
              <w:rPr>
                <w:sz w:val="20"/>
                <w:szCs w:val="20"/>
                <w:color w:val="auto"/>
              </w:rPr>
            </w:pPr>
            <w:r>
              <w:rPr>
                <w:rFonts w:ascii="Arial" w:cs="Arial" w:eastAsia="Arial" w:hAnsi="Arial"/>
                <w:sz w:val="18"/>
                <w:szCs w:val="18"/>
                <w:color w:val="auto"/>
              </w:rPr>
              <w:t>23%</w:t>
            </w:r>
          </w:p>
        </w:tc>
        <w:tc>
          <w:tcPr>
            <w:tcW w:w="1280" w:type="dxa"/>
            <w:vAlign w:val="bottom"/>
            <w:gridSpan w:val="2"/>
            <w:shd w:val="clear" w:color="auto" w:fill="FDE9D9"/>
          </w:tcPr>
          <w:p>
            <w:pPr>
              <w:jc w:val="right"/>
              <w:ind w:right="25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FDE9D9"/>
          </w:tcPr>
          <w:p>
            <w:pPr>
              <w:spacing w:after="0"/>
              <w:rPr>
                <w:sz w:val="19"/>
                <w:szCs w:val="19"/>
                <w:color w:val="auto"/>
              </w:rPr>
            </w:pPr>
          </w:p>
        </w:tc>
        <w:tc>
          <w:tcPr>
            <w:tcW w:w="7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23"/>
        </w:trPr>
        <w:tc>
          <w:tcPr>
            <w:tcW w:w="2900" w:type="dxa"/>
            <w:vAlign w:val="bottom"/>
            <w:shd w:val="clear" w:color="auto" w:fill="FDE9D9"/>
          </w:tcPr>
          <w:p>
            <w:pPr>
              <w:ind w:left="180"/>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FDE9D9"/>
          </w:tcPr>
          <w:p>
            <w:pPr>
              <w:jc w:val="right"/>
              <w:ind w:right="210"/>
              <w:spacing w:after="0"/>
              <w:rPr>
                <w:sz w:val="20"/>
                <w:szCs w:val="20"/>
                <w:color w:val="auto"/>
              </w:rPr>
            </w:pPr>
            <w:r>
              <w:rPr>
                <w:rFonts w:ascii="Arial" w:cs="Arial" w:eastAsia="Arial" w:hAnsi="Arial"/>
                <w:sz w:val="18"/>
                <w:szCs w:val="18"/>
                <w:color w:val="auto"/>
              </w:rPr>
              <w:t>1,210</w:t>
            </w:r>
          </w:p>
        </w:tc>
        <w:tc>
          <w:tcPr>
            <w:tcW w:w="940" w:type="dxa"/>
            <w:vAlign w:val="bottom"/>
            <w:gridSpan w:val="2"/>
            <w:shd w:val="clear" w:color="auto" w:fill="FDE9D9"/>
          </w:tcPr>
          <w:p>
            <w:pPr>
              <w:jc w:val="right"/>
              <w:ind w:right="15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FDE9D9"/>
          </w:tcPr>
          <w:p>
            <w:pPr>
              <w:jc w:val="right"/>
              <w:ind w:right="230"/>
              <w:spacing w:after="0"/>
              <w:rPr>
                <w:sz w:val="20"/>
                <w:szCs w:val="20"/>
                <w:color w:val="auto"/>
              </w:rPr>
            </w:pPr>
            <w:r>
              <w:rPr>
                <w:rFonts w:ascii="Arial" w:cs="Arial" w:eastAsia="Arial" w:hAnsi="Arial"/>
                <w:sz w:val="18"/>
                <w:szCs w:val="18"/>
                <w:color w:val="auto"/>
              </w:rPr>
              <w:t>457</w:t>
            </w:r>
          </w:p>
        </w:tc>
        <w:tc>
          <w:tcPr>
            <w:tcW w:w="960" w:type="dxa"/>
            <w:vAlign w:val="bottom"/>
            <w:gridSpan w:val="2"/>
            <w:shd w:val="clear" w:color="auto" w:fill="FDE9D9"/>
          </w:tcPr>
          <w:p>
            <w:pPr>
              <w:jc w:val="right"/>
              <w:ind w:right="190"/>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FDE9D9"/>
          </w:tcPr>
          <w:p>
            <w:pPr>
              <w:jc w:val="right"/>
              <w:ind w:right="250"/>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FDE9D9"/>
          </w:tcPr>
          <w:p>
            <w:pPr>
              <w:spacing w:after="0"/>
              <w:rPr>
                <w:sz w:val="19"/>
                <w:szCs w:val="19"/>
                <w:color w:val="auto"/>
              </w:rPr>
            </w:pPr>
          </w:p>
        </w:tc>
        <w:tc>
          <w:tcPr>
            <w:tcW w:w="7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r>
        <w:trPr>
          <w:trHeight w:val="223"/>
        </w:trPr>
        <w:tc>
          <w:tcPr>
            <w:tcW w:w="2900" w:type="dxa"/>
            <w:vAlign w:val="bottom"/>
            <w:shd w:val="clear" w:color="auto" w:fill="FDE9D9"/>
          </w:tcPr>
          <w:p>
            <w:pPr>
              <w:ind w:left="180"/>
              <w:spacing w:after="0"/>
              <w:rPr>
                <w:sz w:val="20"/>
                <w:szCs w:val="20"/>
                <w:color w:val="auto"/>
              </w:rPr>
            </w:pPr>
            <w:r>
              <w:rPr>
                <w:rFonts w:ascii="Arial" w:cs="Arial" w:eastAsia="Arial" w:hAnsi="Arial"/>
                <w:sz w:val="18"/>
                <w:szCs w:val="18"/>
                <w:color w:val="auto"/>
              </w:rPr>
              <w:t>Income before income taxes</w:t>
            </w:r>
          </w:p>
        </w:tc>
        <w:tc>
          <w:tcPr>
            <w:tcW w:w="1020" w:type="dxa"/>
            <w:vAlign w:val="bottom"/>
            <w:shd w:val="clear" w:color="auto" w:fill="FDE9D9"/>
          </w:tcPr>
          <w:p>
            <w:pPr>
              <w:jc w:val="right"/>
              <w:ind w:right="210"/>
              <w:spacing w:after="0"/>
              <w:rPr>
                <w:sz w:val="20"/>
                <w:szCs w:val="20"/>
                <w:color w:val="auto"/>
              </w:rPr>
            </w:pPr>
            <w:r>
              <w:rPr>
                <w:rFonts w:ascii="Arial" w:cs="Arial" w:eastAsia="Arial" w:hAnsi="Arial"/>
                <w:sz w:val="18"/>
                <w:szCs w:val="18"/>
                <w:color w:val="auto"/>
              </w:rPr>
              <w:t>1,221</w:t>
            </w:r>
          </w:p>
        </w:tc>
        <w:tc>
          <w:tcPr>
            <w:tcW w:w="940" w:type="dxa"/>
            <w:vAlign w:val="bottom"/>
            <w:gridSpan w:val="2"/>
            <w:shd w:val="clear" w:color="auto" w:fill="FDE9D9"/>
          </w:tcPr>
          <w:p>
            <w:pPr>
              <w:jc w:val="right"/>
              <w:ind w:right="15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FDE9D9"/>
          </w:tcPr>
          <w:p>
            <w:pPr>
              <w:jc w:val="right"/>
              <w:ind w:right="230"/>
              <w:spacing w:after="0"/>
              <w:rPr>
                <w:sz w:val="20"/>
                <w:szCs w:val="20"/>
                <w:color w:val="auto"/>
              </w:rPr>
            </w:pPr>
            <w:r>
              <w:rPr>
                <w:rFonts w:ascii="Arial" w:cs="Arial" w:eastAsia="Arial" w:hAnsi="Arial"/>
                <w:sz w:val="18"/>
                <w:szCs w:val="18"/>
                <w:color w:val="auto"/>
              </w:rPr>
              <w:t>325</w:t>
            </w:r>
          </w:p>
        </w:tc>
        <w:tc>
          <w:tcPr>
            <w:tcW w:w="960" w:type="dxa"/>
            <w:vAlign w:val="bottom"/>
            <w:gridSpan w:val="2"/>
            <w:shd w:val="clear" w:color="auto" w:fill="FDE9D9"/>
          </w:tcPr>
          <w:p>
            <w:pPr>
              <w:jc w:val="right"/>
              <w:ind w:right="19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FDE9D9"/>
          </w:tcPr>
          <w:p>
            <w:pPr>
              <w:jc w:val="right"/>
              <w:ind w:right="250"/>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FDE9D9"/>
          </w:tcPr>
          <w:p>
            <w:pPr>
              <w:spacing w:after="0"/>
              <w:rPr>
                <w:sz w:val="19"/>
                <w:szCs w:val="19"/>
                <w:color w:val="auto"/>
              </w:rPr>
            </w:pPr>
          </w:p>
        </w:tc>
        <w:tc>
          <w:tcPr>
            <w:tcW w:w="740" w:type="dxa"/>
            <w:vAlign w:val="bottom"/>
            <w:shd w:val="clear" w:color="auto" w:fill="FDE9D9"/>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r>
      <w:tr>
        <w:trPr>
          <w:trHeight w:val="223"/>
        </w:trPr>
        <w:tc>
          <w:tcPr>
            <w:tcW w:w="2900" w:type="dxa"/>
            <w:vAlign w:val="bottom"/>
            <w:tcBorders>
              <w:bottom w:val="single" w:sz="8" w:color="FDE9D9"/>
            </w:tcBorders>
          </w:tcPr>
          <w:p>
            <w:pPr>
              <w:ind w:left="180"/>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(409)</w:t>
            </w:r>
          </w:p>
        </w:tc>
        <w:tc>
          <w:tcPr>
            <w:tcW w:w="940" w:type="dxa"/>
            <w:vAlign w:val="bottom"/>
            <w:tcBorders>
              <w:bottom w:val="single" w:sz="8" w:color="FDE9D9"/>
            </w:tcBorders>
            <w:gridSpan w:val="2"/>
          </w:tcPr>
          <w:p>
            <w:pPr>
              <w:jc w:val="right"/>
              <w:ind w:right="1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FDE9D9"/>
            </w:tcBorders>
            <w:gridSpan w:val="2"/>
          </w:tcPr>
          <w:p>
            <w:pPr>
              <w:jc w:val="right"/>
              <w:ind w:right="170"/>
              <w:spacing w:after="0"/>
              <w:rPr>
                <w:sz w:val="20"/>
                <w:szCs w:val="20"/>
                <w:color w:val="auto"/>
              </w:rPr>
            </w:pPr>
            <w:r>
              <w:rPr>
                <w:rFonts w:ascii="Arial" w:cs="Arial" w:eastAsia="Arial" w:hAnsi="Arial"/>
                <w:sz w:val="18"/>
                <w:szCs w:val="18"/>
                <w:color w:val="auto"/>
              </w:rPr>
              <w:t>(108)</w:t>
            </w:r>
          </w:p>
        </w:tc>
        <w:tc>
          <w:tcPr>
            <w:tcW w:w="960" w:type="dxa"/>
            <w:vAlign w:val="bottom"/>
            <w:tcBorders>
              <w:bottom w:val="single" w:sz="8" w:color="FDE9D9"/>
            </w:tcBorders>
            <w:gridSpan w:val="2"/>
          </w:tcPr>
          <w:p>
            <w:pPr>
              <w:jc w:val="right"/>
              <w:ind w:right="19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FDE9D9"/>
            </w:tcBorders>
            <w:gridSpan w:val="2"/>
          </w:tcPr>
          <w:p>
            <w:pPr>
              <w:jc w:val="right"/>
              <w:ind w:right="210"/>
              <w:spacing w:after="0"/>
              <w:rPr>
                <w:sz w:val="20"/>
                <w:szCs w:val="20"/>
                <w:color w:val="auto"/>
              </w:rPr>
            </w:pPr>
            <w:r>
              <w:rPr>
                <w:rFonts w:ascii="Arial" w:cs="Arial" w:eastAsia="Arial" w:hAnsi="Arial"/>
                <w:sz w:val="18"/>
                <w:szCs w:val="18"/>
                <w:color w:val="auto"/>
              </w:rPr>
              <w:t>(301)</w:t>
            </w:r>
          </w:p>
        </w:tc>
        <w:tc>
          <w:tcPr>
            <w:tcW w:w="180" w:type="dxa"/>
            <w:vAlign w:val="bottom"/>
            <w:tcBorders>
              <w:bottom w:val="single" w:sz="8" w:color="FDE9D9"/>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r>
      <w:tr>
        <w:trPr>
          <w:trHeight w:val="256"/>
        </w:trPr>
        <w:tc>
          <w:tcPr>
            <w:tcW w:w="2900" w:type="dxa"/>
            <w:vAlign w:val="bottom"/>
            <w:tcBorders>
              <w:bottom w:val="single" w:sz="8" w:color="FDE9D9"/>
            </w:tcBorders>
            <w:shd w:val="clear" w:color="auto" w:fill="FDE9D9"/>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FDE9D9"/>
          </w:tcPr>
          <w:p>
            <w:pPr>
              <w:jc w:val="right"/>
              <w:ind w:right="210"/>
              <w:spacing w:after="0"/>
              <w:rPr>
                <w:sz w:val="20"/>
                <w:szCs w:val="20"/>
                <w:color w:val="auto"/>
              </w:rPr>
            </w:pPr>
            <w:r>
              <w:rPr>
                <w:rFonts w:ascii="Arial" w:cs="Arial" w:eastAsia="Arial" w:hAnsi="Arial"/>
                <w:sz w:val="18"/>
                <w:szCs w:val="18"/>
                <w:color w:val="auto"/>
              </w:rPr>
              <w:t>$   812</w:t>
            </w:r>
          </w:p>
        </w:tc>
        <w:tc>
          <w:tcPr>
            <w:tcW w:w="200" w:type="dxa"/>
            <w:vAlign w:val="bottom"/>
            <w:tcBorders>
              <w:bottom w:val="single" w:sz="8" w:color="FDE9D9"/>
            </w:tcBorders>
            <w:shd w:val="clear" w:color="auto" w:fill="FDE9D9"/>
          </w:tcPr>
          <w:p>
            <w:pPr>
              <w:spacing w:after="0"/>
              <w:rPr>
                <w:sz w:val="22"/>
                <w:szCs w:val="22"/>
                <w:color w:val="auto"/>
              </w:rPr>
            </w:pPr>
          </w:p>
        </w:tc>
        <w:tc>
          <w:tcPr>
            <w:tcW w:w="740" w:type="dxa"/>
            <w:vAlign w:val="bottom"/>
            <w:tcBorders>
              <w:bottom w:val="single" w:sz="8" w:color="auto"/>
            </w:tcBorders>
            <w:shd w:val="clear" w:color="auto" w:fill="FDE9D9"/>
          </w:tcPr>
          <w:p>
            <w:pPr>
              <w:jc w:val="right"/>
              <w:ind w:right="15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FDE9D9"/>
            </w:tcBorders>
            <w:shd w:val="clear" w:color="auto" w:fill="FDE9D9"/>
          </w:tcPr>
          <w:p>
            <w:pPr>
              <w:spacing w:after="0"/>
              <w:rPr>
                <w:sz w:val="22"/>
                <w:szCs w:val="22"/>
                <w:color w:val="auto"/>
              </w:rPr>
            </w:pPr>
          </w:p>
        </w:tc>
        <w:tc>
          <w:tcPr>
            <w:tcW w:w="940" w:type="dxa"/>
            <w:vAlign w:val="bottom"/>
            <w:tcBorders>
              <w:bottom w:val="single" w:sz="8" w:color="auto"/>
            </w:tcBorders>
            <w:shd w:val="clear" w:color="auto" w:fill="FDE9D9"/>
          </w:tcPr>
          <w:p>
            <w:pPr>
              <w:jc w:val="right"/>
              <w:ind w:right="230"/>
              <w:spacing w:after="0"/>
              <w:rPr>
                <w:sz w:val="20"/>
                <w:szCs w:val="20"/>
                <w:color w:val="auto"/>
              </w:rPr>
            </w:pPr>
            <w:r>
              <w:rPr>
                <w:rFonts w:ascii="Arial" w:cs="Arial" w:eastAsia="Arial" w:hAnsi="Arial"/>
                <w:sz w:val="18"/>
                <w:szCs w:val="18"/>
                <w:color w:val="auto"/>
              </w:rPr>
              <w:t>$   217</w:t>
            </w:r>
          </w:p>
        </w:tc>
        <w:tc>
          <w:tcPr>
            <w:tcW w:w="180" w:type="dxa"/>
            <w:vAlign w:val="bottom"/>
            <w:tcBorders>
              <w:bottom w:val="single" w:sz="8" w:color="FDE9D9"/>
            </w:tcBorders>
            <w:shd w:val="clear" w:color="auto" w:fill="FDE9D9"/>
          </w:tcPr>
          <w:p>
            <w:pPr>
              <w:spacing w:after="0"/>
              <w:rPr>
                <w:sz w:val="22"/>
                <w:szCs w:val="22"/>
                <w:color w:val="auto"/>
              </w:rPr>
            </w:pPr>
          </w:p>
        </w:tc>
        <w:tc>
          <w:tcPr>
            <w:tcW w:w="780" w:type="dxa"/>
            <w:vAlign w:val="bottom"/>
            <w:tcBorders>
              <w:bottom w:val="single" w:sz="8" w:color="auto"/>
            </w:tcBorders>
            <w:shd w:val="clear" w:color="auto" w:fill="FDE9D9"/>
          </w:tcPr>
          <w:p>
            <w:pPr>
              <w:jc w:val="right"/>
              <w:ind w:right="19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FDE9D9"/>
            </w:tcBorders>
            <w:shd w:val="clear" w:color="auto" w:fill="FDE9D9"/>
          </w:tcPr>
          <w:p>
            <w:pPr>
              <w:spacing w:after="0"/>
              <w:rPr>
                <w:sz w:val="22"/>
                <w:szCs w:val="22"/>
                <w:color w:val="auto"/>
              </w:rPr>
            </w:pPr>
          </w:p>
        </w:tc>
        <w:tc>
          <w:tcPr>
            <w:tcW w:w="1080" w:type="dxa"/>
            <w:vAlign w:val="bottom"/>
            <w:tcBorders>
              <w:bottom w:val="single" w:sz="8" w:color="auto"/>
            </w:tcBorders>
            <w:shd w:val="clear" w:color="auto" w:fill="FDE9D9"/>
          </w:tcPr>
          <w:p>
            <w:pPr>
              <w:jc w:val="right"/>
              <w:ind w:right="250"/>
              <w:spacing w:after="0"/>
              <w:rPr>
                <w:sz w:val="20"/>
                <w:szCs w:val="20"/>
                <w:color w:val="auto"/>
              </w:rPr>
            </w:pPr>
            <w:r>
              <w:rPr>
                <w:rFonts w:ascii="Arial" w:cs="Arial" w:eastAsia="Arial" w:hAnsi="Arial"/>
                <w:sz w:val="18"/>
                <w:szCs w:val="18"/>
                <w:color w:val="auto"/>
              </w:rPr>
              <w:t>$    595</w:t>
            </w:r>
          </w:p>
        </w:tc>
        <w:tc>
          <w:tcPr>
            <w:tcW w:w="180" w:type="dxa"/>
            <w:vAlign w:val="bottom"/>
            <w:tcBorders>
              <w:bottom w:val="single" w:sz="8" w:color="FDE9D9"/>
            </w:tcBorders>
            <w:shd w:val="clear" w:color="auto" w:fill="FDE9D9"/>
          </w:tcPr>
          <w:p>
            <w:pPr>
              <w:spacing w:after="0"/>
              <w:rPr>
                <w:sz w:val="22"/>
                <w:szCs w:val="22"/>
                <w:color w:val="auto"/>
              </w:rPr>
            </w:pPr>
          </w:p>
        </w:tc>
        <w:tc>
          <w:tcPr>
            <w:tcW w:w="740" w:type="dxa"/>
            <w:vAlign w:val="bottom"/>
            <w:tcBorders>
              <w:bottom w:val="single" w:sz="8" w:color="auto"/>
            </w:tcBorders>
            <w:shd w:val="clear" w:color="auto" w:fill="FDE9D9"/>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w:t>
      </w:r>
    </w:p>
    <w:p>
      <w:pPr>
        <w:spacing w:after="0" w:line="239" w:lineRule="exact"/>
        <w:rPr>
          <w:sz w:val="20"/>
          <w:szCs w:val="20"/>
          <w:color w:val="auto"/>
        </w:rPr>
      </w:pPr>
    </w:p>
    <w:p>
      <w:pPr>
        <w:ind w:right="1279"/>
        <w:spacing w:after="0" w:line="235" w:lineRule="auto"/>
        <w:rPr>
          <w:sz w:val="20"/>
          <w:szCs w:val="20"/>
          <w:color w:val="auto"/>
        </w:rPr>
      </w:pPr>
      <w:r>
        <w:rPr>
          <w:rFonts w:ascii="Arial" w:cs="Arial" w:eastAsia="Arial" w:hAnsi="Arial"/>
          <w:sz w:val="22"/>
          <w:szCs w:val="22"/>
          <w:color w:val="auto"/>
        </w:rPr>
        <w:t>Revenue for the quarter ended March 31, 2011 (“2011 Q1”) increased by approximately 28% over the quarter ended March 31, 2010 (“2010 Q1”). The increase was caused by an overall increase in revenue from our professional, personal, premium and tabletop conferencing products in all major geographic regions due to the greater strength in the global economy and higher penetration of our products introduced last year. Revenue from NetStreams products did not change significantly and revenue from media carts declined.</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During 2011 Q1 and 2010 Q1, the net change in deferred revenue was net deferral of revenue of</w:t>
      </w:r>
    </w:p>
    <w:p>
      <w:pPr>
        <w:spacing w:after="0" w:line="20" w:lineRule="exact"/>
        <w:rPr>
          <w:sz w:val="20"/>
          <w:szCs w:val="20"/>
          <w:color w:val="auto"/>
        </w:rPr>
      </w:pPr>
    </w:p>
    <w:p>
      <w:pPr>
        <w:ind w:right="1259"/>
        <w:spacing w:after="0" w:line="234" w:lineRule="auto"/>
        <w:rPr>
          <w:sz w:val="20"/>
          <w:szCs w:val="20"/>
          <w:color w:val="auto"/>
        </w:rPr>
      </w:pPr>
      <w:r>
        <w:rPr>
          <w:rFonts w:ascii="Arial" w:cs="Arial" w:eastAsia="Arial" w:hAnsi="Arial"/>
          <w:sz w:val="22"/>
          <w:szCs w:val="22"/>
          <w:color w:val="auto"/>
        </w:rPr>
        <w:t>$258,000 and $129,000 respectively. See “Critical Accounting Policies and Estimates” under “Revenue and Associated Allowance for Revenue Adjustments and Doubtful Accounts” below for a detailed discussion of deferred revenue.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Costs of Goods Sold and Gross Profit</w:t>
      </w:r>
    </w:p>
    <w:p>
      <w:pPr>
        <w:spacing w:after="0" w:line="239" w:lineRule="exact"/>
        <w:rPr>
          <w:sz w:val="20"/>
          <w:szCs w:val="20"/>
          <w:color w:val="auto"/>
        </w:rPr>
      </w:pPr>
    </w:p>
    <w:p>
      <w:pPr>
        <w:ind w:right="1139"/>
        <w:spacing w:after="0" w:line="287" w:lineRule="auto"/>
        <w:rPr>
          <w:sz w:val="20"/>
          <w:szCs w:val="20"/>
          <w:color w:val="auto"/>
        </w:rPr>
      </w:pPr>
      <w:r>
        <w:rPr>
          <w:rFonts w:ascii="Arial" w:cs="Arial" w:eastAsia="Arial" w:hAnsi="Arial"/>
          <w:sz w:val="19"/>
          <w:szCs w:val="19"/>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70" w:lineRule="exact"/>
        <w:rPr>
          <w:sz w:val="20"/>
          <w:szCs w:val="20"/>
          <w:color w:val="auto"/>
        </w:rPr>
      </w:pPr>
    </w:p>
    <w:p>
      <w:pPr>
        <w:jc w:val="both"/>
        <w:ind w:right="1339"/>
        <w:spacing w:after="0" w:line="238" w:lineRule="auto"/>
        <w:rPr>
          <w:sz w:val="20"/>
          <w:szCs w:val="20"/>
          <w:color w:val="auto"/>
        </w:rPr>
      </w:pPr>
      <w:r>
        <w:rPr>
          <w:rFonts w:ascii="Arial" w:cs="Arial" w:eastAsia="Arial" w:hAnsi="Arial"/>
          <w:sz w:val="22"/>
          <w:szCs w:val="22"/>
          <w:color w:val="auto"/>
        </w:rPr>
        <w:t>Our gross profit margin (GPM), which is gross profit as a percentage of revenue, was 59% and 62% in 2011 Q1 and 2010 Q1, respectively. The decline in GPM in 2011 was primarily due to the increase in proportion of low margin products in the mix of products sold and a modest increase in raw materials prices.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Operating Expenses</w:t>
      </w:r>
    </w:p>
    <w:p>
      <w:pPr>
        <w:spacing w:after="0" w:line="239" w:lineRule="exact"/>
        <w:rPr>
          <w:sz w:val="20"/>
          <w:szCs w:val="20"/>
          <w:color w:val="auto"/>
        </w:rPr>
      </w:pPr>
    </w:p>
    <w:p>
      <w:pPr>
        <w:ind w:right="1399"/>
        <w:spacing w:after="0" w:line="274" w:lineRule="auto"/>
        <w:rPr>
          <w:sz w:val="20"/>
          <w:szCs w:val="20"/>
          <w:color w:val="auto"/>
        </w:rPr>
      </w:pPr>
      <w:r>
        <w:rPr>
          <w:rFonts w:ascii="Arial" w:cs="Arial" w:eastAsia="Arial" w:hAnsi="Arial"/>
          <w:sz w:val="21"/>
          <w:szCs w:val="21"/>
          <w:color w:val="auto"/>
        </w:rPr>
        <w:t>2011 Q1 operating expenses were approximately $5.1 million, an increase of approximately $354,000 from $4.7 million in 2010 Q1 or an increase of 7% over 2010 Q1 expenses.</w:t>
      </w:r>
    </w:p>
    <w:p>
      <w:pPr>
        <w:spacing w:after="0" w:line="178" w:lineRule="exact"/>
        <w:rPr>
          <w:sz w:val="20"/>
          <w:szCs w:val="20"/>
          <w:color w:val="auto"/>
        </w:rPr>
      </w:pPr>
    </w:p>
    <w:p>
      <w:pPr>
        <w:ind w:right="1259"/>
        <w:spacing w:after="0"/>
        <w:rPr>
          <w:sz w:val="20"/>
          <w:szCs w:val="20"/>
          <w:color w:val="auto"/>
        </w:rPr>
      </w:pPr>
      <w:r>
        <w:rPr>
          <w:rFonts w:ascii="Arial" w:cs="Arial" w:eastAsia="Arial" w:hAnsi="Arial"/>
          <w:sz w:val="22"/>
          <w:szCs w:val="22"/>
          <w:i w:val="1"/>
          <w:iCs w:val="1"/>
          <w:color w:val="auto"/>
        </w:rPr>
        <w:t xml:space="preserve">Sales and Marketing (“S&amp;M”) Expenses. </w:t>
      </w:r>
      <w:r>
        <w:rPr>
          <w:rFonts w:ascii="Arial" w:cs="Arial" w:eastAsia="Arial" w:hAnsi="Arial"/>
          <w:sz w:val="22"/>
          <w:szCs w:val="22"/>
          <w:color w:val="auto"/>
        </w:rPr>
        <w:t>S&amp;M expenses include selling, customer service, and</w:t>
      </w:r>
      <w:r>
        <w:rPr>
          <w:rFonts w:ascii="Arial" w:cs="Arial" w:eastAsia="Arial" w:hAnsi="Arial"/>
          <w:sz w:val="22"/>
          <w:szCs w:val="22"/>
          <w:i w:val="1"/>
          <w:iCs w:val="1"/>
          <w:color w:val="auto"/>
        </w:rPr>
        <w:t xml:space="preserve"> </w:t>
      </w:r>
      <w:r>
        <w:rPr>
          <w:rFonts w:ascii="Arial" w:cs="Arial" w:eastAsia="Arial" w:hAnsi="Arial"/>
          <w:sz w:val="22"/>
          <w:szCs w:val="22"/>
          <w:color w:val="auto"/>
        </w:rPr>
        <w:t>marketing expenses such as employee-related costs, allocations of overhead expenses, trade shows, and other advertising and selling expenses.</w:t>
      </w:r>
    </w:p>
    <w:p>
      <w:pPr>
        <w:spacing w:after="0" w:line="213" w:lineRule="exact"/>
        <w:rPr>
          <w:sz w:val="20"/>
          <w:szCs w:val="20"/>
          <w:color w:val="auto"/>
        </w:rPr>
      </w:pPr>
    </w:p>
    <w:p>
      <w:pPr>
        <w:ind w:right="1139"/>
        <w:spacing w:after="0" w:line="238" w:lineRule="auto"/>
        <w:rPr>
          <w:sz w:val="20"/>
          <w:szCs w:val="20"/>
          <w:color w:val="auto"/>
        </w:rPr>
      </w:pPr>
      <w:r>
        <w:rPr>
          <w:rFonts w:ascii="Arial" w:cs="Arial" w:eastAsia="Arial" w:hAnsi="Arial"/>
          <w:sz w:val="22"/>
          <w:szCs w:val="22"/>
          <w:color w:val="auto"/>
        </w:rPr>
        <w:t>S&amp;M expenses during 2011 Q1 increased by approximately $81,000, or 4% when compared to 2010 Q1. The increase in S&amp;M expenses during 2011 Q1 was primarily due to an increase in commissions on sales, marketing expenses and consulting fees, partially offset by a decrease in our S&amp;M headcount, and reallocation of an officer’s compensation to G&amp;A.</w:t>
      </w:r>
    </w:p>
    <w:p>
      <w:pPr>
        <w:spacing w:after="0" w:line="212" w:lineRule="exact"/>
        <w:rPr>
          <w:sz w:val="20"/>
          <w:szCs w:val="20"/>
          <w:color w:val="auto"/>
        </w:rPr>
      </w:pPr>
    </w:p>
    <w:p>
      <w:pPr>
        <w:ind w:right="1259"/>
        <w:spacing w:after="0"/>
        <w:rPr>
          <w:sz w:val="20"/>
          <w:szCs w:val="20"/>
          <w:color w:val="auto"/>
        </w:rPr>
      </w:pPr>
      <w:r>
        <w:rPr>
          <w:rFonts w:ascii="Arial" w:cs="Arial" w:eastAsia="Arial" w:hAnsi="Arial"/>
          <w:sz w:val="22"/>
          <w:szCs w:val="22"/>
          <w:i w:val="1"/>
          <w:iCs w:val="1"/>
          <w:color w:val="auto"/>
        </w:rPr>
        <w:t xml:space="preserve">Research and Development (“R&amp;D”) Expenses. </w:t>
      </w:r>
      <w:r>
        <w:rPr>
          <w:rFonts w:ascii="Arial" w:cs="Arial" w:eastAsia="Arial" w:hAnsi="Arial"/>
          <w:sz w:val="22"/>
          <w:szCs w:val="22"/>
          <w:color w:val="auto"/>
        </w:rPr>
        <w:t>R&amp;D expenses include research and development and</w:t>
      </w:r>
      <w:r>
        <w:rPr>
          <w:rFonts w:ascii="Arial" w:cs="Arial" w:eastAsia="Arial" w:hAnsi="Arial"/>
          <w:sz w:val="22"/>
          <w:szCs w:val="22"/>
          <w:i w:val="1"/>
          <w:iCs w:val="1"/>
          <w:color w:val="auto"/>
        </w:rPr>
        <w:t xml:space="preserve"> </w:t>
      </w:r>
      <w:r>
        <w:rPr>
          <w:rFonts w:ascii="Arial" w:cs="Arial" w:eastAsia="Arial" w:hAnsi="Arial"/>
          <w:sz w:val="22"/>
          <w:szCs w:val="22"/>
          <w:color w:val="auto"/>
        </w:rPr>
        <w:t>product line management, including employee-related costs, outside services, expensed materials and depreciation, and an allocation of overhead expenses.</w:t>
      </w:r>
    </w:p>
    <w:p>
      <w:pPr>
        <w:sectPr>
          <w:pgSz w:w="11900" w:h="16838" w:orient="portrait"/>
          <w:cols w:equalWidth="0" w:num="1">
            <w:col w:w="10219"/>
          </w:cols>
          <w:pgMar w:left="240" w:top="1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9</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576326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20" w:right="1440" w:bottom="1440" w:gutter="0" w:footer="0" w:header="0"/>
          <w:type w:val="continuous"/>
        </w:sectPr>
      </w:pPr>
    </w:p>
    <w:bookmarkStart w:id="12" w:name="page13"/>
    <w:bookmarkEnd w:id="12"/>
    <w:p>
      <w:pPr>
        <w:jc w:val="center"/>
        <w:ind w:right="11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jc w:val="both"/>
        <w:ind w:right="1219"/>
        <w:spacing w:after="0" w:line="297" w:lineRule="auto"/>
        <w:rPr>
          <w:sz w:val="20"/>
          <w:szCs w:val="20"/>
          <w:color w:val="auto"/>
        </w:rPr>
      </w:pPr>
      <w:r>
        <w:rPr>
          <w:rFonts w:ascii="Arial" w:cs="Arial" w:eastAsia="Arial" w:hAnsi="Arial"/>
          <w:sz w:val="19"/>
          <w:szCs w:val="19"/>
          <w:color w:val="auto"/>
        </w:rPr>
        <w:t>R&amp;D expenses during 2011 Q1 decreased by $267,000 or 14% compared to expenses during 2010 Q1. The decreases were primarily due to reallocation of an officer’s compensation to G&amp;A, reduction in our R&amp;D headcount, and a reduction in facilities and information technology charges.</w:t>
      </w:r>
    </w:p>
    <w:p>
      <w:pPr>
        <w:spacing w:after="0" w:line="161" w:lineRule="exact"/>
        <w:rPr>
          <w:sz w:val="20"/>
          <w:szCs w:val="20"/>
          <w:color w:val="auto"/>
        </w:rPr>
      </w:pPr>
    </w:p>
    <w:p>
      <w:pPr>
        <w:ind w:right="1179"/>
        <w:spacing w:after="0" w:line="258" w:lineRule="auto"/>
        <w:rPr>
          <w:sz w:val="20"/>
          <w:szCs w:val="20"/>
          <w:color w:val="auto"/>
        </w:rPr>
      </w:pPr>
      <w:r>
        <w:rPr>
          <w:rFonts w:ascii="Arial" w:cs="Arial" w:eastAsia="Arial" w:hAnsi="Arial"/>
          <w:sz w:val="21"/>
          <w:szCs w:val="21"/>
          <w:i w:val="1"/>
          <w:iCs w:val="1"/>
          <w:color w:val="auto"/>
        </w:rPr>
        <w:t xml:space="preserve">General and Administrative (“G&amp;A”) Expenses. </w:t>
      </w:r>
      <w:r>
        <w:rPr>
          <w:rFonts w:ascii="Arial" w:cs="Arial" w:eastAsia="Arial" w:hAnsi="Arial"/>
          <w:sz w:val="21"/>
          <w:szCs w:val="21"/>
          <w:color w:val="auto"/>
        </w:rPr>
        <w:t>G&amp;A expenses include employee-related costs,</w:t>
      </w:r>
      <w:r>
        <w:rPr>
          <w:rFonts w:ascii="Arial" w:cs="Arial" w:eastAsia="Arial" w:hAnsi="Arial"/>
          <w:sz w:val="21"/>
          <w:szCs w:val="21"/>
          <w:i w:val="1"/>
          <w:iCs w:val="1"/>
          <w:color w:val="auto"/>
        </w:rPr>
        <w:t xml:space="preserve"> </w:t>
      </w:r>
      <w:r>
        <w:rPr>
          <w:rFonts w:ascii="Arial" w:cs="Arial" w:eastAsia="Arial" w:hAnsi="Arial"/>
          <w:sz w:val="21"/>
          <w:szCs w:val="21"/>
          <w:color w:val="auto"/>
        </w:rPr>
        <w:t>professional service fees, allocations of overhead expenses, litigation costs, and corporate administrative costs, including finance, information technology and human resources.</w:t>
      </w:r>
    </w:p>
    <w:p>
      <w:pPr>
        <w:spacing w:after="0" w:line="194" w:lineRule="exact"/>
        <w:rPr>
          <w:sz w:val="20"/>
          <w:szCs w:val="20"/>
          <w:color w:val="auto"/>
        </w:rPr>
      </w:pPr>
    </w:p>
    <w:p>
      <w:pPr>
        <w:ind w:right="1259"/>
        <w:spacing w:after="0" w:line="238" w:lineRule="auto"/>
        <w:rPr>
          <w:sz w:val="20"/>
          <w:szCs w:val="20"/>
          <w:color w:val="auto"/>
        </w:rPr>
      </w:pPr>
      <w:r>
        <w:rPr>
          <w:rFonts w:ascii="Arial" w:cs="Arial" w:eastAsia="Arial" w:hAnsi="Arial"/>
          <w:sz w:val="22"/>
          <w:szCs w:val="22"/>
          <w:color w:val="auto"/>
        </w:rPr>
        <w:t>G&amp;A expenses during 2011 Q1 increased by $540,000 when compared to expenses in 2010 Q1. The increase was primarily due to reallocation of officers’ compensation to G&amp;A, an increase in legal expenses, an increase in executive bonus, and an increase in audit fees, partially offset by a reduction in bad debts expense.</w:t>
      </w:r>
    </w:p>
    <w:p>
      <w:pPr>
        <w:spacing w:after="0" w:line="212" w:lineRule="exact"/>
        <w:rPr>
          <w:sz w:val="20"/>
          <w:szCs w:val="20"/>
          <w:color w:val="auto"/>
        </w:rPr>
      </w:pPr>
    </w:p>
    <w:p>
      <w:pPr>
        <w:ind w:right="1639"/>
        <w:spacing w:after="0" w:line="251" w:lineRule="auto"/>
        <w:rPr>
          <w:sz w:val="20"/>
          <w:szCs w:val="20"/>
          <w:color w:val="auto"/>
        </w:rPr>
      </w:pPr>
      <w:r>
        <w:rPr>
          <w:rFonts w:ascii="Arial" w:cs="Arial" w:eastAsia="Arial" w:hAnsi="Arial"/>
          <w:sz w:val="22"/>
          <w:szCs w:val="22"/>
          <w:color w:val="auto"/>
        </w:rPr>
        <w:t>We continue to incur high legal expenses due to litigation to protect our intellectual property and to defend ourselves from indemnification claims made by former officers.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income (expense), net</w:t>
      </w:r>
    </w:p>
    <w:p>
      <w:pPr>
        <w:spacing w:after="0" w:line="14" w:lineRule="exact"/>
        <w:rPr>
          <w:sz w:val="20"/>
          <w:szCs w:val="20"/>
          <w:color w:val="auto"/>
        </w:rPr>
      </w:pPr>
    </w:p>
    <w:p>
      <w:pPr>
        <w:ind w:right="1459"/>
        <w:spacing w:after="0" w:line="237" w:lineRule="auto"/>
        <w:rPr>
          <w:sz w:val="20"/>
          <w:szCs w:val="20"/>
          <w:color w:val="auto"/>
        </w:rPr>
      </w:pPr>
      <w:r>
        <w:rPr>
          <w:rFonts w:ascii="Arial" w:cs="Arial" w:eastAsia="Arial" w:hAnsi="Arial"/>
          <w:sz w:val="22"/>
          <w:szCs w:val="22"/>
          <w:color w:val="auto"/>
        </w:rPr>
        <w:t>Other income (expense), net, includes interest income, interest expense, gain (loss) on the disposal of assets, and currency gain (loss).</w:t>
      </w:r>
    </w:p>
    <w:p>
      <w:pPr>
        <w:spacing w:after="0" w:line="212" w:lineRule="exact"/>
        <w:rPr>
          <w:sz w:val="20"/>
          <w:szCs w:val="20"/>
          <w:color w:val="auto"/>
        </w:rPr>
      </w:pPr>
    </w:p>
    <w:p>
      <w:pPr>
        <w:jc w:val="both"/>
        <w:ind w:right="1339"/>
        <w:spacing w:after="0"/>
        <w:rPr>
          <w:sz w:val="20"/>
          <w:szCs w:val="20"/>
          <w:color w:val="auto"/>
        </w:rPr>
      </w:pPr>
      <w:r>
        <w:rPr>
          <w:rFonts w:ascii="Arial" w:cs="Arial" w:eastAsia="Arial" w:hAnsi="Arial"/>
          <w:sz w:val="22"/>
          <w:szCs w:val="22"/>
          <w:color w:val="auto"/>
        </w:rPr>
        <w:t>Other expense, net during 2010 Q1 included a loss of approximately $111,000 incurred on disposal of fixed assets and interest expense of approximately $51,000 contributing to the variance between other income, net in 2011 Q1 and other expense, net in 2010 Q1.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Provision for income taxes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Provision for income taxes during 2011 Q1 and 2010 Q1 were $409,000 and $108,000 respectively.</w:t>
      </w:r>
    </w:p>
    <w:p>
      <w:pPr>
        <w:spacing w:after="0" w:line="250" w:lineRule="exact"/>
        <w:rPr>
          <w:sz w:val="20"/>
          <w:szCs w:val="20"/>
          <w:color w:val="auto"/>
        </w:rPr>
      </w:pPr>
    </w:p>
    <w:p>
      <w:pPr>
        <w:ind w:right="1279"/>
        <w:spacing w:after="0"/>
        <w:rPr>
          <w:sz w:val="20"/>
          <w:szCs w:val="20"/>
          <w:color w:val="auto"/>
        </w:rPr>
      </w:pPr>
      <w:r>
        <w:rPr>
          <w:rFonts w:ascii="Arial" w:cs="Arial" w:eastAsia="Arial" w:hAnsi="Arial"/>
          <w:sz w:val="22"/>
          <w:szCs w:val="22"/>
          <w:color w:val="auto"/>
        </w:rPr>
        <w:t>Income taxes are based on the estimated effective federal, state and foreign income tax rates. Our effective tax rates for 2011 Q1 were higher than 2010 Q1 due to an increase in our projected state taxes and an increase in our unrecognized income tax benefits.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right="1259"/>
        <w:spacing w:after="0"/>
        <w:rPr>
          <w:sz w:val="20"/>
          <w:szCs w:val="20"/>
          <w:color w:val="auto"/>
        </w:rPr>
      </w:pPr>
      <w:r>
        <w:rPr>
          <w:rFonts w:ascii="Arial" w:cs="Arial" w:eastAsia="Arial" w:hAnsi="Arial"/>
          <w:sz w:val="22"/>
          <w:szCs w:val="22"/>
          <w:color w:val="auto"/>
        </w:rPr>
        <w:t>As of March 31, 2011, our cash and cash equivalents were approximately $13.5 million, an increase of $2.0 million compared to cash and cash equivalents of approximately $11.4 million as of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Net cash provided by operating activities was $2.2 million in 2011 Q1; an increase of approximately</w:t>
      </w:r>
    </w:p>
    <w:p>
      <w:pPr>
        <w:spacing w:after="0" w:line="43" w:lineRule="exact"/>
        <w:rPr>
          <w:sz w:val="20"/>
          <w:szCs w:val="20"/>
          <w:color w:val="auto"/>
        </w:rPr>
      </w:pPr>
    </w:p>
    <w:p>
      <w:pPr>
        <w:ind w:right="1219"/>
        <w:spacing w:after="0" w:line="234" w:lineRule="auto"/>
        <w:rPr>
          <w:sz w:val="20"/>
          <w:szCs w:val="20"/>
          <w:color w:val="auto"/>
        </w:rPr>
      </w:pPr>
      <w:r>
        <w:rPr>
          <w:rFonts w:ascii="Arial" w:cs="Arial" w:eastAsia="Arial" w:hAnsi="Arial"/>
          <w:sz w:val="22"/>
          <w:szCs w:val="22"/>
          <w:color w:val="auto"/>
        </w:rPr>
        <w:t>$450,000 from 2010 Q1. The increase was primarily due to increased profits and realization of accounts receivable partially offset by increases in inventory and the payment of a portion of accrued legal expenses.</w:t>
      </w:r>
    </w:p>
    <w:p>
      <w:pPr>
        <w:spacing w:after="0" w:line="214" w:lineRule="exact"/>
        <w:rPr>
          <w:sz w:val="20"/>
          <w:szCs w:val="20"/>
          <w:color w:val="auto"/>
        </w:rPr>
      </w:pPr>
    </w:p>
    <w:p>
      <w:pPr>
        <w:ind w:right="1219"/>
        <w:spacing w:after="0" w:line="238" w:lineRule="auto"/>
        <w:rPr>
          <w:sz w:val="20"/>
          <w:szCs w:val="20"/>
          <w:color w:val="auto"/>
        </w:rPr>
      </w:pPr>
      <w:r>
        <w:rPr>
          <w:rFonts w:ascii="Arial" w:cs="Arial" w:eastAsia="Arial" w:hAnsi="Arial"/>
          <w:sz w:val="22"/>
          <w:szCs w:val="22"/>
          <w:color w:val="auto"/>
        </w:rPr>
        <w:t>Net cash used in investing activities in 2011 Q1 was approximately$175,000, which consisted of purchases of equipment. Net cash provided by investing activities in 2010 Q1 consisted of a receipt of $350,000 towards the final working capital adjustment from the sellers of NetStreams, Inc. offset by the purchase of equipment of approximately $165,000.</w:t>
      </w:r>
    </w:p>
    <w:p>
      <w:pPr>
        <w:spacing w:after="0" w:line="212" w:lineRule="exact"/>
        <w:rPr>
          <w:sz w:val="20"/>
          <w:szCs w:val="20"/>
          <w:color w:val="auto"/>
        </w:rPr>
      </w:pPr>
    </w:p>
    <w:p>
      <w:pPr>
        <w:ind w:right="1259"/>
        <w:spacing w:after="0" w:line="238" w:lineRule="auto"/>
        <w:rPr>
          <w:sz w:val="20"/>
          <w:szCs w:val="20"/>
          <w:color w:val="auto"/>
        </w:rPr>
      </w:pPr>
      <w:r>
        <w:rPr>
          <w:rFonts w:ascii="Arial" w:cs="Arial" w:eastAsia="Arial" w:hAnsi="Arial"/>
          <w:sz w:val="22"/>
          <w:szCs w:val="22"/>
          <w:color w:val="auto"/>
        </w:rPr>
        <w:t>Net cash provided by financing activities during 2011 Q1 was approximately $21,000, consisting of proceeds received from issuance of stock upon exercise of stock options. During 2010 Q1 $2 million of debt assumed in the acquisition of NetStreams was fully paid, representing the cash used in financing activities for such period.</w:t>
      </w:r>
    </w:p>
    <w:p>
      <w:pPr>
        <w:spacing w:after="0" w:line="212"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color w:val="auto"/>
        </w:rPr>
        <w:t>In May 2011, we terminated the Joinder to the Loan and Security Agreement with Square 1 Bank (the “Bank”), and the related the Loan and Security Agreement dated November 12, 2008, as amended (the “Loan Agreement”), by and between the Bank, and NetStreams, Inc. and NetStreams, LLC (collectively, “NetStreams”), under which we were named as an additional borrower. We had previously repaid the $2,000,000 liability of NetStreams under the Loan Agreement in March 2010. In connection with the termination, we repaid all remaining outstanding obligations, which consisted solely of the Bank’s expenses in connection with the restructuring of the loan facility and amending and restating the Loan Agreement, and termination of all security interests and liens held by the Bank under the Loan Agreement. In connection with our repayment of the remaining outstanding obligations, all of our indebtedness and obligations to the Bank were discharged in full and the Bank will terminate all security interests and other liens held as security under the Loan Agreement.</w:t>
      </w:r>
    </w:p>
    <w:p>
      <w:pPr>
        <w:sectPr>
          <w:pgSz w:w="11900" w:h="16838" w:orient="portrait"/>
          <w:cols w:equalWidth="0" w:num="1">
            <w:col w:w="10219"/>
          </w:cols>
          <w:pgMar w:left="240" w:top="112" w:right="1440" w:bottom="92" w:gutter="0" w:footer="0" w:header="0"/>
        </w:sectPr>
      </w:pPr>
    </w:p>
    <w:bookmarkStart w:id="13" w:name="page14"/>
    <w:bookmarkEnd w:id="13"/>
    <w:p>
      <w:pPr>
        <w:ind w:left="32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274320</wp:posOffset>
            </wp:positionV>
            <wp:extent cx="576326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4" w:name="page15"/>
    <w:bookmarkEnd w:id="14"/>
    <w:p>
      <w:pPr>
        <w:spacing w:after="0" w:line="81"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1919"/>
        <w:spacing w:after="0" w:line="251" w:lineRule="auto"/>
        <w:rPr>
          <w:sz w:val="20"/>
          <w:szCs w:val="20"/>
          <w:color w:val="auto"/>
        </w:rPr>
      </w:pPr>
      <w:r>
        <w:rPr>
          <w:rFonts w:ascii="Arial" w:cs="Arial" w:eastAsia="Arial" w:hAnsi="Arial"/>
          <w:sz w:val="22"/>
          <w:szCs w:val="22"/>
          <w:color w:val="auto"/>
        </w:rPr>
        <w:t>As of March 31, 2011 our working capital was $24.3 million as compared to $22.8 million as of December 31, 2010.</w:t>
      </w:r>
    </w:p>
    <w:p>
      <w:pPr>
        <w:spacing w:after="0" w:line="200" w:lineRule="exact"/>
        <w:rPr>
          <w:sz w:val="20"/>
          <w:szCs w:val="20"/>
          <w:color w:val="auto"/>
        </w:rPr>
      </w:pPr>
    </w:p>
    <w:p>
      <w:pPr>
        <w:ind w:right="1239"/>
        <w:spacing w:after="0" w:line="273" w:lineRule="auto"/>
        <w:rPr>
          <w:sz w:val="20"/>
          <w:szCs w:val="20"/>
          <w:color w:val="auto"/>
        </w:rPr>
      </w:pPr>
      <w:r>
        <w:rPr>
          <w:rFonts w:ascii="Arial" w:cs="Arial" w:eastAsia="Arial" w:hAnsi="Arial"/>
          <w:sz w:val="19"/>
          <w:szCs w:val="19"/>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in the near future for selective investments in technological, marketing or product manufacturing capabilities to broaden our product offerings, and acquisitions that may strategically fit our business and are accretive to our business performance. However, no assurance can be given that changes will not occur that would consume available capital resources at a rate more rapidly than anticipated and we may need or want to raise additional capital through debt or equity financing to fund our operations within this period of time.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1199"/>
        <w:spacing w:after="0" w:line="274" w:lineRule="auto"/>
        <w:rPr>
          <w:sz w:val="20"/>
          <w:szCs w:val="20"/>
          <w:color w:val="auto"/>
        </w:rPr>
      </w:pPr>
      <w:r>
        <w:rPr>
          <w:rFonts w:ascii="Arial" w:cs="Arial" w:eastAsia="Arial" w:hAnsi="Arial"/>
          <w:sz w:val="19"/>
          <w:szCs w:val="19"/>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86" w:lineRule="exact"/>
        <w:rPr>
          <w:sz w:val="20"/>
          <w:szCs w:val="20"/>
          <w:color w:val="auto"/>
        </w:rPr>
      </w:pPr>
    </w:p>
    <w:p>
      <w:pPr>
        <w:ind w:right="1159"/>
        <w:spacing w:after="0" w:line="248" w:lineRule="auto"/>
        <w:rPr>
          <w:sz w:val="20"/>
          <w:szCs w:val="20"/>
          <w:color w:val="auto"/>
        </w:rPr>
      </w:pPr>
      <w:r>
        <w:rPr>
          <w:rFonts w:ascii="Arial" w:cs="Arial" w:eastAsia="Arial" w:hAnsi="Arial"/>
          <w:sz w:val="21"/>
          <w:szCs w:val="21"/>
          <w:color w:val="auto"/>
        </w:rPr>
        <w:t>Our significant accounting policies are described in Note 2 to the Notes to the Consolidated Financial Statements included in our Annual Report on Form 10-K for the year ended December 31, 2010.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and Associated Allowances for Revenue Adjustments and Doubtful Accounts</w:t>
      </w:r>
    </w:p>
    <w:p>
      <w:pPr>
        <w:spacing w:after="0" w:line="251" w:lineRule="exact"/>
        <w:rPr>
          <w:sz w:val="20"/>
          <w:szCs w:val="20"/>
          <w:color w:val="auto"/>
        </w:rPr>
      </w:pPr>
    </w:p>
    <w:p>
      <w:pPr>
        <w:ind w:right="1159"/>
        <w:spacing w:after="0" w:line="238" w:lineRule="auto"/>
        <w:rPr>
          <w:sz w:val="20"/>
          <w:szCs w:val="20"/>
          <w:color w:val="auto"/>
        </w:rPr>
      </w:pPr>
      <w:r>
        <w:rPr>
          <w:rFonts w:ascii="Arial" w:cs="Arial" w:eastAsia="Arial" w:hAnsi="Arial"/>
          <w:sz w:val="22"/>
          <w:szCs w:val="22"/>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12" w:lineRule="exact"/>
        <w:rPr>
          <w:sz w:val="20"/>
          <w:szCs w:val="20"/>
          <w:color w:val="auto"/>
        </w:rPr>
      </w:pPr>
    </w:p>
    <w:p>
      <w:pPr>
        <w:ind w:right="1159"/>
        <w:spacing w:after="0" w:line="274" w:lineRule="auto"/>
        <w:rPr>
          <w:sz w:val="20"/>
          <w:szCs w:val="20"/>
          <w:color w:val="auto"/>
        </w:rPr>
      </w:pPr>
      <w:r>
        <w:rPr>
          <w:rFonts w:ascii="Arial" w:cs="Arial" w:eastAsia="Arial" w:hAnsi="Arial"/>
          <w:sz w:val="19"/>
          <w:szCs w:val="19"/>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as described below. In a small number of cases, the distributors are also permitted to return the products for other business reasons.</w:t>
      </w:r>
    </w:p>
    <w:p>
      <w:pPr>
        <w:spacing w:after="0" w:line="200" w:lineRule="exact"/>
        <w:rPr>
          <w:sz w:val="20"/>
          <w:szCs w:val="20"/>
          <w:color w:val="auto"/>
        </w:rPr>
      </w:pPr>
    </w:p>
    <w:p>
      <w:pPr>
        <w:spacing w:after="0" w:line="229" w:lineRule="exact"/>
        <w:rPr>
          <w:sz w:val="20"/>
          <w:szCs w:val="20"/>
          <w:color w:val="auto"/>
        </w:rPr>
      </w:pPr>
    </w:p>
    <w:p>
      <w:pPr>
        <w:ind w:right="1179"/>
        <w:spacing w:after="0" w:line="273" w:lineRule="auto"/>
        <w:rPr>
          <w:sz w:val="20"/>
          <w:szCs w:val="20"/>
          <w:color w:val="auto"/>
        </w:rPr>
      </w:pPr>
      <w:r>
        <w:rPr>
          <w:rFonts w:ascii="Arial" w:cs="Arial" w:eastAsia="Arial" w:hAnsi="Arial"/>
          <w:sz w:val="19"/>
          <w:szCs w:val="19"/>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of revenue and associated cost of goods sold is calculated and recorded based upon the actual channel inventory reported at quarter-end. Further, with respect to distributors and other channel partners not reporting channel inventory, the revenue and associated cost of goods sold are deferred until we receive payment for the product sales made to such distributors or channel partners.</w:t>
      </w:r>
    </w:p>
    <w:p>
      <w:pPr>
        <w:spacing w:after="0" w:line="183" w:lineRule="exact"/>
        <w:rPr>
          <w:sz w:val="20"/>
          <w:szCs w:val="20"/>
          <w:color w:val="auto"/>
        </w:rPr>
      </w:pPr>
    </w:p>
    <w:p>
      <w:pPr>
        <w:ind w:right="1179"/>
        <w:spacing w:after="0" w:line="328" w:lineRule="auto"/>
        <w:rPr>
          <w:sz w:val="20"/>
          <w:szCs w:val="20"/>
          <w:color w:val="auto"/>
        </w:rPr>
      </w:pPr>
      <w:r>
        <w:rPr>
          <w:rFonts w:ascii="Arial" w:cs="Arial" w:eastAsia="Arial" w:hAnsi="Arial"/>
          <w:sz w:val="19"/>
          <w:szCs w:val="19"/>
          <w:color w:val="auto"/>
        </w:rPr>
        <w:t>The accuracy of the deferred revenue and costs depend to a large extent on the accuracy of the inventory reports provided by our distributors and other resellers and any material error in those reports would</w:t>
      </w:r>
    </w:p>
    <w:p>
      <w:pPr>
        <w:sectPr>
          <w:pgSz w:w="11900" w:h="16919" w:orient="portrait"/>
          <w:cols w:equalWidth="0" w:num="1">
            <w:col w:w="10219"/>
          </w:cols>
          <w:pgMar w:left="240" w:top="112" w:right="1440" w:bottom="0" w:gutter="0" w:footer="0" w:header="0"/>
        </w:sectPr>
      </w:pPr>
    </w:p>
    <w:bookmarkStart w:id="15" w:name="page16"/>
    <w:bookmarkEnd w:id="15"/>
    <w:p>
      <w:pPr>
        <w:jc w:val="both"/>
        <w:ind w:right="1299"/>
        <w:spacing w:after="0" w:line="241" w:lineRule="auto"/>
        <w:rPr>
          <w:sz w:val="20"/>
          <w:szCs w:val="20"/>
          <w:color w:val="auto"/>
        </w:rPr>
      </w:pPr>
      <w:r>
        <w:rPr>
          <w:rFonts w:ascii="Arial" w:cs="Arial" w:eastAsia="Arial" w:hAnsi="Arial"/>
          <w:sz w:val="22"/>
          <w:szCs w:val="22"/>
          <w:color w:val="auto"/>
        </w:rPr>
        <w:t>affect our revenue deferral. However, we believe that the controls we have in place including periodic physical inventory verifications and analytical reviews would help us identify and prevent any material errors in such reports.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76326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6" w:name="page17"/>
    <w:bookmarkEnd w:id="16"/>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79" w:lineRule="exact"/>
        <w:rPr>
          <w:sz w:val="20"/>
          <w:szCs w:val="20"/>
          <w:color w:val="auto"/>
        </w:rPr>
      </w:pPr>
    </w:p>
    <w:p>
      <w:pPr>
        <w:ind w:right="1359"/>
        <w:spacing w:after="0" w:line="251" w:lineRule="auto"/>
        <w:rPr>
          <w:sz w:val="20"/>
          <w:szCs w:val="20"/>
          <w:color w:val="auto"/>
        </w:rPr>
      </w:pPr>
      <w:r>
        <w:rPr>
          <w:rFonts w:ascii="Arial" w:cs="Arial" w:eastAsia="Arial" w:hAnsi="Arial"/>
          <w:sz w:val="22"/>
          <w:szCs w:val="22"/>
          <w:color w:val="auto"/>
        </w:rPr>
        <w:t>The amounts of deferred cost of goods sold were included in consigned inventory. The following table details the amount of deferred revenue, cost of goods sold, and gross profit: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4"/>
              </w:rPr>
              <w:t>March 31, 2011</w:t>
            </w:r>
          </w:p>
        </w:tc>
        <w:tc>
          <w:tcPr>
            <w:tcW w:w="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6"/>
                <w:szCs w:val="16"/>
                <w:b w:val="1"/>
                <w:bCs w:val="1"/>
                <w:color w:val="auto"/>
              </w:rPr>
              <w:t>December 31, 2010</w:t>
            </w:r>
          </w:p>
        </w:tc>
      </w:tr>
      <w:tr>
        <w:trPr>
          <w:trHeight w:val="226"/>
        </w:trPr>
        <w:tc>
          <w:tcPr>
            <w:tcW w:w="3160" w:type="dxa"/>
            <w:vAlign w:val="bottom"/>
            <w:shd w:val="clear" w:color="auto" w:fill="FDE9D9"/>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FDE9D9"/>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FDE9D9"/>
          </w:tcPr>
          <w:p>
            <w:pPr>
              <w:jc w:val="right"/>
              <w:ind w:right="72"/>
              <w:spacing w:after="0"/>
              <w:rPr>
                <w:sz w:val="20"/>
                <w:szCs w:val="20"/>
                <w:color w:val="auto"/>
              </w:rPr>
            </w:pPr>
            <w:r>
              <w:rPr>
                <w:rFonts w:ascii="Arial" w:cs="Arial" w:eastAsia="Arial" w:hAnsi="Arial"/>
                <w:sz w:val="18"/>
                <w:szCs w:val="18"/>
                <w:color w:val="auto"/>
              </w:rPr>
              <w:t>4,564</w:t>
            </w:r>
          </w:p>
        </w:tc>
        <w:tc>
          <w:tcPr>
            <w:tcW w:w="940" w:type="dxa"/>
            <w:vAlign w:val="bottom"/>
            <w:gridSpan w:val="3"/>
            <w:shd w:val="clear" w:color="auto" w:fill="FDE9D9"/>
          </w:tcPr>
          <w:p>
            <w:pPr>
              <w:jc w:val="right"/>
              <w:ind w:right="294"/>
              <w:spacing w:after="0"/>
              <w:rPr>
                <w:sz w:val="20"/>
                <w:szCs w:val="20"/>
                <w:color w:val="auto"/>
              </w:rPr>
            </w:pPr>
            <w:r>
              <w:rPr>
                <w:rFonts w:ascii="Arial" w:cs="Arial" w:eastAsia="Arial" w:hAnsi="Arial"/>
                <w:sz w:val="18"/>
                <w:szCs w:val="18"/>
                <w:color w:val="auto"/>
              </w:rPr>
              <w:t>$</w:t>
            </w:r>
          </w:p>
        </w:tc>
        <w:tc>
          <w:tcPr>
            <w:tcW w:w="1100" w:type="dxa"/>
            <w:vAlign w:val="bottom"/>
            <w:shd w:val="clear" w:color="auto" w:fill="FDE9D9"/>
          </w:tcPr>
          <w:p>
            <w:pPr>
              <w:jc w:val="right"/>
              <w:ind w:right="250"/>
              <w:spacing w:after="0"/>
              <w:rPr>
                <w:sz w:val="20"/>
                <w:szCs w:val="20"/>
                <w:color w:val="auto"/>
              </w:rPr>
            </w:pPr>
            <w:r>
              <w:rPr>
                <w:rFonts w:ascii="Arial" w:cs="Arial" w:eastAsia="Arial" w:hAnsi="Arial"/>
                <w:sz w:val="18"/>
                <w:szCs w:val="18"/>
                <w:color w:val="auto"/>
              </w:rPr>
              <w:t>4,306</w:t>
            </w:r>
          </w:p>
        </w:tc>
      </w:tr>
      <w:tr>
        <w:trPr>
          <w:trHeight w:val="230"/>
        </w:trPr>
        <w:tc>
          <w:tcPr>
            <w:tcW w:w="3160" w:type="dxa"/>
            <w:vAlign w:val="bottom"/>
            <w:tcBorders>
              <w:bottom w:val="single" w:sz="8" w:color="FDE9D9"/>
            </w:tcBorders>
          </w:tcPr>
          <w:p>
            <w:pPr>
              <w:spacing w:after="0"/>
              <w:rPr>
                <w:sz w:val="20"/>
                <w:szCs w:val="20"/>
                <w:color w:val="auto"/>
              </w:rPr>
            </w:pPr>
            <w:r>
              <w:rPr>
                <w:rFonts w:ascii="Arial" w:cs="Arial" w:eastAsia="Arial" w:hAnsi="Arial"/>
                <w:sz w:val="18"/>
                <w:szCs w:val="18"/>
                <w:color w:val="auto"/>
              </w:rPr>
              <w:t>Deferred Cost of Goods Sold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1,841</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FDE9D9"/>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1,742</w:t>
            </w:r>
          </w:p>
        </w:tc>
      </w:tr>
      <w:tr>
        <w:trPr>
          <w:trHeight w:val="223"/>
        </w:trPr>
        <w:tc>
          <w:tcPr>
            <w:tcW w:w="3160" w:type="dxa"/>
            <w:vAlign w:val="bottom"/>
            <w:tcBorders>
              <w:bottom w:val="single" w:sz="8" w:color="FDE9D9"/>
            </w:tcBorders>
            <w:shd w:val="clear" w:color="auto" w:fill="FDE9D9"/>
          </w:tcPr>
          <w:p>
            <w:pPr>
              <w:spacing w:after="0" w:line="182" w:lineRule="exact"/>
              <w:rPr>
                <w:sz w:val="20"/>
                <w:szCs w:val="20"/>
                <w:color w:val="auto"/>
              </w:rPr>
            </w:pPr>
            <w:r>
              <w:rPr>
                <w:rFonts w:ascii="Arial" w:cs="Arial" w:eastAsia="Arial" w:hAnsi="Arial"/>
                <w:sz w:val="18"/>
                <w:szCs w:val="18"/>
                <w:color w:val="auto"/>
              </w:rPr>
              <w:t>Deferred Gross Profit</w:t>
            </w:r>
          </w:p>
        </w:tc>
        <w:tc>
          <w:tcPr>
            <w:tcW w:w="260" w:type="dxa"/>
            <w:vAlign w:val="bottom"/>
            <w:tcBorders>
              <w:bottom w:val="single" w:sz="8" w:color="auto"/>
            </w:tcBorders>
            <w:shd w:val="clear" w:color="auto" w:fill="FDE9D9"/>
          </w:tcPr>
          <w:p>
            <w:pPr>
              <w:jc w:val="right"/>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DE9D9"/>
          </w:tcPr>
          <w:p>
            <w:pPr>
              <w:jc w:val="right"/>
              <w:ind w:right="72"/>
              <w:spacing w:after="0" w:line="182" w:lineRule="exact"/>
              <w:rPr>
                <w:sz w:val="20"/>
                <w:szCs w:val="20"/>
                <w:color w:val="auto"/>
              </w:rPr>
            </w:pPr>
            <w:r>
              <w:rPr>
                <w:rFonts w:ascii="Arial" w:cs="Arial" w:eastAsia="Arial" w:hAnsi="Arial"/>
                <w:sz w:val="18"/>
                <w:szCs w:val="18"/>
                <w:color w:val="auto"/>
              </w:rPr>
              <w:t>2,723</w:t>
            </w:r>
          </w:p>
        </w:tc>
        <w:tc>
          <w:tcPr>
            <w:tcW w:w="160" w:type="dxa"/>
            <w:vAlign w:val="bottom"/>
            <w:tcBorders>
              <w:bottom w:val="single" w:sz="8" w:color="auto"/>
            </w:tcBorders>
            <w:shd w:val="clear" w:color="auto" w:fill="FDE9D9"/>
          </w:tcPr>
          <w:p>
            <w:pPr>
              <w:spacing w:after="0"/>
              <w:rPr>
                <w:sz w:val="19"/>
                <w:szCs w:val="19"/>
                <w:color w:val="auto"/>
              </w:rPr>
            </w:pPr>
          </w:p>
        </w:tc>
        <w:tc>
          <w:tcPr>
            <w:tcW w:w="200" w:type="dxa"/>
            <w:vAlign w:val="bottom"/>
            <w:tcBorders>
              <w:bottom w:val="single" w:sz="8" w:color="FDE9D9"/>
            </w:tcBorders>
            <w:shd w:val="clear" w:color="auto" w:fill="FDE9D9"/>
          </w:tcPr>
          <w:p>
            <w:pPr>
              <w:spacing w:after="0"/>
              <w:rPr>
                <w:sz w:val="19"/>
                <w:szCs w:val="19"/>
                <w:color w:val="auto"/>
              </w:rPr>
            </w:pPr>
          </w:p>
        </w:tc>
        <w:tc>
          <w:tcPr>
            <w:tcW w:w="580" w:type="dxa"/>
            <w:vAlign w:val="bottom"/>
            <w:tcBorders>
              <w:bottom w:val="single" w:sz="8" w:color="auto"/>
            </w:tcBorders>
            <w:shd w:val="clear" w:color="auto" w:fill="FDE9D9"/>
          </w:tcPr>
          <w:p>
            <w:pPr>
              <w:jc w:val="right"/>
              <w:ind w:right="294"/>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DE9D9"/>
          </w:tcPr>
          <w:p>
            <w:pPr>
              <w:jc w:val="right"/>
              <w:ind w:right="250"/>
              <w:spacing w:after="0" w:line="182" w:lineRule="exact"/>
              <w:rPr>
                <w:sz w:val="20"/>
                <w:szCs w:val="20"/>
                <w:color w:val="auto"/>
              </w:rPr>
            </w:pPr>
            <w:r>
              <w:rPr>
                <w:rFonts w:ascii="Arial" w:cs="Arial" w:eastAsia="Arial" w:hAnsi="Arial"/>
                <w:sz w:val="18"/>
                <w:szCs w:val="18"/>
                <w:color w:val="auto"/>
              </w:rPr>
              <w:t>2,564</w:t>
            </w:r>
          </w:p>
        </w:tc>
      </w:tr>
    </w:tbl>
    <w:p>
      <w:pPr>
        <w:spacing w:after="0" w:line="222" w:lineRule="exact"/>
        <w:rPr>
          <w:sz w:val="20"/>
          <w:szCs w:val="20"/>
          <w:color w:val="auto"/>
        </w:rPr>
      </w:pPr>
    </w:p>
    <w:p>
      <w:pPr>
        <w:jc w:val="both"/>
        <w:ind w:right="1239"/>
        <w:spacing w:after="0"/>
        <w:rPr>
          <w:sz w:val="20"/>
          <w:szCs w:val="20"/>
          <w:color w:val="auto"/>
        </w:rPr>
      </w:pPr>
      <w:r>
        <w:rPr>
          <w:rFonts w:ascii="Arial" w:cs="Arial" w:eastAsia="Arial" w:hAnsi="Arial"/>
          <w:sz w:val="22"/>
          <w:szCs w:val="22"/>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213" w:lineRule="exact"/>
        <w:rPr>
          <w:sz w:val="20"/>
          <w:szCs w:val="20"/>
          <w:color w:val="auto"/>
        </w:rPr>
      </w:pPr>
    </w:p>
    <w:p>
      <w:pPr>
        <w:ind w:right="1159"/>
        <w:spacing w:after="0" w:line="234" w:lineRule="auto"/>
        <w:rPr>
          <w:sz w:val="20"/>
          <w:szCs w:val="20"/>
          <w:color w:val="auto"/>
        </w:rPr>
      </w:pPr>
      <w:r>
        <w:rPr>
          <w:rFonts w:ascii="Arial" w:cs="Arial" w:eastAsia="Arial" w:hAnsi="Arial"/>
          <w:sz w:val="22"/>
          <w:szCs w:val="22"/>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Goodwill and Intangible Assets</w:t>
      </w:r>
    </w:p>
    <w:p>
      <w:pPr>
        <w:spacing w:after="0" w:line="239"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color w:val="auto"/>
        </w:rPr>
        <w:t>We allocated the purchase price of our acquisition of NetStreams, Inc. on the basis of well established valuation techniques performed by qualified experts. Goodwill is measured as the excess of the cost of acquisition over the sum of the amounts assigned to tangible and identifiable intangible assets acquired less liabilities assumed. We intend to perform impairment tests of goodwill and intangible assets with an indefinite useful life, on an annual basis in the fourth fiscal quarter, or sooner if a triggering event occurs suggesting possible impairment of the values of these assets. As of March 31, 2011, $726,000 and $400,000 have been recorded as goodwill and intangible assets with an indefinite useful life, respectively. In response to changes in industry, technology and competitive circumstances we might be required to exit or dispose of the business acquired through NetStreams, Inc., which could result in an impairment of goodwill and intangible assets.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Long-Lived Assets</w:t>
      </w:r>
    </w:p>
    <w:p>
      <w:pPr>
        <w:spacing w:after="0" w:line="239" w:lineRule="exact"/>
        <w:rPr>
          <w:sz w:val="20"/>
          <w:szCs w:val="20"/>
          <w:color w:val="auto"/>
        </w:rPr>
      </w:pPr>
    </w:p>
    <w:p>
      <w:pPr>
        <w:ind w:right="1139"/>
        <w:spacing w:after="0" w:line="273" w:lineRule="auto"/>
        <w:rPr>
          <w:sz w:val="20"/>
          <w:szCs w:val="20"/>
          <w:color w:val="auto"/>
        </w:rPr>
      </w:pPr>
      <w:r>
        <w:rPr>
          <w:rFonts w:ascii="Arial" w:cs="Arial" w:eastAsia="Arial" w:hAnsi="Arial"/>
          <w:sz w:val="19"/>
          <w:szCs w:val="19"/>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for Income Taxes</w:t>
      </w:r>
    </w:p>
    <w:p>
      <w:pPr>
        <w:spacing w:after="0" w:line="239" w:lineRule="exact"/>
        <w:rPr>
          <w:sz w:val="20"/>
          <w:szCs w:val="20"/>
          <w:color w:val="auto"/>
        </w:rPr>
      </w:pPr>
    </w:p>
    <w:p>
      <w:pPr>
        <w:ind w:right="1199"/>
        <w:spacing w:after="0" w:line="272" w:lineRule="auto"/>
        <w:rPr>
          <w:sz w:val="20"/>
          <w:szCs w:val="20"/>
          <w:color w:val="auto"/>
        </w:rPr>
      </w:pPr>
      <w:r>
        <w:rPr>
          <w:rFonts w:ascii="Arial" w:cs="Arial" w:eastAsia="Arial" w:hAnsi="Arial"/>
          <w:sz w:val="19"/>
          <w:szCs w:val="19"/>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March 31, 2011 is $971,000.</w:t>
      </w:r>
    </w:p>
    <w:p>
      <w:pPr>
        <w:sectPr>
          <w:pgSz w:w="11900" w:h="16838" w:orient="portrait"/>
          <w:cols w:equalWidth="0" w:num="1">
            <w:col w:w="10219"/>
          </w:cols>
          <w:pgMar w:left="240" w:top="112" w:right="1440" w:bottom="151" w:gutter="0" w:footer="0" w:header="0"/>
        </w:sectPr>
      </w:pPr>
    </w:p>
    <w:bookmarkStart w:id="17" w:name="page18"/>
    <w:bookmarkEnd w:id="17"/>
    <w:p>
      <w:pPr>
        <w:ind w:left="32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274320</wp:posOffset>
            </wp:positionV>
            <wp:extent cx="576326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8" w:name="page19"/>
    <w:bookmarkEnd w:id="18"/>
    <w:p>
      <w:pPr>
        <w:jc w:val="center"/>
        <w:ind w:right="113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Lower-of-Cost or Market Adjustments and Reserves for Excess and Obsolete Inventory</w:t>
      </w:r>
    </w:p>
    <w:p>
      <w:pPr>
        <w:spacing w:after="0" w:line="116" w:lineRule="exact"/>
        <w:rPr>
          <w:sz w:val="20"/>
          <w:szCs w:val="20"/>
          <w:color w:val="auto"/>
        </w:rPr>
      </w:pPr>
    </w:p>
    <w:p>
      <w:pPr>
        <w:ind w:right="1199"/>
        <w:spacing w:after="0" w:line="252" w:lineRule="auto"/>
        <w:rPr>
          <w:sz w:val="20"/>
          <w:szCs w:val="20"/>
          <w:color w:val="auto"/>
        </w:rPr>
      </w:pPr>
      <w:r>
        <w:rPr>
          <w:rFonts w:ascii="Arial" w:cs="Arial" w:eastAsia="Arial" w:hAnsi="Arial"/>
          <w:sz w:val="21"/>
          <w:szCs w:val="21"/>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66" w:lineRule="exact"/>
        <w:rPr>
          <w:sz w:val="20"/>
          <w:szCs w:val="20"/>
          <w:color w:val="auto"/>
        </w:rPr>
      </w:pPr>
    </w:p>
    <w:p>
      <w:pPr>
        <w:ind w:right="1239"/>
        <w:spacing w:after="0" w:line="271" w:lineRule="auto"/>
        <w:rPr>
          <w:sz w:val="20"/>
          <w:szCs w:val="20"/>
          <w:color w:val="auto"/>
        </w:rPr>
      </w:pPr>
      <w:r>
        <w:rPr>
          <w:rFonts w:ascii="Arial" w:cs="Arial" w:eastAsia="Arial" w:hAnsi="Arial"/>
          <w:sz w:val="19"/>
          <w:szCs w:val="19"/>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established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Payment</w:t>
      </w:r>
    </w:p>
    <w:p>
      <w:pPr>
        <w:spacing w:after="0" w:line="104" w:lineRule="exact"/>
        <w:rPr>
          <w:sz w:val="20"/>
          <w:szCs w:val="20"/>
          <w:color w:val="auto"/>
        </w:rPr>
      </w:pPr>
    </w:p>
    <w:p>
      <w:pPr>
        <w:ind w:right="1159"/>
        <w:spacing w:after="0" w:line="277" w:lineRule="auto"/>
        <w:rPr>
          <w:sz w:val="20"/>
          <w:szCs w:val="20"/>
          <w:color w:val="auto"/>
        </w:rPr>
      </w:pPr>
      <w:r>
        <w:rPr>
          <w:rFonts w:ascii="Arial" w:cs="Arial" w:eastAsia="Arial" w:hAnsi="Arial"/>
          <w:sz w:val="19"/>
          <w:szCs w:val="19"/>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80" w:lineRule="exact"/>
        <w:rPr>
          <w:sz w:val="20"/>
          <w:szCs w:val="20"/>
          <w:color w:val="auto"/>
        </w:rPr>
      </w:pPr>
    </w:p>
    <w:p>
      <w:pPr>
        <w:ind w:right="1159"/>
        <w:spacing w:after="0" w:line="272" w:lineRule="auto"/>
        <w:rPr>
          <w:sz w:val="20"/>
          <w:szCs w:val="20"/>
          <w:color w:val="auto"/>
        </w:rPr>
      </w:pPr>
      <w:r>
        <w:rPr>
          <w:rFonts w:ascii="Arial" w:cs="Arial" w:eastAsia="Arial" w:hAnsi="Arial"/>
          <w:sz w:val="19"/>
          <w:szCs w:val="19"/>
          <w:color w:val="auto"/>
        </w:rPr>
        <w:t xml:space="preserve">In December 2004, the FASB issued guidelines now contained under FASB ASC Topic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ASC Topic 718 establishes standards for the accounting for</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 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4" w:lineRule="exact"/>
        <w:rPr>
          <w:sz w:val="20"/>
          <w:szCs w:val="20"/>
          <w:color w:val="auto"/>
        </w:rPr>
      </w:pPr>
    </w:p>
    <w:p>
      <w:pPr>
        <w:ind w:right="1339"/>
        <w:spacing w:after="0" w:line="234" w:lineRule="auto"/>
        <w:rPr>
          <w:sz w:val="20"/>
          <w:szCs w:val="20"/>
          <w:color w:val="auto"/>
        </w:rPr>
      </w:pPr>
      <w:r>
        <w:rPr>
          <w:rFonts w:ascii="Arial" w:cs="Arial" w:eastAsia="Arial" w:hAnsi="Arial"/>
          <w:sz w:val="22"/>
          <w:szCs w:val="22"/>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218" w:lineRule="exact"/>
        <w:rPr>
          <w:sz w:val="20"/>
          <w:szCs w:val="20"/>
          <w:color w:val="auto"/>
        </w:rPr>
      </w:pPr>
    </w:p>
    <w:p>
      <w:pPr>
        <w:ind w:right="1159"/>
        <w:spacing w:after="0" w:line="273" w:lineRule="auto"/>
        <w:rPr>
          <w:sz w:val="20"/>
          <w:szCs w:val="20"/>
          <w:color w:val="auto"/>
        </w:rPr>
      </w:pPr>
      <w:r>
        <w:rPr>
          <w:rFonts w:ascii="Arial" w:cs="Arial" w:eastAsia="Arial" w:hAnsi="Arial"/>
          <w:sz w:val="19"/>
          <w:szCs w:val="19"/>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ectPr>
          <w:pgSz w:w="11900" w:h="16838" w:orient="portrait"/>
          <w:cols w:equalWidth="0" w:num="1">
            <w:col w:w="10219"/>
          </w:cols>
          <w:pgMar w:left="240" w:top="112" w:right="1440" w:bottom="151" w:gutter="0" w:footer="0" w:header="0"/>
        </w:sectPr>
      </w:pPr>
    </w:p>
    <w:bookmarkStart w:id="19" w:name="page20"/>
    <w:bookmarkEnd w:id="19"/>
    <w:p>
      <w:pPr>
        <w:ind w:left="32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274320</wp:posOffset>
            </wp:positionV>
            <wp:extent cx="576326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 w:name="page21"/>
    <w:bookmarkEnd w:id="20"/>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ind w:right="1159"/>
        <w:spacing w:after="0" w:line="246" w:lineRule="auto"/>
        <w:rPr>
          <w:sz w:val="20"/>
          <w:szCs w:val="20"/>
          <w:color w:val="auto"/>
        </w:rPr>
      </w:pPr>
      <w:r>
        <w:rPr>
          <w:rFonts w:ascii="Arial" w:cs="Arial" w:eastAsia="Arial" w:hAnsi="Arial"/>
          <w:sz w:val="21"/>
          <w:szCs w:val="21"/>
          <w:color w:val="auto"/>
        </w:rPr>
        <w:t>An evaluation of the effectiveness of our disclosure controls and procedures (as defined in Rules 13a-15(e) and 15d-15(e) of the Exchange Act) as of March 31, 2011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March 31, 2011 to ensure that information required to be disclosed by us in reports we file or submit under the Exchange Act is recorded, processed, summarized and reported as specified in the SEC’s rules and forms.</w:t>
      </w:r>
    </w:p>
    <w:p>
      <w:pPr>
        <w:spacing w:after="0" w:line="208" w:lineRule="exact"/>
        <w:rPr>
          <w:sz w:val="20"/>
          <w:szCs w:val="20"/>
          <w:color w:val="auto"/>
        </w:rPr>
      </w:pPr>
    </w:p>
    <w:p>
      <w:pPr>
        <w:ind w:right="1219"/>
        <w:spacing w:after="0"/>
        <w:rPr>
          <w:sz w:val="20"/>
          <w:szCs w:val="20"/>
          <w:color w:val="auto"/>
        </w:rPr>
      </w:pPr>
      <w:r>
        <w:rPr>
          <w:rFonts w:ascii="Arial" w:cs="Arial" w:eastAsia="Arial" w:hAnsi="Arial"/>
          <w:sz w:val="22"/>
          <w:szCs w:val="22"/>
          <w:color w:val="auto"/>
        </w:rPr>
        <w:t>There was no change in our internal control over financial reporting during the quarter ended March 31, 2011 that materially affected, or that we believe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ind w:right="1479"/>
        <w:spacing w:after="0" w:line="238" w:lineRule="auto"/>
        <w:rPr>
          <w:sz w:val="20"/>
          <w:szCs w:val="20"/>
          <w:color w:val="auto"/>
        </w:rPr>
      </w:pPr>
      <w:r>
        <w:rPr>
          <w:rFonts w:ascii="Arial" w:cs="Arial" w:eastAsia="Arial" w:hAnsi="Arial"/>
          <w:sz w:val="22"/>
          <w:szCs w:val="22"/>
          <w:color w:val="auto"/>
        </w:rPr>
        <w:t>The following is an update to the status of the legal proceedings and commitments and contingencies reported in our Form 10-K for the year ended December 31, 2010 under Part I, Item 3. Legal Proceedings and Note - 9 Commitments and Contingencies of the Notes to Consolidated Financial Statements (Part II, Item 8).</w:t>
      </w:r>
    </w:p>
    <w:p>
      <w:pPr>
        <w:spacing w:after="0" w:line="212" w:lineRule="exact"/>
        <w:rPr>
          <w:sz w:val="20"/>
          <w:szCs w:val="20"/>
          <w:color w:val="auto"/>
        </w:rPr>
      </w:pPr>
    </w:p>
    <w:p>
      <w:pPr>
        <w:ind w:right="1139"/>
        <w:spacing w:after="0" w:line="271" w:lineRule="auto"/>
        <w:rPr>
          <w:sz w:val="20"/>
          <w:szCs w:val="20"/>
          <w:color w:val="auto"/>
        </w:rPr>
      </w:pPr>
      <w:r>
        <w:rPr>
          <w:rFonts w:ascii="Arial" w:cs="Arial" w:eastAsia="Arial" w:hAnsi="Arial"/>
          <w:sz w:val="19"/>
          <w:szCs w:val="19"/>
          <w:color w:val="auto"/>
        </w:rPr>
        <w:t>In January 2010, we filed an arbitration proceeding against UBS Financial Services, Inc. (“UBS”) with the Financial Industry Regulatory Authority (“FINRA”) pursuant to the Auction Rate Securities (“ARS”) Special Arbitration Procedures established by FINRA for securities firms who entered into settlement agreements with the SEC regarding the firms’ sales of auction rate securities. We also filed a separate FINRA arbitration proceeding against Morgan Stanley &amp; Co., Inc. (“Morgan Stanley”) pursuant to the ARS Special Arbitration Proceedings established for securities firms that entered into settlement agreements with the Office of the New York State Attorney General. At the relevant time we held an aggregate of $12.2 million in ARS from UBS and Morgan Stanley, which turned out to be illiquid. In October 2008, we accepted offers to repurchase our $12.2 million of ARS, at par value, from these two investment banks that sold them to us pursuant to the settlement agreements, but did not waive any claims for consequential damages. In both arbitration proceedings, we are seeking consequential damages as a result of our inability to access funds invested in ARS that UBS and Morgan Stanley sold to us, including losses with respect to a planned strategic business acquisition and related due diligence costs. The arbitration against Morgan Stanley is currently set for hearing in Salt Lake City, Utah beginning in October 2011, and the arbitration against UBS is currently set for hearing in Salt Lake City, Utah and will likely be held in January 2012. We cannot predict the outcome of these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REMOVED AND RESERVED.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14</w:t>
      </w:r>
      <w:r>
        <w:rPr>
          <w:rFonts w:ascii="Arial" w:cs="Arial" w:eastAsia="Arial" w:hAnsi="Arial"/>
          <w:sz w:val="16"/>
          <w:szCs w:val="16"/>
          <w:color w:val="auto"/>
        </w:rPr>
        <w:t xml:space="preserve"> |</w:t>
      </w:r>
    </w:p>
    <w:p>
      <w:pPr>
        <w:sectPr>
          <w:pgSz w:w="11900" w:h="16838" w:orient="portrait"/>
          <w:cols w:equalWidth="0" w:num="1">
            <w:col w:w="10219"/>
          </w:cols>
          <w:pgMar w:left="240" w:top="111" w:right="1440" w:bottom="0" w:gutter="0" w:footer="0" w:header="0"/>
          <w:type w:val="continuous"/>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76326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326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4500" w:type="dxa"/>
            <w:vAlign w:val="bottom"/>
            <w:gridSpan w:val="4"/>
          </w:tcPr>
          <w:p>
            <w:pPr>
              <w:ind w:left="520"/>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bl>
    <w:p>
      <w:pPr>
        <w:spacing w:after="0" w:line="200" w:lineRule="exact"/>
        <w:rPr>
          <w:sz w:val="20"/>
          <w:szCs w:val="20"/>
          <w:color w:val="auto"/>
        </w:rPr>
      </w:pPr>
    </w:p>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259"/>
        <w:spacing w:after="0" w:line="274" w:lineRule="auto"/>
        <w:rPr>
          <w:sz w:val="20"/>
          <w:szCs w:val="20"/>
          <w:color w:val="auto"/>
        </w:rPr>
      </w:pPr>
      <w:r>
        <w:rPr>
          <w:rFonts w:ascii="Arial" w:cs="Arial" w:eastAsia="Arial" w:hAnsi="Arial"/>
          <w:sz w:val="21"/>
          <w:szCs w:val="21"/>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ClearOne Communications, Inc.,</w:t>
            </w:r>
          </w:p>
        </w:tc>
      </w:tr>
      <w:tr>
        <w:trPr>
          <w:trHeight w:val="230"/>
        </w:trPr>
        <w:tc>
          <w:tcPr>
            <w:tcW w:w="2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648"/>
        </w:trPr>
        <w:tc>
          <w:tcPr>
            <w:tcW w:w="2740" w:type="dxa"/>
            <w:vAlign w:val="bottom"/>
          </w:tcPr>
          <w:p>
            <w:pPr>
              <w:spacing w:after="0"/>
              <w:rPr>
                <w:sz w:val="20"/>
                <w:szCs w:val="20"/>
                <w:color w:val="auto"/>
              </w:rPr>
            </w:pPr>
            <w:r>
              <w:rPr>
                <w:rFonts w:ascii="Arial" w:cs="Arial" w:eastAsia="Arial" w:hAnsi="Arial"/>
                <w:sz w:val="18"/>
                <w:szCs w:val="18"/>
                <w:color w:val="auto"/>
              </w:rPr>
              <w:t>May 16, 2011</w:t>
            </w:r>
          </w:p>
        </w:tc>
        <w:tc>
          <w:tcPr>
            <w:tcW w:w="2300" w:type="dxa"/>
            <w:vAlign w:val="bottom"/>
          </w:tcPr>
          <w:p>
            <w:pPr>
              <w:ind w:left="1740"/>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rPr>
              <w:t>/s/ Zeynep Hakimoglu</w:t>
            </w:r>
          </w:p>
        </w:tc>
      </w:tr>
      <w:tr>
        <w:trPr>
          <w:trHeight w:val="195"/>
        </w:trPr>
        <w:tc>
          <w:tcPr>
            <w:tcW w:w="2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c>
          <w:tcPr>
            <w:tcW w:w="116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2740" w:type="dxa"/>
            <w:vAlign w:val="bottom"/>
          </w:tcPr>
          <w:p>
            <w:pPr>
              <w:spacing w:after="0"/>
              <w:rPr>
                <w:sz w:val="20"/>
                <w:szCs w:val="20"/>
                <w:color w:val="auto"/>
              </w:rPr>
            </w:pPr>
            <w:r>
              <w:rPr>
                <w:rFonts w:ascii="Arial" w:cs="Arial" w:eastAsia="Arial" w:hAnsi="Arial"/>
                <w:sz w:val="18"/>
                <w:szCs w:val="18"/>
                <w:color w:val="auto"/>
              </w:rPr>
              <w:t>May 16, 2011</w:t>
            </w:r>
          </w:p>
        </w:tc>
        <w:tc>
          <w:tcPr>
            <w:tcW w:w="2300" w:type="dxa"/>
            <w:vAlign w:val="bottom"/>
          </w:tcPr>
          <w:p>
            <w:pPr>
              <w:ind w:left="1740"/>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rPr>
              <w:t>/s/ Narsi Narayanan</w:t>
            </w:r>
          </w:p>
        </w:tc>
      </w:tr>
      <w:tr>
        <w:trPr>
          <w:trHeight w:val="195"/>
        </w:trPr>
        <w:tc>
          <w:tcPr>
            <w:tcW w:w="2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c>
          <w:tcPr>
            <w:tcW w:w="116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Vice President of Finance</w:t>
            </w:r>
          </w:p>
        </w:tc>
      </w:tr>
      <w:tr>
        <w:trPr>
          <w:trHeight w:val="230"/>
        </w:trPr>
        <w:tc>
          <w:tcPr>
            <w:tcW w:w="2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15</w:t>
      </w:r>
      <w:r>
        <w:rPr>
          <w:rFonts w:ascii="Arial" w:cs="Arial" w:eastAsia="Arial" w:hAnsi="Arial"/>
          <w:sz w:val="22"/>
          <w:szCs w:val="22"/>
          <w:color w:val="auto"/>
        </w:rPr>
        <w:t xml:space="preserve"> |</w:t>
      </w:r>
    </w:p>
    <w:p>
      <w:pPr>
        <w:sectPr>
          <w:pgSz w:w="11900" w:h="16838" w:orient="portrait"/>
          <w:cols w:equalWidth="0" w:num="1">
            <w:col w:w="10219"/>
          </w:cols>
          <w:pgMar w:left="240" w:top="111" w:right="1440" w:bottom="1440" w:gutter="0" w:footer="0" w:header="0"/>
        </w:sectPr>
      </w:pPr>
    </w:p>
    <w:bookmarkStart w:id="23" w:name="page24"/>
    <w:bookmarkEnd w:id="23"/>
    <w:p>
      <w:pPr>
        <w:jc w:val="right"/>
        <w:ind w:right="1779"/>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Zeynep Hakimoglu, certify that:</w:t>
      </w:r>
    </w:p>
    <w:p>
      <w:pPr>
        <w:spacing w:after="0" w:line="85" w:lineRule="exact"/>
        <w:rPr>
          <w:sz w:val="20"/>
          <w:szCs w:val="20"/>
          <w:color w:val="auto"/>
        </w:rPr>
      </w:pPr>
    </w:p>
    <w:p>
      <w:pPr>
        <w:ind w:left="800" w:hanging="46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9"/>
          <w:szCs w:val="19"/>
          <w:color w:val="auto"/>
        </w:rPr>
        <w:t>I have reviewed this quarterly report of ClearOne Communications, Inc. on Form 10-Q;</w:t>
      </w:r>
    </w:p>
    <w:p>
      <w:pPr>
        <w:spacing w:after="0" w:line="132" w:lineRule="exact"/>
        <w:rPr>
          <w:rFonts w:ascii="Arial" w:cs="Arial" w:eastAsia="Arial" w:hAnsi="Arial"/>
          <w:sz w:val="18"/>
          <w:szCs w:val="18"/>
          <w:color w:val="auto"/>
        </w:rPr>
      </w:pPr>
    </w:p>
    <w:p>
      <w:pPr>
        <w:ind w:left="820" w:right="1819" w:hanging="488"/>
        <w:spacing w:after="0" w:line="238" w:lineRule="auto"/>
        <w:tabs>
          <w:tab w:leader="none" w:pos="793" w:val="left"/>
        </w:tabs>
        <w:numPr>
          <w:ilvl w:val="0"/>
          <w:numId w:val="5"/>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20"/>
          <w:szCs w:val="20"/>
          <w:color w:val="auto"/>
        </w:rPr>
      </w:pPr>
    </w:p>
    <w:p>
      <w:pPr>
        <w:ind w:left="820" w:right="2179" w:hanging="488"/>
        <w:spacing w:after="0" w:line="238" w:lineRule="auto"/>
        <w:tabs>
          <w:tab w:leader="none" w:pos="793" w:val="left"/>
        </w:tabs>
        <w:numPr>
          <w:ilvl w:val="0"/>
          <w:numId w:val="5"/>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20"/>
          <w:szCs w:val="20"/>
          <w:color w:val="auto"/>
        </w:rPr>
      </w:pPr>
    </w:p>
    <w:p>
      <w:pPr>
        <w:ind w:left="820" w:right="1839" w:hanging="488"/>
        <w:spacing w:after="0" w:line="287" w:lineRule="auto"/>
        <w:tabs>
          <w:tab w:leader="none" w:pos="793" w:val="left"/>
        </w:tabs>
        <w:numPr>
          <w:ilvl w:val="0"/>
          <w:numId w:val="5"/>
        </w:numPr>
        <w:rPr>
          <w:rFonts w:ascii="Arial" w:cs="Arial" w:eastAsia="Arial" w:hAnsi="Arial"/>
          <w:sz w:val="18"/>
          <w:szCs w:val="18"/>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820" w:right="1879" w:hanging="488"/>
        <w:spacing w:after="0" w:line="236" w:lineRule="auto"/>
        <w:tabs>
          <w:tab w:leader="none" w:pos="793" w:val="left"/>
        </w:tabs>
        <w:numPr>
          <w:ilvl w:val="0"/>
          <w:numId w:val="6"/>
        </w:numPr>
        <w:rPr>
          <w:rFonts w:ascii="Arial" w:cs="Arial" w:eastAsia="Arial" w:hAnsi="Arial"/>
          <w:sz w:val="20"/>
          <w:szCs w:val="20"/>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20"/>
          <w:szCs w:val="20"/>
          <w:color w:val="auto"/>
        </w:rPr>
      </w:pPr>
    </w:p>
    <w:p>
      <w:pPr>
        <w:ind w:left="820" w:right="1819" w:hanging="488"/>
        <w:spacing w:after="0" w:line="236" w:lineRule="auto"/>
        <w:tabs>
          <w:tab w:leader="none" w:pos="793" w:val="left"/>
        </w:tabs>
        <w:numPr>
          <w:ilvl w:val="0"/>
          <w:numId w:val="6"/>
        </w:numPr>
        <w:rPr>
          <w:rFonts w:ascii="Arial" w:cs="Arial" w:eastAsia="Arial" w:hAnsi="Arial"/>
          <w:sz w:val="20"/>
          <w:szCs w:val="20"/>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20"/>
          <w:szCs w:val="20"/>
          <w:color w:val="auto"/>
        </w:rPr>
      </w:pPr>
    </w:p>
    <w:p>
      <w:pPr>
        <w:ind w:left="820" w:right="2079" w:hanging="488"/>
        <w:spacing w:after="0" w:line="238" w:lineRule="auto"/>
        <w:tabs>
          <w:tab w:leader="none" w:pos="793" w:val="left"/>
        </w:tabs>
        <w:numPr>
          <w:ilvl w:val="0"/>
          <w:numId w:val="6"/>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20"/>
          <w:szCs w:val="20"/>
          <w:color w:val="auto"/>
        </w:rPr>
      </w:pPr>
    </w:p>
    <w:p>
      <w:pPr>
        <w:ind w:left="820" w:right="1799" w:hanging="488"/>
        <w:spacing w:after="0" w:line="236" w:lineRule="auto"/>
        <w:tabs>
          <w:tab w:leader="none" w:pos="793" w:val="left"/>
        </w:tabs>
        <w:numPr>
          <w:ilvl w:val="0"/>
          <w:numId w:val="6"/>
        </w:numPr>
        <w:rPr>
          <w:rFonts w:ascii="Arial" w:cs="Arial" w:eastAsia="Arial" w:hAnsi="Arial"/>
          <w:sz w:val="20"/>
          <w:szCs w:val="20"/>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6" w:lineRule="exact"/>
        <w:rPr>
          <w:sz w:val="20"/>
          <w:szCs w:val="20"/>
          <w:color w:val="auto"/>
        </w:rPr>
      </w:pPr>
    </w:p>
    <w:p>
      <w:pPr>
        <w:ind w:left="820" w:right="1959" w:hanging="488"/>
        <w:spacing w:after="0" w:line="238" w:lineRule="auto"/>
        <w:tabs>
          <w:tab w:leader="none" w:pos="793" w:val="left"/>
        </w:tabs>
        <w:numPr>
          <w:ilvl w:val="0"/>
          <w:numId w:val="7"/>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sz w:val="20"/>
          <w:szCs w:val="20"/>
          <w:color w:val="auto"/>
        </w:rPr>
      </w:pPr>
    </w:p>
    <w:p>
      <w:pPr>
        <w:ind w:left="820" w:right="1899" w:hanging="488"/>
        <w:spacing w:after="0" w:line="238" w:lineRule="auto"/>
        <w:tabs>
          <w:tab w:leader="none" w:pos="793" w:val="left"/>
        </w:tabs>
        <w:numPr>
          <w:ilvl w:val="0"/>
          <w:numId w:val="8"/>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20"/>
          <w:szCs w:val="20"/>
          <w:color w:val="auto"/>
        </w:rPr>
      </w:pPr>
    </w:p>
    <w:p>
      <w:pPr>
        <w:ind w:left="820" w:right="1899" w:hanging="488"/>
        <w:spacing w:after="0" w:line="328" w:lineRule="auto"/>
        <w:tabs>
          <w:tab w:leader="none" w:pos="793" w:val="left"/>
        </w:tabs>
        <w:numPr>
          <w:ilvl w:val="0"/>
          <w:numId w:val="8"/>
        </w:numPr>
        <w:rPr>
          <w:rFonts w:ascii="Arial" w:cs="Arial" w:eastAsia="Arial" w:hAnsi="Arial"/>
          <w:sz w:val="18"/>
          <w:szCs w:val="18"/>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111" w:right="1440" w:bottom="1440" w:gutter="0" w:footer="0" w:header="0"/>
        </w:sectPr>
      </w:pP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0219"/>
          </w:cols>
          <w:pgMar w:left="240" w:top="111" w:right="1440" w:bottom="1440" w:gutter="0" w:footer="0" w:header="0"/>
          <w:type w:val="continuous"/>
        </w:sectPr>
      </w:pPr>
    </w:p>
    <w:bookmarkStart w:id="24" w:name="page25"/>
    <w:bookmarkEnd w:id="24"/>
    <w:p>
      <w:pPr>
        <w:jc w:val="right"/>
        <w:ind w:right="1779"/>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Narsi Narayanan, certify that:</w:t>
      </w:r>
    </w:p>
    <w:p>
      <w:pPr>
        <w:spacing w:after="0" w:line="85" w:lineRule="exact"/>
        <w:rPr>
          <w:sz w:val="20"/>
          <w:szCs w:val="20"/>
          <w:color w:val="auto"/>
        </w:rPr>
      </w:pPr>
    </w:p>
    <w:p>
      <w:pPr>
        <w:ind w:left="800" w:hanging="46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9"/>
          <w:szCs w:val="19"/>
          <w:color w:val="auto"/>
        </w:rPr>
        <w:t>I have reviewed this quarterly report of ClearOne Communications, Inc. on Form 10-Q;</w:t>
      </w:r>
    </w:p>
    <w:p>
      <w:pPr>
        <w:spacing w:after="0" w:line="132" w:lineRule="exact"/>
        <w:rPr>
          <w:rFonts w:ascii="Arial" w:cs="Arial" w:eastAsia="Arial" w:hAnsi="Arial"/>
          <w:sz w:val="18"/>
          <w:szCs w:val="18"/>
          <w:color w:val="auto"/>
        </w:rPr>
      </w:pPr>
    </w:p>
    <w:p>
      <w:pPr>
        <w:ind w:left="820" w:right="1819" w:hanging="488"/>
        <w:spacing w:after="0" w:line="238" w:lineRule="auto"/>
        <w:tabs>
          <w:tab w:leader="none" w:pos="793" w:val="left"/>
        </w:tabs>
        <w:numPr>
          <w:ilvl w:val="0"/>
          <w:numId w:val="9"/>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20"/>
          <w:szCs w:val="20"/>
          <w:color w:val="auto"/>
        </w:rPr>
      </w:pPr>
    </w:p>
    <w:p>
      <w:pPr>
        <w:ind w:left="820" w:right="2179" w:hanging="488"/>
        <w:spacing w:after="0" w:line="238" w:lineRule="auto"/>
        <w:tabs>
          <w:tab w:leader="none" w:pos="793" w:val="left"/>
        </w:tabs>
        <w:numPr>
          <w:ilvl w:val="0"/>
          <w:numId w:val="9"/>
        </w:numPr>
        <w:rPr>
          <w:rFonts w:ascii="Arial" w:cs="Arial" w:eastAsia="Arial" w:hAnsi="Arial"/>
          <w:sz w:val="20"/>
          <w:szCs w:val="20"/>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20"/>
          <w:szCs w:val="20"/>
          <w:color w:val="auto"/>
        </w:rPr>
      </w:pPr>
    </w:p>
    <w:p>
      <w:pPr>
        <w:ind w:left="820" w:right="1839" w:hanging="488"/>
        <w:spacing w:after="0" w:line="287" w:lineRule="auto"/>
        <w:tabs>
          <w:tab w:leader="none" w:pos="793" w:val="left"/>
        </w:tabs>
        <w:numPr>
          <w:ilvl w:val="0"/>
          <w:numId w:val="9"/>
        </w:numPr>
        <w:rPr>
          <w:rFonts w:ascii="Arial" w:cs="Arial" w:eastAsia="Arial" w:hAnsi="Arial"/>
          <w:sz w:val="18"/>
          <w:szCs w:val="18"/>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820" w:right="1879" w:hanging="488"/>
        <w:spacing w:after="0" w:line="236" w:lineRule="auto"/>
        <w:tabs>
          <w:tab w:leader="none" w:pos="793" w:val="left"/>
        </w:tabs>
        <w:numPr>
          <w:ilvl w:val="0"/>
          <w:numId w:val="10"/>
        </w:numPr>
        <w:rPr>
          <w:rFonts w:ascii="Arial" w:cs="Arial" w:eastAsia="Arial" w:hAnsi="Arial"/>
          <w:sz w:val="20"/>
          <w:szCs w:val="20"/>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20"/>
          <w:szCs w:val="20"/>
          <w:color w:val="auto"/>
        </w:rPr>
      </w:pPr>
    </w:p>
    <w:p>
      <w:pPr>
        <w:ind w:left="820" w:right="1819" w:hanging="488"/>
        <w:spacing w:after="0" w:line="236" w:lineRule="auto"/>
        <w:tabs>
          <w:tab w:leader="none" w:pos="793" w:val="left"/>
        </w:tabs>
        <w:numPr>
          <w:ilvl w:val="0"/>
          <w:numId w:val="10"/>
        </w:numPr>
        <w:rPr>
          <w:rFonts w:ascii="Arial" w:cs="Arial" w:eastAsia="Arial" w:hAnsi="Arial"/>
          <w:sz w:val="20"/>
          <w:szCs w:val="20"/>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20"/>
          <w:szCs w:val="20"/>
          <w:color w:val="auto"/>
        </w:rPr>
      </w:pPr>
    </w:p>
    <w:p>
      <w:pPr>
        <w:ind w:left="820" w:right="2079" w:hanging="488"/>
        <w:spacing w:after="0" w:line="238" w:lineRule="auto"/>
        <w:tabs>
          <w:tab w:leader="none" w:pos="793" w:val="left"/>
        </w:tabs>
        <w:numPr>
          <w:ilvl w:val="0"/>
          <w:numId w:val="10"/>
        </w:numPr>
        <w:rPr>
          <w:rFonts w:ascii="Arial" w:cs="Arial" w:eastAsia="Arial" w:hAnsi="Arial"/>
          <w:sz w:val="20"/>
          <w:szCs w:val="20"/>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20"/>
          <w:szCs w:val="20"/>
          <w:color w:val="auto"/>
        </w:rPr>
      </w:pPr>
    </w:p>
    <w:p>
      <w:pPr>
        <w:ind w:left="820" w:right="1799" w:hanging="488"/>
        <w:spacing w:after="0" w:line="236" w:lineRule="auto"/>
        <w:tabs>
          <w:tab w:leader="none" w:pos="793" w:val="left"/>
        </w:tabs>
        <w:numPr>
          <w:ilvl w:val="0"/>
          <w:numId w:val="10"/>
        </w:numPr>
        <w:rPr>
          <w:rFonts w:ascii="Arial" w:cs="Arial" w:eastAsia="Arial" w:hAnsi="Arial"/>
          <w:sz w:val="20"/>
          <w:szCs w:val="20"/>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6" w:lineRule="exact"/>
        <w:rPr>
          <w:sz w:val="20"/>
          <w:szCs w:val="20"/>
          <w:color w:val="auto"/>
        </w:rPr>
      </w:pPr>
    </w:p>
    <w:p>
      <w:pPr>
        <w:ind w:left="820" w:right="1959" w:hanging="488"/>
        <w:spacing w:after="0" w:line="238" w:lineRule="auto"/>
        <w:tabs>
          <w:tab w:leader="none" w:pos="793" w:val="left"/>
        </w:tabs>
        <w:numPr>
          <w:ilvl w:val="0"/>
          <w:numId w:val="11"/>
        </w:numPr>
        <w:rPr>
          <w:rFonts w:ascii="Arial" w:cs="Arial" w:eastAsia="Arial" w:hAnsi="Arial"/>
          <w:sz w:val="20"/>
          <w:szCs w:val="20"/>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sz w:val="20"/>
          <w:szCs w:val="20"/>
          <w:color w:val="auto"/>
        </w:rPr>
      </w:pPr>
    </w:p>
    <w:p>
      <w:pPr>
        <w:ind w:left="820" w:right="1899" w:hanging="488"/>
        <w:spacing w:after="0" w:line="238" w:lineRule="auto"/>
        <w:tabs>
          <w:tab w:leader="none" w:pos="793" w:val="left"/>
        </w:tabs>
        <w:numPr>
          <w:ilvl w:val="0"/>
          <w:numId w:val="12"/>
        </w:numPr>
        <w:rPr>
          <w:rFonts w:ascii="Arial" w:cs="Arial" w:eastAsia="Arial" w:hAnsi="Arial"/>
          <w:sz w:val="20"/>
          <w:szCs w:val="20"/>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20"/>
          <w:szCs w:val="20"/>
          <w:color w:val="auto"/>
        </w:rPr>
      </w:pPr>
    </w:p>
    <w:p>
      <w:pPr>
        <w:ind w:left="820" w:right="1899" w:hanging="488"/>
        <w:spacing w:after="0" w:line="328" w:lineRule="auto"/>
        <w:tabs>
          <w:tab w:leader="none" w:pos="793" w:val="left"/>
        </w:tabs>
        <w:numPr>
          <w:ilvl w:val="0"/>
          <w:numId w:val="12"/>
        </w:numPr>
        <w:rPr>
          <w:rFonts w:ascii="Arial" w:cs="Arial" w:eastAsia="Arial" w:hAnsi="Arial"/>
          <w:sz w:val="18"/>
          <w:szCs w:val="18"/>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Vice President of Finance</w:t>
      </w:r>
    </w:p>
    <w:p>
      <w:pPr>
        <w:sectPr>
          <w:pgSz w:w="11900" w:h="16838" w:orient="portrait"/>
          <w:cols w:equalWidth="0" w:num="1">
            <w:col w:w="10219"/>
          </w:cols>
          <w:pgMar w:left="240" w:top="111" w:right="1440" w:bottom="1440" w:gutter="0" w:footer="0" w:header="0"/>
        </w:sectPr>
      </w:pP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0219"/>
          </w:cols>
          <w:pgMar w:left="240" w:top="111" w:right="1440" w:bottom="1440" w:gutter="0" w:footer="0" w:header="0"/>
          <w:type w:val="continuous"/>
        </w:sectPr>
      </w:pPr>
    </w:p>
    <w:bookmarkStart w:id="25" w:name="page26"/>
    <w:bookmarkEnd w:id="25"/>
    <w:p>
      <w:pPr>
        <w:jc w:val="right"/>
        <w:ind w:right="1779"/>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1859"/>
        <w:spacing w:after="0" w:line="234" w:lineRule="auto"/>
        <w:rPr>
          <w:sz w:val="20"/>
          <w:szCs w:val="20"/>
          <w:color w:val="auto"/>
        </w:rPr>
      </w:pPr>
      <w:r>
        <w:rPr>
          <w:rFonts w:ascii="Arial" w:cs="Arial" w:eastAsia="Arial" w:hAnsi="Arial"/>
          <w:sz w:val="22"/>
          <w:szCs w:val="22"/>
          <w:color w:val="auto"/>
        </w:rPr>
        <w:t>I, Zeynep Hakimoglu, certify, to my best knowledge and belief, pursuant to 18 U.S.C. Section 1350, as adopted pursuant to Section 906 of the Sarbanes-Oxley Act of 2002, that the Quarterly Report of ClearOne Communications, Inc. on Form 10-Q for the quarter ended March 31, 2011,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219"/>
          </w:cols>
          <w:pgMar w:left="240" w:top="111" w:right="1440" w:bottom="1440" w:gutter="0" w:footer="0" w:header="0"/>
        </w:sectPr>
      </w:pPr>
    </w:p>
    <w:bookmarkStart w:id="26" w:name="page27"/>
    <w:bookmarkEnd w:id="26"/>
    <w:p>
      <w:pPr>
        <w:jc w:val="right"/>
        <w:ind w:right="1779"/>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Pursuant to 18 U.S.C. Section 1350,</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1859"/>
        <w:spacing w:after="0" w:line="234" w:lineRule="auto"/>
        <w:rPr>
          <w:sz w:val="20"/>
          <w:szCs w:val="20"/>
          <w:color w:val="auto"/>
        </w:rPr>
      </w:pPr>
      <w:r>
        <w:rPr>
          <w:rFonts w:ascii="Arial" w:cs="Arial" w:eastAsia="Arial" w:hAnsi="Arial"/>
          <w:sz w:val="22"/>
          <w:szCs w:val="22"/>
          <w:color w:val="auto"/>
        </w:rPr>
        <w:t>I, Narsi Narayanan, certify, to my best knowledge and belief, pursuant to 18 U.S.C. Section 1350, as adopted pursuant to Section 906 of the Sarbanes-Oxley Act of 2002, that the Quarterly Report of ClearOne Communications, Inc. on Form 10-Q for the quarter ended March 31, 2011,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4100" w:val="left"/>
          <w:tab w:leader="none" w:pos="4660" w:val="left"/>
        </w:tabs>
        <w:rPr>
          <w:sz w:val="20"/>
          <w:szCs w:val="20"/>
          <w:color w:val="auto"/>
        </w:rPr>
      </w:pPr>
      <w:r>
        <w:rPr>
          <w:rFonts w:ascii="Arial" w:cs="Arial" w:eastAsia="Arial" w:hAnsi="Arial"/>
          <w:sz w:val="18"/>
          <w:szCs w:val="18"/>
          <w:color w:val="auto"/>
        </w:rPr>
        <w:t>May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-130175</wp:posOffset>
            </wp:positionV>
            <wp:extent cx="1577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Vice President of Finance</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2019-12-10T09:07:58Z</dcterms:created>
  <dcterms:modified xsi:type="dcterms:W3CDTF">2019-12-10T09:07:58Z</dcterms:modified>
</cp:coreProperties>
</file>