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18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10-Q/A</w:t>
      </w:r>
    </w:p>
    <w:p>
      <w:pPr>
        <w:spacing w:after="0" w:line="4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173"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90" w:lineRule="exact"/>
        <w:rPr>
          <w:sz w:val="24"/>
          <w:szCs w:val="24"/>
          <w:color w:val="auto"/>
        </w:rPr>
      </w:pPr>
    </w:p>
    <w:p>
      <w:pPr>
        <w:ind w:left="660" w:right="2760" w:hanging="652"/>
        <w:spacing w:after="0" w:line="258" w:lineRule="auto"/>
        <w:tabs>
          <w:tab w:leader="none" w:pos="363"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 xml:space="preserve">For the quarterly period ended </w:t>
      </w:r>
      <w:r>
        <w:rPr>
          <w:rFonts w:ascii="Arial" w:cs="Arial" w:eastAsia="Arial" w:hAnsi="Arial"/>
          <w:sz w:val="16"/>
          <w:szCs w:val="16"/>
          <w:u w:val="single" w:color="auto"/>
          <w:color w:val="auto"/>
        </w:rPr>
        <w:t>March 31, 2015</w:t>
      </w:r>
    </w:p>
    <w:p>
      <w:pPr>
        <w:ind w:left="1300"/>
        <w:spacing w:after="0"/>
        <w:rPr>
          <w:rFonts w:ascii="Arial" w:cs="Arial" w:eastAsia="Arial" w:hAnsi="Arial"/>
          <w:sz w:val="16"/>
          <w:szCs w:val="16"/>
          <w:color w:val="auto"/>
        </w:rPr>
      </w:pPr>
      <w:r>
        <w:rPr>
          <w:rFonts w:ascii="Arial" w:cs="Arial" w:eastAsia="Arial" w:hAnsi="Arial"/>
          <w:sz w:val="16"/>
          <w:szCs w:val="16"/>
          <w:color w:val="auto"/>
        </w:rPr>
        <w:t>or</w:t>
      </w:r>
    </w:p>
    <w:p>
      <w:pPr>
        <w:spacing w:after="0" w:line="5" w:lineRule="exact"/>
        <w:rPr>
          <w:sz w:val="24"/>
          <w:szCs w:val="24"/>
          <w:color w:val="auto"/>
        </w:rPr>
      </w:pPr>
    </w:p>
    <w:p>
      <w:pPr>
        <w:ind w:left="660" w:right="2820" w:hanging="652"/>
        <w:spacing w:after="0" w:line="257" w:lineRule="auto"/>
        <w:tabs>
          <w:tab w:leader="none" w:pos="106"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TRANSITION REPORT PURSUANT TO SECTION 13 OR 15(d) OF THE SECURITIES EXCHANGE ACT OF 1934</w:t>
      </w:r>
      <w:r>
        <w:rPr>
          <w:rFonts w:ascii="Arial" w:cs="Arial" w:eastAsia="Arial" w:hAnsi="Arial"/>
          <w:sz w:val="16"/>
          <w:szCs w:val="16"/>
          <w:color w:val="auto"/>
        </w:rPr>
        <w:t xml:space="preserve"> For the transition period _______ to _______</w:t>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u w:val="single" w:color="auto"/>
          <w:color w:val="auto"/>
        </w:rPr>
        <w:t>001-33660</w:t>
      </w:r>
    </w:p>
    <w:p>
      <w:pPr>
        <w:spacing w:after="0" w:line="200" w:lineRule="exact"/>
        <w:rPr>
          <w:sz w:val="24"/>
          <w:szCs w:val="24"/>
          <w:color w:val="auto"/>
        </w:rPr>
      </w:pPr>
    </w:p>
    <w:p>
      <w:pPr>
        <w:spacing w:after="0" w:line="264"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CLEARONE, INC.</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520" w:type="dxa"/>
        <w:tblCellMar>
          <w:top w:w="0" w:type="dxa"/>
          <w:left w:w="0" w:type="dxa"/>
          <w:bottom w:w="0" w:type="dxa"/>
          <w:right w:w="0" w:type="dxa"/>
        </w:tblCellMar>
      </w:tblPr>
      <w:tr>
        <w:trPr>
          <w:trHeight w:val="210"/>
        </w:trPr>
        <w:tc>
          <w:tcPr>
            <w:tcW w:w="4620" w:type="dxa"/>
            <w:vAlign w:val="bottom"/>
          </w:tcPr>
          <w:p>
            <w:pPr>
              <w:jc w:val="center"/>
              <w:ind w:left="719"/>
              <w:spacing w:after="0"/>
              <w:rPr>
                <w:sz w:val="20"/>
                <w:szCs w:val="20"/>
                <w:color w:val="auto"/>
              </w:rPr>
            </w:pPr>
            <w:r>
              <w:rPr>
                <w:rFonts w:ascii="Arial" w:cs="Arial" w:eastAsia="Arial" w:hAnsi="Arial"/>
                <w:sz w:val="16"/>
                <w:szCs w:val="16"/>
                <w:b w:val="1"/>
                <w:bCs w:val="1"/>
                <w:color w:val="auto"/>
                <w:w w:val="95"/>
              </w:rPr>
              <w:t>Utah</w:t>
            </w:r>
          </w:p>
        </w:tc>
        <w:tc>
          <w:tcPr>
            <w:tcW w:w="5780" w:type="dxa"/>
            <w:vAlign w:val="bottom"/>
            <w:gridSpan w:val="3"/>
          </w:tcPr>
          <w:p>
            <w:pPr>
              <w:jc w:val="right"/>
              <w:ind w:right="1559"/>
              <w:spacing w:after="0"/>
              <w:rPr>
                <w:sz w:val="20"/>
                <w:szCs w:val="20"/>
                <w:color w:val="auto"/>
              </w:rPr>
            </w:pPr>
            <w:r>
              <w:rPr>
                <w:rFonts w:ascii="Arial" w:cs="Arial" w:eastAsia="Arial" w:hAnsi="Arial"/>
                <w:sz w:val="16"/>
                <w:szCs w:val="16"/>
                <w:b w:val="1"/>
                <w:bCs w:val="1"/>
                <w:color w:val="auto"/>
              </w:rPr>
              <w:t>87-0398877</w:t>
            </w:r>
          </w:p>
        </w:tc>
      </w:tr>
      <w:tr>
        <w:trPr>
          <w:trHeight w:val="47"/>
        </w:trPr>
        <w:tc>
          <w:tcPr>
            <w:tcW w:w="46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r>
      <w:tr>
        <w:trPr>
          <w:trHeight w:val="217"/>
        </w:trPr>
        <w:tc>
          <w:tcPr>
            <w:tcW w:w="4620" w:type="dxa"/>
            <w:vAlign w:val="bottom"/>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Arial" w:cs="Arial" w:eastAsia="Arial" w:hAnsi="Arial"/>
                <w:sz w:val="16"/>
                <w:szCs w:val="16"/>
                <w:color w:val="auto"/>
              </w:rPr>
              <w:t>(I.R.S. employer identification number)</w:t>
            </w:r>
          </w:p>
        </w:tc>
      </w:tr>
      <w:tr>
        <w:trPr>
          <w:trHeight w:val="257"/>
        </w:trPr>
        <w:tc>
          <w:tcPr>
            <w:tcW w:w="4620" w:type="dxa"/>
            <w:vAlign w:val="bottom"/>
          </w:tcPr>
          <w:p>
            <w:pPr>
              <w:jc w:val="center"/>
              <w:ind w:left="719"/>
              <w:spacing w:after="0"/>
              <w:rPr>
                <w:sz w:val="20"/>
                <w:szCs w:val="20"/>
                <w:color w:val="auto"/>
              </w:rPr>
            </w:pPr>
            <w:r>
              <w:rPr>
                <w:rFonts w:ascii="Arial" w:cs="Arial" w:eastAsia="Arial" w:hAnsi="Arial"/>
                <w:sz w:val="16"/>
                <w:szCs w:val="16"/>
                <w:b w:val="1"/>
                <w:bCs w:val="1"/>
                <w:color w:val="auto"/>
                <w:w w:val="92"/>
              </w:rPr>
              <w:t>5225 Wiley Post Way, Suite 500, Salt Lake City, Utah</w:t>
            </w:r>
          </w:p>
        </w:tc>
        <w:tc>
          <w:tcPr>
            <w:tcW w:w="5780" w:type="dxa"/>
            <w:vAlign w:val="bottom"/>
            <w:gridSpan w:val="3"/>
          </w:tcPr>
          <w:p>
            <w:pPr>
              <w:jc w:val="right"/>
              <w:ind w:right="1759"/>
              <w:spacing w:after="0"/>
              <w:rPr>
                <w:sz w:val="20"/>
                <w:szCs w:val="20"/>
                <w:color w:val="auto"/>
              </w:rPr>
            </w:pPr>
            <w:r>
              <w:rPr>
                <w:rFonts w:ascii="Arial" w:cs="Arial" w:eastAsia="Arial" w:hAnsi="Arial"/>
                <w:sz w:val="16"/>
                <w:szCs w:val="16"/>
                <w:b w:val="1"/>
                <w:bCs w:val="1"/>
                <w:color w:val="auto"/>
              </w:rPr>
              <w:t>84116</w:t>
            </w:r>
          </w:p>
        </w:tc>
      </w:tr>
      <w:tr>
        <w:trPr>
          <w:trHeight w:val="47"/>
        </w:trPr>
        <w:tc>
          <w:tcPr>
            <w:tcW w:w="46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r>
      <w:tr>
        <w:trPr>
          <w:trHeight w:val="217"/>
        </w:trPr>
        <w:tc>
          <w:tcPr>
            <w:tcW w:w="4620" w:type="dxa"/>
            <w:vAlign w:val="bottom"/>
          </w:tcPr>
          <w:p>
            <w:pPr>
              <w:jc w:val="center"/>
              <w:ind w:left="699"/>
              <w:spacing w:after="0"/>
              <w:rPr>
                <w:sz w:val="20"/>
                <w:szCs w:val="20"/>
                <w:color w:val="auto"/>
              </w:rPr>
            </w:pPr>
            <w:r>
              <w:rPr>
                <w:rFonts w:ascii="Arial" w:cs="Arial" w:eastAsia="Arial" w:hAnsi="Arial"/>
                <w:sz w:val="16"/>
                <w:szCs w:val="16"/>
                <w:color w:val="auto"/>
                <w:w w:val="93"/>
              </w:rPr>
              <w:t>(Address of principal executive offices)</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60" w:type="dxa"/>
            <w:vAlign w:val="bottom"/>
          </w:tcPr>
          <w:p>
            <w:pPr>
              <w:ind w:left="1660"/>
              <w:spacing w:after="0"/>
              <w:rPr>
                <w:sz w:val="20"/>
                <w:szCs w:val="20"/>
                <w:color w:val="auto"/>
              </w:rPr>
            </w:pPr>
            <w:r>
              <w:rPr>
                <w:rFonts w:ascii="Arial" w:cs="Arial" w:eastAsia="Arial" w:hAnsi="Arial"/>
                <w:sz w:val="16"/>
                <w:szCs w:val="16"/>
                <w:color w:val="auto"/>
              </w:rPr>
              <w:t>(Zip Code)</w:t>
            </w:r>
          </w:p>
        </w:tc>
      </w:tr>
      <w:tr>
        <w:trPr>
          <w:trHeight w:val="257"/>
        </w:trPr>
        <w:tc>
          <w:tcPr>
            <w:tcW w:w="4620" w:type="dxa"/>
            <w:vAlign w:val="bottom"/>
          </w:tcPr>
          <w:p>
            <w:pPr>
              <w:spacing w:after="0"/>
              <w:rPr>
                <w:sz w:val="22"/>
                <w:szCs w:val="22"/>
                <w:color w:val="auto"/>
              </w:rPr>
            </w:pPr>
          </w:p>
        </w:tc>
        <w:tc>
          <w:tcPr>
            <w:tcW w:w="172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w w:val="96"/>
              </w:rPr>
              <w:t>(801) 975-7200</w:t>
            </w:r>
          </w:p>
        </w:tc>
        <w:tc>
          <w:tcPr>
            <w:tcW w:w="406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330835</wp:posOffset>
            </wp:positionH>
            <wp:positionV relativeFrom="paragraph">
              <wp:posOffset>20955</wp:posOffset>
            </wp:positionV>
            <wp:extent cx="66033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262" w:lineRule="exact"/>
        <w:rPr>
          <w:sz w:val="24"/>
          <w:szCs w:val="24"/>
          <w:color w:val="auto"/>
        </w:rPr>
      </w:pPr>
    </w:p>
    <w:p>
      <w:pPr>
        <w:jc w:val="both"/>
        <w:ind w:right="20"/>
        <w:spacing w:after="0" w:line="349" w:lineRule="auto"/>
        <w:rPr>
          <w:sz w:val="20"/>
          <w:szCs w:val="20"/>
          <w:color w:val="auto"/>
        </w:rPr>
      </w:pPr>
      <w:r>
        <w:rPr>
          <w:rFonts w:ascii="Arial" w:cs="Arial" w:eastAsia="Arial" w:hAnsi="Arial"/>
          <w:sz w:val="14"/>
          <w:szCs w:val="14"/>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 No [x]</w:t>
      </w:r>
    </w:p>
    <w:p>
      <w:pPr>
        <w:spacing w:after="0" w:line="99"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 No [x]</w:t>
      </w:r>
    </w:p>
    <w:p>
      <w:pPr>
        <w:spacing w:after="0" w:line="156" w:lineRule="exact"/>
        <w:rPr>
          <w:sz w:val="24"/>
          <w:szCs w:val="24"/>
          <w:color w:val="auto"/>
        </w:rPr>
      </w:pPr>
    </w:p>
    <w:p>
      <w:pPr>
        <w:spacing w:after="0"/>
        <w:rPr>
          <w:sz w:val="20"/>
          <w:szCs w:val="20"/>
          <w:color w:val="auto"/>
        </w:rPr>
      </w:pPr>
      <w:r>
        <w:rPr>
          <w:rFonts w:ascii="Arial" w:cs="Arial" w:eastAsia="Arial" w:hAnsi="Arial"/>
          <w:sz w:val="16"/>
          <w:szCs w:val="16"/>
          <w:color w:val="auto"/>
        </w:rPr>
        <w:t>See the definition of “large accelerated filer, “accelerated filer” and “smaller reporting company” in Rule 12b-2 of the Exchange Act. (Check one):</w:t>
      </w:r>
    </w:p>
    <w:p>
      <w:pPr>
        <w:sectPr>
          <w:pgSz w:w="11900" w:h="16838" w:orient="portrait"/>
          <w:cols w:equalWidth="0" w:num="1">
            <w:col w:w="11380"/>
          </w:cols>
          <w:pgMar w:left="240" w:top="477" w:right="279" w:bottom="1440" w:gutter="0" w:footer="0" w:header="0"/>
        </w:sectPr>
      </w:pPr>
    </w:p>
    <w:p>
      <w:pPr>
        <w:spacing w:after="0" w:line="167" w:lineRule="exact"/>
        <w:rPr>
          <w:sz w:val="24"/>
          <w:szCs w:val="24"/>
          <w:color w:val="auto"/>
        </w:rPr>
      </w:pPr>
    </w:p>
    <w:p>
      <w:pPr>
        <w:ind w:left="40"/>
        <w:spacing w:after="0"/>
        <w:rPr>
          <w:sz w:val="20"/>
          <w:szCs w:val="20"/>
          <w:color w:val="auto"/>
        </w:rPr>
      </w:pPr>
      <w:r>
        <w:rPr>
          <w:rFonts w:ascii="Arial" w:cs="Arial" w:eastAsia="Arial" w:hAnsi="Arial"/>
          <w:sz w:val="15"/>
          <w:szCs w:val="15"/>
          <w:color w:val="auto"/>
        </w:rPr>
        <w:t>Larger Accelerated Filer [ ]</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 ]</w:t>
      </w:r>
    </w:p>
    <w:p>
      <w:pPr>
        <w:spacing w:after="0" w:line="165" w:lineRule="exact"/>
        <w:rPr>
          <w:sz w:val="24"/>
          <w:szCs w:val="24"/>
          <w:color w:val="auto"/>
        </w:rPr>
      </w:pPr>
    </w:p>
    <w:p>
      <w:pPr>
        <w:sectPr>
          <w:pgSz w:w="11900" w:h="16838" w:orient="portrait"/>
          <w:cols w:equalWidth="0" w:num="2">
            <w:col w:w="6080" w:space="720"/>
            <w:col w:w="4580"/>
          </w:cols>
          <w:pgMar w:left="240" w:top="477" w:right="27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3">
            <w:col w:w="6080" w:space="720"/>
            <w:col w:w="1860" w:space="120"/>
            <w:col w:w="2600"/>
          </w:cols>
          <w:pgMar w:left="240" w:top="477" w:right="279" w:bottom="1440" w:gutter="0" w:footer="0" w:header="0"/>
          <w:type w:val="continuous"/>
        </w:sectPr>
      </w:pPr>
    </w:p>
    <w:p>
      <w:pPr>
        <w:spacing w:after="0" w:line="11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 ] No [x]</w:t>
      </w:r>
    </w:p>
    <w:p>
      <w:pPr>
        <w:spacing w:after="0" w:line="194" w:lineRule="exact"/>
        <w:rPr>
          <w:sz w:val="24"/>
          <w:szCs w:val="24"/>
          <w:color w:val="auto"/>
        </w:rPr>
      </w:pPr>
    </w:p>
    <w:p>
      <w:pPr>
        <w:ind w:left="4000"/>
        <w:spacing w:after="0"/>
        <w:rPr>
          <w:sz w:val="20"/>
          <w:szCs w:val="20"/>
          <w:color w:val="auto"/>
        </w:rPr>
      </w:pPr>
      <w:r>
        <w:rPr>
          <w:rFonts w:ascii="Arial" w:cs="Arial" w:eastAsia="Arial" w:hAnsi="Arial"/>
          <w:sz w:val="16"/>
          <w:szCs w:val="16"/>
          <w:color w:val="auto"/>
        </w:rPr>
        <w:t>APPLICABLE ONLY TO CORPORATE ISSUERS:</w:t>
      </w:r>
    </w:p>
    <w:p>
      <w:pPr>
        <w:spacing w:after="0" w:line="194"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ClearOne common stock outstanding as of January 8, 2016 was 9,148,596.</w:t>
      </w:r>
    </w:p>
    <w:p>
      <w:pPr>
        <w:spacing w:after="0" w:line="200" w:lineRule="exact"/>
        <w:rPr>
          <w:sz w:val="24"/>
          <w:szCs w:val="24"/>
          <w:color w:val="auto"/>
        </w:rPr>
      </w:pPr>
    </w:p>
    <w:p>
      <w:pPr>
        <w:spacing w:after="0" w:line="20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EXPLANATORY NOTE</w:t>
      </w:r>
    </w:p>
    <w:p>
      <w:pPr>
        <w:spacing w:after="0" w:line="221" w:lineRule="exact"/>
        <w:rPr>
          <w:sz w:val="24"/>
          <w:szCs w:val="24"/>
          <w:color w:val="auto"/>
        </w:rPr>
      </w:pPr>
    </w:p>
    <w:p>
      <w:pPr>
        <w:ind w:right="160"/>
        <w:spacing w:after="0" w:line="272" w:lineRule="auto"/>
        <w:rPr>
          <w:sz w:val="20"/>
          <w:szCs w:val="20"/>
          <w:color w:val="auto"/>
        </w:rPr>
      </w:pPr>
      <w:r>
        <w:rPr>
          <w:rFonts w:ascii="Arial" w:cs="Arial" w:eastAsia="Arial" w:hAnsi="Arial"/>
          <w:sz w:val="17"/>
          <w:szCs w:val="17"/>
          <w:color w:val="auto"/>
        </w:rPr>
        <w:t>This Amendment No. 1 to ClearOne, Inc.’s (the “Company’s”) Quarterly Report on Form 10-Q for the quarterly period ended March 31, 2015 (the “Amendment”), as filed with the Securities and Exchange Commission (the “SEC”) on May 15, 2015 (the “Original Filing”), is being filed to amend Part I, Item 1 and Part II, Item 6 of the Original Filing following the re-review of the Company’s unaudited interim financial information for the quarterly period ended March 31, 2015 (the “Re-review”) by its current independent registered public accounting firm, Tanner LLC (“Tanner”). This Amendment is being filed to: (i) update disclosures in Part I, Item 1 with the inclusion of a Report of Independent Registered Public Accounting Firm on this Form 10-Q/A and updates of references to the Form 10-K/A resulting from the review and re-audit by Tanner, respectively; (ii) amend Part II, Item 6 of the Original Filing to include new certifications, as reflected in Exhibits 31.1, 31.2, 32.1 and 32.2; (iii) to</w:t>
      </w:r>
    </w:p>
    <w:p>
      <w:pPr>
        <w:sectPr>
          <w:pgSz w:w="11900" w:h="16838" w:orient="portrait"/>
          <w:cols w:equalWidth="0" w:num="1">
            <w:col w:w="11380"/>
          </w:cols>
          <w:pgMar w:left="240" w:top="477" w:right="279" w:bottom="1440" w:gutter="0" w:footer="0" w:header="0"/>
          <w:type w:val="continuous"/>
        </w:sectPr>
      </w:pPr>
    </w:p>
    <w:bookmarkStart w:id="1" w:name="page2"/>
    <w:bookmarkEnd w:id="1"/>
    <w:p>
      <w:pPr>
        <w:ind w:right="20"/>
        <w:spacing w:after="0" w:line="257" w:lineRule="auto"/>
        <w:rPr>
          <w:sz w:val="20"/>
          <w:szCs w:val="20"/>
          <w:color w:val="auto"/>
        </w:rPr>
      </w:pPr>
      <w:r>
        <w:rPr>
          <w:rFonts w:ascii="Arial" w:cs="Arial" w:eastAsia="Arial" w:hAnsi="Arial"/>
          <w:sz w:val="18"/>
          <w:szCs w:val="18"/>
          <w:color w:val="auto"/>
        </w:rPr>
        <w:t>replace the related XBRL files as Exhibit 101 to this Form 10-Q/A which incorporates XBRL references to subsequent events occurring after the Original 10-Q was filed; and (iv) to provide an acknowledgment from Tanner regarding the unaudited interim financial statements, as reflected in Exhibit 15.1. No other changes have been made to the Original Filing, and, except as set forth in Note 11 to the financial statements within the changes described above, this Amendment does not reflect events or transactions occurring after the date of the Original Filing or modify or update those disclosures that may have been affected by events or transactions occurring subsequent to such filing date.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BACKGROUND</w:t>
      </w:r>
    </w:p>
    <w:p>
      <w:pPr>
        <w:spacing w:after="0" w:line="194"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As previously disclosed, on October 8, 2015 ClearOne, Inc. ("the Company") received notice from its registered public accounting firm, McGladrey LLP ("McGladrey"), that McGladrey resigned effective October 8, 2015. McGladrey's resignation was not due to any reason related to the Company's financial reporting or accounting operations, policies or practices. In its resignation letter, McGladrey stated it had concluded that its independence had been impaired because an associated entity of McGladrey has provided certain prohibited non-audit services under applicable Securities and Exchange Commission rules and related Public Company Accounting Oversight Board professional practice standards to an international subsidiary of the Company.</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October 13, 2015 , the Company engaged Tanner LLC ("Tanner") to serve as its new independent registered public accounting firm for (a) the audit for the fiscal year ending December 31, 2015; (b) interim reviews for the periods ending September 30, 2015, March 31, 2016, June 30, 2016 and September 30, 2016; and (c) for the (i) re-audit and report of Independent Registered Public Accounting Firm relating to the Company's consolidated financial statements for the year ended December 31, 2014; and (ii) the re-review of the Company's financial statements for the interim periods ended March 31, 2015 and June 30, 2015. The Company’s unaudited interim financial statements for the quarter ended March 31, 2015 that are presented in this amended quarterly report have been prepared in accordance with U.S. Securities and Exchange Commission (“SEC”) rules.</w:t>
      </w:r>
    </w:p>
    <w:p>
      <w:pPr>
        <w:sectPr>
          <w:pgSz w:w="11900" w:h="16838" w:orient="portrait"/>
          <w:cols w:equalWidth="0" w:num="1">
            <w:col w:w="11400"/>
          </w:cols>
          <w:pgMar w:left="240" w:top="368" w:right="25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 FOR THE QUARTER ENDED MARCH 31, 2015</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760" w:type="dxa"/>
            <w:vAlign w:val="bottom"/>
            <w:gridSpan w:val="5"/>
          </w:tcPr>
          <w:p>
            <w:pPr>
              <w:jc w:val="center"/>
              <w:ind w:right="2360"/>
              <w:spacing w:after="0"/>
              <w:rPr>
                <w:sz w:val="20"/>
                <w:szCs w:val="20"/>
                <w:color w:val="auto"/>
              </w:rPr>
            </w:pPr>
            <w:r>
              <w:rPr>
                <w:rFonts w:ascii="Arial" w:cs="Arial" w:eastAsia="Arial" w:hAnsi="Arial"/>
                <w:sz w:val="18"/>
                <w:szCs w:val="18"/>
                <w:b w:val="1"/>
                <w:bCs w:val="1"/>
                <w:color w:val="auto"/>
              </w:rPr>
              <w:t>PART I – FINANCIAL INFORMATION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92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10260" w:type="dxa"/>
            <w:vAlign w:val="bottom"/>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60" w:type="dxa"/>
            <w:vAlign w:val="bottom"/>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March 31, 2015 Unaudited and December 31, 2014 Unaudited</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40" w:type="dxa"/>
            <w:vAlign w:val="bottom"/>
            <w:gridSpan w:val="2"/>
            <w:shd w:val="clear" w:color="auto" w:fill="0000EE"/>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60" w:type="dxa"/>
            <w:vAlign w:val="bottom"/>
            <w:gridSpan w:val="8"/>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Condensed Consolidated Statements of Income and Comprehensive Income for the three months ended March 31, 2015 and 2014</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3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58"/>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3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three months ended March 31, 2015 and 2014 Unaudited</w:t>
              </w:r>
            </w:hyperlink>
          </w:p>
        </w:tc>
        <w:tc>
          <w:tcPr>
            <w:tcW w:w="18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r>
      <w:tr>
        <w:trPr>
          <w:trHeight w:val="439"/>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60" w:type="dxa"/>
            <w:vAlign w:val="bottom"/>
            <w:gridSpan w:val="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180" w:type="dxa"/>
            <w:vAlign w:val="bottom"/>
            <w:gridSpan w:val="2"/>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6</w:t>
              </w:r>
            </w:hyperlink>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80" w:type="dxa"/>
            <w:vAlign w:val="bottom"/>
            <w:shd w:val="clear" w:color="auto" w:fill="0000EE"/>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80"/>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760" w:type="dxa"/>
            <w:vAlign w:val="bottom"/>
            <w:gridSpan w:val="5"/>
          </w:tcPr>
          <w:p>
            <w:pPr>
              <w:jc w:val="center"/>
              <w:ind w:right="2360"/>
              <w:spacing w:after="0"/>
              <w:rPr>
                <w:sz w:val="20"/>
                <w:szCs w:val="20"/>
                <w:color w:val="auto"/>
              </w:rPr>
            </w:pPr>
            <w:r>
              <w:rPr>
                <w:rFonts w:ascii="Arial" w:cs="Arial" w:eastAsia="Arial" w:hAnsi="Arial"/>
                <w:sz w:val="18"/>
                <w:szCs w:val="18"/>
                <w:b w:val="1"/>
                <w:bCs w:val="1"/>
                <w:color w:val="auto"/>
              </w:rPr>
              <w:t>PART II –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920" w:type="dxa"/>
            <w:vAlign w:val="bottom"/>
            <w:gridSpan w:val="2"/>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6.</w:t>
              </w:r>
            </w:hyperlink>
          </w:p>
        </w:tc>
        <w:tc>
          <w:tcPr>
            <w:tcW w:w="10260" w:type="dxa"/>
            <w:vAlign w:val="bottom"/>
            <w:gridSpan w:val="8"/>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7">
              <w:r>
                <w:rPr>
                  <w:rFonts w:ascii="Arial" w:cs="Arial" w:eastAsia="Arial" w:hAnsi="Arial"/>
                  <w:sz w:val="18"/>
                  <w:szCs w:val="18"/>
                  <w:color w:val="0000EE"/>
                  <w:w w:val="79"/>
                </w:rPr>
                <w:t>14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360"/>
          </w:cols>
          <w:pgMar w:left="280" w:top="364" w:right="25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ClearOne, Inc.:</w:t>
      </w:r>
    </w:p>
    <w:p>
      <w:pPr>
        <w:spacing w:after="0" w:line="21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have reviewed the consolidated balance sheet of ClearOne, Inc. (the Company) as of March 31, 2015, the related consolidated statements of income and comprehensive income and cash flows for the three-month periods ended March 31, 2015 and 2014. These consolidated financial statements are the responsibility of the Company’s management. 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 Based on our review, we are not aware of any material modifications that should be made to the consolidated financial statements referred to above for them to be in conformity with U.S. generally accepted accounting principles. We have audited, in accordance with standards of the Public Company Accounting Oversight Board (United States), the consolidated balance sheet of ClearOne, Inc. as of December 31, 2014, and the related consolidated statements of income and comprehensive income, equity, and cash flows for the year then ended (not presented herein); and in our report dated January 13, 2016 we expressed an unqualified opinion on those consolidated financial statements. In our opinion, the information set forth in the accompanying consolidated balance sheet as of December 31, 2014 and the consolidated statement of equity for the year ended December 31, 2014, is fairly stated, in all material respects, in relation to the consolidated financial statements from which it has been derived.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 Tanner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13, 2016</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7180" w:type="dxa"/>
            <w:vAlign w:val="bottom"/>
          </w:tcPr>
          <w:p>
            <w:pPr>
              <w:ind w:left="3280"/>
              <w:spacing w:after="0"/>
              <w:rPr>
                <w:sz w:val="20"/>
                <w:szCs w:val="20"/>
                <w:color w:val="auto"/>
              </w:rPr>
            </w:pPr>
            <w:r>
              <w:rPr>
                <w:rFonts w:ascii="Arial" w:cs="Arial" w:eastAsia="Arial" w:hAnsi="Arial"/>
                <w:sz w:val="16"/>
                <w:szCs w:val="16"/>
                <w:b w:val="1"/>
                <w:bCs w:val="1"/>
                <w:color w:val="auto"/>
              </w:rPr>
              <w:t>ASSETS</w:t>
            </w:r>
          </w:p>
        </w:tc>
        <w:tc>
          <w:tcPr>
            <w:tcW w:w="300" w:type="dxa"/>
            <w:vAlign w:val="bottom"/>
          </w:tcPr>
          <w:p>
            <w:pPr>
              <w:spacing w:after="0"/>
              <w:rPr>
                <w:sz w:val="22"/>
                <w:szCs w:val="22"/>
                <w:color w:val="auto"/>
              </w:rPr>
            </w:pPr>
          </w:p>
        </w:tc>
        <w:tc>
          <w:tcPr>
            <w:tcW w:w="186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2015</w:t>
            </w:r>
          </w:p>
        </w:tc>
        <w:tc>
          <w:tcPr>
            <w:tcW w:w="240" w:type="dxa"/>
            <w:vAlign w:val="bottom"/>
          </w:tcPr>
          <w:p>
            <w:pPr>
              <w:spacing w:after="0"/>
              <w:rPr>
                <w:sz w:val="22"/>
                <w:szCs w:val="22"/>
                <w:color w:val="auto"/>
              </w:rPr>
            </w:pPr>
          </w:p>
        </w:tc>
        <w:tc>
          <w:tcPr>
            <w:tcW w:w="1820" w:type="dxa"/>
            <w:vAlign w:val="bottom"/>
          </w:tcPr>
          <w:p>
            <w:pPr>
              <w:jc w:val="right"/>
              <w:ind w:right="290"/>
              <w:spacing w:after="0"/>
              <w:rPr>
                <w:sz w:val="20"/>
                <w:szCs w:val="20"/>
                <w:color w:val="auto"/>
              </w:rPr>
            </w:pPr>
            <w:r>
              <w:rPr>
                <w:rFonts w:ascii="Arial" w:cs="Arial" w:eastAsia="Arial" w:hAnsi="Arial"/>
                <w:sz w:val="16"/>
                <w:szCs w:val="16"/>
                <w:b w:val="1"/>
                <w:bCs w:val="1"/>
                <w:color w:val="auto"/>
                <w:w w:val="98"/>
              </w:rPr>
              <w:t>December 31, 2014</w:t>
            </w:r>
          </w:p>
        </w:tc>
        <w:tc>
          <w:tcPr>
            <w:tcW w:w="0" w:type="dxa"/>
            <w:vAlign w:val="bottom"/>
          </w:tcPr>
          <w:p>
            <w:pPr>
              <w:spacing w:after="0"/>
              <w:rPr>
                <w:sz w:val="1"/>
                <w:szCs w:val="1"/>
                <w:color w:val="auto"/>
              </w:rPr>
            </w:pPr>
          </w:p>
        </w:tc>
      </w:tr>
      <w:tr>
        <w:trPr>
          <w:trHeight w:val="244"/>
        </w:trPr>
        <w:tc>
          <w:tcPr>
            <w:tcW w:w="7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10,865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7,440</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6,994</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Receivables, net of allowance for doubtful accounts of $79 and $58, respectively</w:t>
            </w:r>
          </w:p>
        </w:tc>
        <w:tc>
          <w:tcPr>
            <w:tcW w:w="30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8,593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9,916</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12,766</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Distributor channel inventories</w:t>
            </w:r>
          </w:p>
        </w:tc>
        <w:tc>
          <w:tcPr>
            <w:tcW w:w="30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44,781</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Long-term marketable securities</w:t>
            </w:r>
          </w:p>
        </w:tc>
        <w:tc>
          <w:tcPr>
            <w:tcW w:w="30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18,133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19,162</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inventories, net</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Intangibles, net</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7,896</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12,724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12,724</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89,681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88,860</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1640"/>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1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3,854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3,057</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Deferred product revenue</w:t>
            </w:r>
          </w:p>
        </w:tc>
        <w:tc>
          <w:tcPr>
            <w:tcW w:w="30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4,684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5,004</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10,755</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Deferred rent</w:t>
            </w:r>
          </w:p>
        </w:tc>
        <w:tc>
          <w:tcPr>
            <w:tcW w:w="30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12,572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12,844</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w w:val="91"/>
              </w:rPr>
              <w:t>Common stock, par value $0.001, 50,000,000 shares authorized, 9,111,790 and 9,097,827 shares</w:t>
            </w: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340"/>
              <w:spacing w:after="0"/>
              <w:rPr>
                <w:sz w:val="20"/>
                <w:szCs w:val="20"/>
                <w:color w:val="auto"/>
              </w:rPr>
            </w:pPr>
            <w:r>
              <w:rPr>
                <w:rFonts w:ascii="Arial" w:cs="Arial" w:eastAsia="Arial" w:hAnsi="Arial"/>
                <w:sz w:val="18"/>
                <w:szCs w:val="18"/>
                <w:color w:val="auto"/>
              </w:rPr>
              <w:t>issued and outstanding</w:t>
            </w:r>
          </w:p>
        </w:tc>
        <w:tc>
          <w:tcPr>
            <w:tcW w:w="30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45,204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44,939</w:t>
            </w: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31,076</w:t>
            </w:r>
          </w:p>
        </w:tc>
        <w:tc>
          <w:tcPr>
            <w:tcW w:w="0" w:type="dxa"/>
            <w:vAlign w:val="bottom"/>
          </w:tcPr>
          <w:p>
            <w:pPr>
              <w:spacing w:after="0"/>
              <w:rPr>
                <w:sz w:val="1"/>
                <w:szCs w:val="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77,109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76,016</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89,681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88,860</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60" w:type="dxa"/>
            <w:vAlign w:val="bottom"/>
          </w:tcPr>
          <w:p>
            <w:pPr>
              <w:spacing w:after="0"/>
              <w:rPr>
                <w:sz w:val="18"/>
                <w:szCs w:val="18"/>
                <w:color w:val="auto"/>
              </w:rPr>
            </w:pPr>
          </w:p>
        </w:tc>
        <w:tc>
          <w:tcPr>
            <w:tcW w:w="3400" w:type="dxa"/>
            <w:vAlign w:val="bottom"/>
            <w:gridSpan w:val="4"/>
          </w:tcPr>
          <w:p>
            <w:pPr>
              <w:jc w:val="right"/>
              <w:ind w:right="91"/>
              <w:spacing w:after="0"/>
              <w:rPr>
                <w:sz w:val="20"/>
                <w:szCs w:val="20"/>
                <w:color w:val="auto"/>
              </w:rPr>
            </w:pPr>
            <w:r>
              <w:rPr>
                <w:rFonts w:ascii="Arial" w:cs="Arial" w:eastAsia="Arial" w:hAnsi="Arial"/>
                <w:sz w:val="16"/>
                <w:szCs w:val="16"/>
                <w:b w:val="1"/>
                <w:bCs w:val="1"/>
                <w:color w:val="auto"/>
              </w:rPr>
              <w:t>Three months ended March 31,</w:t>
            </w:r>
          </w:p>
        </w:tc>
        <w:tc>
          <w:tcPr>
            <w:tcW w:w="860" w:type="dxa"/>
            <w:vAlign w:val="bottom"/>
          </w:tcPr>
          <w:p>
            <w:pPr>
              <w:spacing w:after="0"/>
              <w:rPr>
                <w:sz w:val="18"/>
                <w:szCs w:val="18"/>
                <w:color w:val="auto"/>
              </w:rPr>
            </w:pPr>
          </w:p>
        </w:tc>
      </w:tr>
      <w:tr>
        <w:trPr>
          <w:trHeight w:val="33"/>
        </w:trPr>
        <w:tc>
          <w:tcPr>
            <w:tcW w:w="71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7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860" w:type="dxa"/>
            <w:vAlign w:val="bottom"/>
          </w:tcPr>
          <w:p>
            <w:pPr>
              <w:spacing w:after="0"/>
              <w:rPr>
                <w:sz w:val="18"/>
                <w:szCs w:val="18"/>
                <w:color w:val="auto"/>
              </w:rPr>
            </w:pPr>
          </w:p>
        </w:tc>
      </w:tr>
      <w:tr>
        <w:trPr>
          <w:trHeight w:val="33"/>
        </w:trPr>
        <w:tc>
          <w:tcPr>
            <w:tcW w:w="71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220" w:type="dxa"/>
            <w:vAlign w:val="bottom"/>
            <w:tcBorders>
              <w:bottom w:val="single" w:sz="8" w:color="CCEEFF"/>
            </w:tcBorders>
            <w:shd w:val="clear" w:color="auto" w:fill="CCEEFF"/>
          </w:tcPr>
          <w:p>
            <w:pPr>
              <w:jc w:val="right"/>
              <w:ind w:right="99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13,586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9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12,708</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2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5,124</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5,006</w:t>
            </w:r>
          </w:p>
        </w:tc>
      </w:tr>
      <w:tr>
        <w:trPr>
          <w:trHeight w:val="27"/>
        </w:trPr>
        <w:tc>
          <w:tcPr>
            <w:tcW w:w="71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8,462</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7,702</w:t>
            </w:r>
          </w:p>
        </w:tc>
      </w:tr>
      <w:tr>
        <w:trPr>
          <w:trHeight w:val="291"/>
        </w:trPr>
        <w:tc>
          <w:tcPr>
            <w:tcW w:w="716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77"/>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2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2,737</w:t>
            </w:r>
          </w:p>
        </w:tc>
      </w:tr>
      <w:tr>
        <w:trPr>
          <w:trHeight w:val="27"/>
        </w:trPr>
        <w:tc>
          <w:tcPr>
            <w:tcW w:w="7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product development</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2,241</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2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1,968</w:t>
            </w:r>
          </w:p>
        </w:tc>
      </w:tr>
      <w:tr>
        <w:trPr>
          <w:trHeight w:val="27"/>
        </w:trPr>
        <w:tc>
          <w:tcPr>
            <w:tcW w:w="71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1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6,563</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6,946</w:t>
            </w:r>
          </w:p>
        </w:tc>
      </w:tr>
      <w:tr>
        <w:trPr>
          <w:trHeight w:val="291"/>
        </w:trPr>
        <w:tc>
          <w:tcPr>
            <w:tcW w:w="716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12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7"/>
        </w:trPr>
        <w:tc>
          <w:tcPr>
            <w:tcW w:w="71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2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352</w:t>
            </w:r>
          </w:p>
        </w:tc>
      </w:tr>
      <w:tr>
        <w:trPr>
          <w:trHeight w:val="27"/>
        </w:trPr>
        <w:tc>
          <w:tcPr>
            <w:tcW w:w="71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220" w:type="dxa"/>
            <w:vAlign w:val="bottom"/>
            <w:tcBorders>
              <w:bottom w:val="single" w:sz="8" w:color="auto"/>
            </w:tcBorders>
            <w:shd w:val="clear" w:color="auto" w:fill="CCEEFF"/>
          </w:tcPr>
          <w:p>
            <w:pPr>
              <w:jc w:val="right"/>
              <w:ind w:right="99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99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485</w:t>
            </w:r>
          </w:p>
        </w:tc>
      </w:tr>
      <w:tr>
        <w:trPr>
          <w:trHeight w:val="20"/>
        </w:trPr>
        <w:tc>
          <w:tcPr>
            <w:tcW w:w="7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84"/>
        </w:trPr>
        <w:tc>
          <w:tcPr>
            <w:tcW w:w="7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1220" w:type="dxa"/>
            <w:vAlign w:val="bottom"/>
            <w:tcBorders>
              <w:bottom w:val="single" w:sz="8" w:color="CCEEFF"/>
            </w:tcBorders>
            <w:shd w:val="clear" w:color="auto" w:fill="CCEEFF"/>
          </w:tcPr>
          <w:p>
            <w:pPr>
              <w:jc w:val="right"/>
              <w:ind w:right="99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9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1220" w:type="dxa"/>
            <w:vAlign w:val="bottom"/>
          </w:tcPr>
          <w:p>
            <w:pPr>
              <w:jc w:val="right"/>
              <w:ind w:right="99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1220" w:type="dxa"/>
            <w:vAlign w:val="bottom"/>
          </w:tcPr>
          <w:p>
            <w:pPr>
              <w:jc w:val="right"/>
              <w:ind w:right="99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0.05</w:t>
            </w:r>
          </w:p>
        </w:tc>
      </w:tr>
      <w:tr>
        <w:trPr>
          <w:trHeight w:val="27"/>
        </w:trPr>
        <w:tc>
          <w:tcPr>
            <w:tcW w:w="7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97"/>
        </w:trPr>
        <w:tc>
          <w:tcPr>
            <w:tcW w:w="7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12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w w:val="89"/>
              </w:rPr>
              <w:t>9,100,107</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9,082,546</w:t>
            </w:r>
          </w:p>
        </w:tc>
      </w:tr>
      <w:tr>
        <w:trPr>
          <w:trHeight w:val="27"/>
        </w:trPr>
        <w:tc>
          <w:tcPr>
            <w:tcW w:w="7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9,508,479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9,558,941</w:t>
            </w:r>
          </w:p>
        </w:tc>
      </w:tr>
      <w:tr>
        <w:trPr>
          <w:trHeight w:val="324"/>
        </w:trPr>
        <w:tc>
          <w:tcPr>
            <w:tcW w:w="7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20" w:type="dxa"/>
            <w:vAlign w:val="bottom"/>
          </w:tcPr>
          <w:p>
            <w:pPr>
              <w:jc w:val="right"/>
              <w:ind w:right="103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1"/>
                <w:szCs w:val="21"/>
                <w:color w:val="auto"/>
              </w:rPr>
            </w:pPr>
          </w:p>
        </w:tc>
        <w:tc>
          <w:tcPr>
            <w:tcW w:w="1220" w:type="dxa"/>
            <w:vAlign w:val="bottom"/>
          </w:tcPr>
          <w:p>
            <w:pPr>
              <w:jc w:val="right"/>
              <w:ind w:right="101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485</w:t>
            </w:r>
          </w:p>
        </w:tc>
      </w:tr>
      <w:tr>
        <w:trPr>
          <w:trHeight w:val="27"/>
        </w:trPr>
        <w:tc>
          <w:tcPr>
            <w:tcW w:w="7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160" w:type="dxa"/>
            <w:vAlign w:val="bottom"/>
          </w:tcPr>
          <w:p>
            <w:pPr>
              <w:ind w:left="300"/>
              <w:spacing w:after="0"/>
              <w:rPr>
                <w:sz w:val="20"/>
                <w:szCs w:val="20"/>
                <w:color w:val="auto"/>
              </w:rPr>
            </w:pPr>
            <w:r>
              <w:rPr>
                <w:rFonts w:ascii="Arial" w:cs="Arial" w:eastAsia="Arial" w:hAnsi="Arial"/>
                <w:sz w:val="18"/>
                <w:szCs w:val="18"/>
                <w:color w:val="auto"/>
              </w:rPr>
              <w:t>Unrealized gain on available-for-sale securities, net of tax</w:t>
            </w:r>
          </w:p>
        </w:tc>
        <w:tc>
          <w:tcPr>
            <w:tcW w:w="12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7"/>
        </w:trPr>
        <w:tc>
          <w:tcPr>
            <w:tcW w:w="7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1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Change in foreign currency translation adjustment</w:t>
            </w:r>
          </w:p>
        </w:tc>
        <w:tc>
          <w:tcPr>
            <w:tcW w:w="1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1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220" w:type="dxa"/>
            <w:vAlign w:val="bottom"/>
            <w:tcBorders>
              <w:top w:val="single" w:sz="8" w:color="auto"/>
              <w:bottom w:val="single" w:sz="8" w:color="auto"/>
            </w:tcBorders>
          </w:tcPr>
          <w:p>
            <w:pPr>
              <w:jc w:val="right"/>
              <w:ind w:right="103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ind w:right="1011"/>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558</w:t>
            </w:r>
          </w:p>
        </w:tc>
      </w:tr>
      <w:tr>
        <w:trPr>
          <w:trHeight w:val="20"/>
        </w:trPr>
        <w:tc>
          <w:tcPr>
            <w:tcW w:w="7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60" w:type="dxa"/>
            <w:vAlign w:val="bottom"/>
          </w:tcPr>
          <w:p>
            <w:pPr>
              <w:spacing w:after="0"/>
              <w:rPr>
                <w:sz w:val="18"/>
                <w:szCs w:val="18"/>
                <w:color w:val="auto"/>
              </w:rPr>
            </w:pPr>
          </w:p>
        </w:tc>
        <w:tc>
          <w:tcPr>
            <w:tcW w:w="3400" w:type="dxa"/>
            <w:vAlign w:val="bottom"/>
            <w:gridSpan w:val="4"/>
          </w:tcPr>
          <w:p>
            <w:pPr>
              <w:jc w:val="right"/>
              <w:ind w:right="133"/>
              <w:spacing w:after="0"/>
              <w:rPr>
                <w:sz w:val="20"/>
                <w:szCs w:val="20"/>
                <w:color w:val="auto"/>
              </w:rPr>
            </w:pPr>
            <w:r>
              <w:rPr>
                <w:rFonts w:ascii="Arial" w:cs="Arial" w:eastAsia="Arial" w:hAnsi="Arial"/>
                <w:sz w:val="16"/>
                <w:szCs w:val="16"/>
                <w:b w:val="1"/>
                <w:bCs w:val="1"/>
                <w:color w:val="auto"/>
              </w:rPr>
              <w:t>Three months ended March 31,</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2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26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Arial" w:cs="Arial" w:eastAsia="Arial" w:hAnsi="Arial"/>
                <w:sz w:val="16"/>
                <w:szCs w:val="16"/>
                <w:b w:val="1"/>
                <w:bCs w:val="1"/>
                <w:color w:val="auto"/>
              </w:rPr>
              <w:t>2015</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6"/>
                <w:szCs w:val="16"/>
                <w:b w:val="1"/>
                <w:bCs w:val="1"/>
                <w:color w:val="auto"/>
              </w:rPr>
              <w:t>2014</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300" w:type="dxa"/>
            <w:vAlign w:val="bottom"/>
          </w:tcPr>
          <w:p>
            <w:pPr>
              <w:jc w:val="right"/>
              <w:ind w:right="974"/>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21"/>
                <w:szCs w:val="21"/>
                <w:color w:val="auto"/>
              </w:rPr>
            </w:pPr>
          </w:p>
        </w:tc>
        <w:tc>
          <w:tcPr>
            <w:tcW w:w="1260" w:type="dxa"/>
            <w:vAlign w:val="bottom"/>
          </w:tcPr>
          <w:p>
            <w:pPr>
              <w:jc w:val="right"/>
              <w:ind w:right="933"/>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1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Depreciation and amortization expense</w:t>
            </w:r>
          </w:p>
        </w:tc>
        <w:tc>
          <w:tcPr>
            <w:tcW w:w="1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deferred rent</w:t>
            </w:r>
          </w:p>
        </w:tc>
        <w:tc>
          <w:tcPr>
            <w:tcW w:w="1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Provision for (recoveries of) doubtful accounts, net</w:t>
            </w:r>
          </w:p>
        </w:tc>
        <w:tc>
          <w:tcPr>
            <w:tcW w:w="1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Write-down of inventory to net realizable value</w:t>
            </w:r>
          </w:p>
        </w:tc>
        <w:tc>
          <w:tcPr>
            <w:tcW w:w="1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disposal of assets</w:t>
            </w:r>
          </w:p>
        </w:tc>
        <w:tc>
          <w:tcPr>
            <w:tcW w:w="1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Tax benefit from exercise of stock options</w:t>
            </w:r>
          </w:p>
        </w:tc>
        <w:tc>
          <w:tcPr>
            <w:tcW w:w="1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1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726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1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Receivables</w:t>
            </w:r>
          </w:p>
        </w:tc>
        <w:tc>
          <w:tcPr>
            <w:tcW w:w="1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 assets</w:t>
            </w:r>
          </w:p>
        </w:tc>
        <w:tc>
          <w:tcPr>
            <w:tcW w:w="1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1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Income taxes payable</w:t>
            </w:r>
          </w:p>
        </w:tc>
        <w:tc>
          <w:tcPr>
            <w:tcW w:w="1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product revenue</w:t>
            </w:r>
          </w:p>
        </w:tc>
        <w:tc>
          <w:tcPr>
            <w:tcW w:w="1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Other long-term liabilities</w:t>
            </w:r>
          </w:p>
        </w:tc>
        <w:tc>
          <w:tcPr>
            <w:tcW w:w="1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2,843</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183"/>
        </w:trPr>
        <w:tc>
          <w:tcPr>
            <w:tcW w:w="726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Payment towards business acquisitions</w:t>
            </w:r>
          </w:p>
        </w:tc>
        <w:tc>
          <w:tcPr>
            <w:tcW w:w="13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(13,060)</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Purchase of property and equipment</w:t>
            </w:r>
          </w:p>
        </w:tc>
        <w:tc>
          <w:tcPr>
            <w:tcW w:w="1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Purchase of intangibles</w:t>
            </w:r>
          </w:p>
        </w:tc>
        <w:tc>
          <w:tcPr>
            <w:tcW w:w="13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Proceeds from maturities and sales of marketable securities</w:t>
            </w:r>
          </w:p>
        </w:tc>
        <w:tc>
          <w:tcPr>
            <w:tcW w:w="1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Purchases of marketable securities</w:t>
            </w:r>
          </w:p>
        </w:tc>
        <w:tc>
          <w:tcPr>
            <w:tcW w:w="1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(1,612)</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7"/>
        </w:trPr>
        <w:tc>
          <w:tcPr>
            <w:tcW w:w="72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1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(14,179)</w:t>
            </w:r>
          </w:p>
        </w:tc>
        <w:tc>
          <w:tcPr>
            <w:tcW w:w="0" w:type="dxa"/>
            <w:vAlign w:val="bottom"/>
          </w:tcPr>
          <w:p>
            <w:pPr>
              <w:spacing w:after="0"/>
              <w:rPr>
                <w:sz w:val="1"/>
                <w:szCs w:val="1"/>
                <w:color w:val="auto"/>
              </w:rPr>
            </w:pPr>
          </w:p>
        </w:tc>
      </w:tr>
      <w:tr>
        <w:trPr>
          <w:trHeight w:val="156"/>
        </w:trPr>
        <w:tc>
          <w:tcPr>
            <w:tcW w:w="726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Net proceeds from equity-based compensation programs</w:t>
            </w:r>
          </w:p>
        </w:tc>
        <w:tc>
          <w:tcPr>
            <w:tcW w:w="1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Tax benefits from equity-based compensation programs</w:t>
            </w:r>
          </w:p>
        </w:tc>
        <w:tc>
          <w:tcPr>
            <w:tcW w:w="1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Stock registration costs</w:t>
            </w:r>
          </w:p>
        </w:tc>
        <w:tc>
          <w:tcPr>
            <w:tcW w:w="13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72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23"/>
        </w:trPr>
        <w:tc>
          <w:tcPr>
            <w:tcW w:w="7260" w:type="dxa"/>
            <w:vAlign w:val="bottom"/>
            <w:tcBorders>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26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3,425</w:t>
            </w:r>
          </w:p>
        </w:tc>
        <w:tc>
          <w:tcPr>
            <w:tcW w:w="12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(9,555)</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1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17,192</w:t>
            </w:r>
          </w:p>
        </w:tc>
        <w:tc>
          <w:tcPr>
            <w:tcW w:w="0" w:type="dxa"/>
            <w:vAlign w:val="bottom"/>
          </w:tcPr>
          <w:p>
            <w:pPr>
              <w:spacing w:after="0"/>
              <w:rPr>
                <w:sz w:val="1"/>
                <w:szCs w:val="1"/>
                <w:color w:val="auto"/>
              </w:rPr>
            </w:pPr>
          </w:p>
        </w:tc>
      </w:tr>
      <w:tr>
        <w:trPr>
          <w:trHeight w:val="257"/>
        </w:trPr>
        <w:tc>
          <w:tcPr>
            <w:tcW w:w="7260" w:type="dxa"/>
            <w:vAlign w:val="bottom"/>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1300" w:type="dxa"/>
            <w:vAlign w:val="bottom"/>
            <w:tcBorders>
              <w:top w:val="single" w:sz="8" w:color="auto"/>
              <w:bottom w:val="single" w:sz="8" w:color="auto"/>
            </w:tcBorders>
          </w:tcPr>
          <w:p>
            <w:pPr>
              <w:jc w:val="right"/>
              <w:ind w:right="974"/>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10,865</w:t>
            </w: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933"/>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7,637</w:t>
            </w:r>
          </w:p>
        </w:tc>
        <w:tc>
          <w:tcPr>
            <w:tcW w:w="0" w:type="dxa"/>
            <w:vAlign w:val="bottom"/>
          </w:tcPr>
          <w:p>
            <w:pPr>
              <w:spacing w:after="0"/>
              <w:rPr>
                <w:sz w:val="1"/>
                <w:szCs w:val="1"/>
                <w:color w:val="auto"/>
              </w:rPr>
            </w:pPr>
          </w:p>
        </w:tc>
      </w:tr>
      <w:tr>
        <w:trPr>
          <w:trHeight w:val="20"/>
        </w:trPr>
        <w:tc>
          <w:tcPr>
            <w:tcW w:w="7260" w:type="dxa"/>
            <w:vAlign w:val="bottom"/>
            <w:vMerge w:val="restart"/>
          </w:tcPr>
          <w:p>
            <w:pPr>
              <w:ind w:left="4820"/>
              <w:spacing w:after="0"/>
              <w:rPr>
                <w:sz w:val="20"/>
                <w:szCs w:val="20"/>
                <w:color w:val="auto"/>
              </w:rPr>
            </w:pPr>
            <w:r>
              <w:rPr>
                <w:rFonts w:ascii="Arial" w:cs="Arial" w:eastAsia="Arial" w:hAnsi="Arial"/>
                <w:sz w:val="18"/>
                <w:szCs w:val="18"/>
                <w:i w:val="1"/>
                <w:iCs w:val="1"/>
                <w:color w:val="auto"/>
              </w:rPr>
              <w:t>See accompanying notes</w:t>
            </w: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6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37"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supplemental cash flow activities: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540" w:type="dxa"/>
            <w:vAlign w:val="bottom"/>
            <w:gridSpan w:val="4"/>
          </w:tcPr>
          <w:p>
            <w:pPr>
              <w:jc w:val="right"/>
              <w:ind w:right="234"/>
              <w:spacing w:after="0"/>
              <w:rPr>
                <w:sz w:val="20"/>
                <w:szCs w:val="20"/>
                <w:color w:val="auto"/>
              </w:rPr>
            </w:pPr>
            <w:r>
              <w:rPr>
                <w:rFonts w:ascii="Arial" w:cs="Arial" w:eastAsia="Arial" w:hAnsi="Arial"/>
                <w:sz w:val="16"/>
                <w:szCs w:val="16"/>
                <w:b w:val="1"/>
                <w:bCs w:val="1"/>
                <w:color w:val="auto"/>
              </w:rPr>
              <w:t>Three months ended March 31,</w:t>
            </w:r>
          </w:p>
        </w:tc>
        <w:tc>
          <w:tcPr>
            <w:tcW w:w="680" w:type="dxa"/>
            <w:vAlign w:val="bottom"/>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1440" w:type="dxa"/>
            <w:vAlign w:val="bottom"/>
          </w:tcPr>
          <w:p>
            <w:pPr>
              <w:jc w:val="right"/>
              <w:ind w:right="156"/>
              <w:spacing w:after="0"/>
              <w:rPr>
                <w:sz w:val="20"/>
                <w:szCs w:val="20"/>
                <w:color w:val="auto"/>
              </w:rPr>
            </w:pPr>
            <w:r>
              <w:rPr>
                <w:rFonts w:ascii="Arial" w:cs="Arial" w:eastAsia="Arial" w:hAnsi="Arial"/>
                <w:sz w:val="16"/>
                <w:szCs w:val="16"/>
                <w:b w:val="1"/>
                <w:bCs w:val="1"/>
                <w:color w:val="auto"/>
              </w:rPr>
              <w:t>2015</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94"/>
              <w:spacing w:after="0"/>
              <w:rPr>
                <w:sz w:val="20"/>
                <w:szCs w:val="20"/>
                <w:color w:val="auto"/>
              </w:rPr>
            </w:pPr>
            <w:r>
              <w:rPr>
                <w:rFonts w:ascii="Arial" w:cs="Arial" w:eastAsia="Arial" w:hAnsi="Arial"/>
                <w:sz w:val="16"/>
                <w:szCs w:val="16"/>
                <w:b w:val="1"/>
                <w:bCs w:val="1"/>
                <w:color w:val="auto"/>
              </w:rPr>
              <w:t>2014</w:t>
            </w:r>
          </w:p>
        </w:tc>
        <w:tc>
          <w:tcPr>
            <w:tcW w:w="680" w:type="dxa"/>
            <w:vAlign w:val="bottom"/>
          </w:tcPr>
          <w:p>
            <w:pPr>
              <w:spacing w:after="0"/>
              <w:rPr>
                <w:sz w:val="20"/>
                <w:szCs w:val="20"/>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1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20"/>
              <w:spacing w:after="0"/>
              <w:rPr>
                <w:sz w:val="20"/>
                <w:szCs w:val="20"/>
                <w:color w:val="auto"/>
              </w:rPr>
            </w:pPr>
            <w:r>
              <w:rPr>
                <w:rFonts w:ascii="Arial" w:cs="Arial" w:eastAsia="Arial" w:hAnsi="Arial"/>
                <w:sz w:val="18"/>
                <w:szCs w:val="18"/>
                <w:color w:val="auto"/>
              </w:rPr>
              <w:t>Cash paid for income taxes</w:t>
            </w:r>
          </w:p>
        </w:tc>
        <w:tc>
          <w:tcPr>
            <w:tcW w:w="1440" w:type="dxa"/>
            <w:vAlign w:val="bottom"/>
          </w:tcPr>
          <w:p>
            <w:pPr>
              <w:jc w:val="right"/>
              <w:ind w:right="123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1"/>
                <w:szCs w:val="21"/>
                <w:color w:val="auto"/>
              </w:rPr>
            </w:pPr>
          </w:p>
        </w:tc>
        <w:tc>
          <w:tcPr>
            <w:tcW w:w="1380" w:type="dxa"/>
            <w:vAlign w:val="bottom"/>
          </w:tcPr>
          <w:p>
            <w:pPr>
              <w:jc w:val="right"/>
              <w:ind w:right="117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7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common stock in connection with acquisition of business</w:t>
            </w:r>
          </w:p>
        </w:tc>
        <w:tc>
          <w:tcPr>
            <w:tcW w:w="14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1,679</w:t>
            </w:r>
          </w:p>
        </w:tc>
      </w:tr>
      <w:tr>
        <w:trPr>
          <w:trHeight w:val="27"/>
        </w:trPr>
        <w:tc>
          <w:tcPr>
            <w:tcW w:w="72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37" w:right="2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Business Description:</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ClearOne, Inc. and its subsidiaries (collectively, “ClearOne” or the “Company”) are a global company that designs, develops and sells conferencing, collaboration, streaming and digital signage solutions for audio and visual communications. The performance and simplicity of its advanced comprehensive solutions offer unprecedented levels of functionality, reliability and scalability.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Basis of Presentation:</w:t>
      </w:r>
    </w:p>
    <w:p>
      <w:pPr>
        <w:spacing w:after="0" w:line="225" w:lineRule="exact"/>
        <w:rPr>
          <w:sz w:val="20"/>
          <w:szCs w:val="20"/>
          <w:color w:val="auto"/>
        </w:rPr>
      </w:pPr>
    </w:p>
    <w:p>
      <w:pPr>
        <w:ind w:right="420"/>
        <w:spacing w:after="0" w:line="216" w:lineRule="auto"/>
        <w:rPr>
          <w:sz w:val="20"/>
          <w:szCs w:val="20"/>
          <w:color w:val="auto"/>
        </w:rPr>
      </w:pPr>
      <w:r>
        <w:rPr>
          <w:rFonts w:ascii="Arial" w:cs="Arial" w:eastAsia="Arial" w:hAnsi="Arial"/>
          <w:sz w:val="18"/>
          <w:szCs w:val="18"/>
          <w:color w:val="auto"/>
        </w:rPr>
        <w:t>The fiscal year for ClearOne is the 12 months ending on December 31</w:t>
      </w:r>
      <w:r>
        <w:rPr>
          <w:rFonts w:ascii="Arial" w:cs="Arial" w:eastAsia="Arial" w:hAnsi="Arial"/>
          <w:sz w:val="25"/>
          <w:szCs w:val="25"/>
          <w:color w:val="auto"/>
          <w:vertAlign w:val="superscript"/>
        </w:rPr>
        <w:t>st</w:t>
      </w:r>
      <w:r>
        <w:rPr>
          <w:rFonts w:ascii="Arial" w:cs="Arial" w:eastAsia="Arial" w:hAnsi="Arial"/>
          <w:sz w:val="18"/>
          <w:szCs w:val="18"/>
          <w:color w:val="auto"/>
        </w:rPr>
        <w:t>. The consolidated financial statements include the accounts of ClearOne and its subsidiaries. All significant inter-company accounts and transactions have been eliminated.</w:t>
      </w:r>
    </w:p>
    <w:p>
      <w:pPr>
        <w:spacing w:after="0" w:line="20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These accompanying interim condensed consolidated financial statements for the three months ended March 31, 2015 and 2014, respectively,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consolidated financial statements contain all adjustments, consisting of normal recurring accruals, necessary for a fair presentation of our financial position as of March 31, 2015 and December 31, 2014, the results of operations for the three months ended March 31, 2015 and 2014, and cash flows for the three months ended March 31, 2015 and 2014. The results of operations for the three months ended March 31, 2015 and 2014 are not necessarily indicative of the results for a full-year period. These interim condensed consolidated financial statements should be read in conjunction with the financial statements included in our Annual Report on Form 10-K/A for the year ended December 31, 2014 filed with the SEC on January 13, 2016.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Significant Accounting Policies: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significant accounting policies were described in Note 1 to the audited consolidated financial statements included in the Company’s annual report on Form 10-K/A for the year ended December 31, 2014 filed with the SEC on January 13, 2016. There have been no changes to these policies during the three months ended March 31, 2015 that are of significance or potential significance to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Recent Accounting Pronouncements: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May 2014, the FASB issued ASU 2014-09, Revenue from Contracts with Customers (Topic 606),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Early adoption is not permitted. The updated standard becomes effective for the Company on January 1, 2017. The Company has not yet selected a transition method and is currently evaluating the effect that the updated standard will have on the consolidated financial statements.</w:t>
      </w:r>
    </w:p>
    <w:p>
      <w:pPr>
        <w:spacing w:after="0" w:line="154"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21" w:right="2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38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rPr>
              <w:t>Three months ended March 31,</w:t>
            </w:r>
          </w:p>
        </w:tc>
        <w:tc>
          <w:tcPr>
            <w:tcW w:w="840" w:type="dxa"/>
            <w:vAlign w:val="bottom"/>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840" w:type="dxa"/>
            <w:vAlign w:val="bottom"/>
          </w:tcPr>
          <w:p>
            <w:pPr>
              <w:spacing w:after="0"/>
              <w:rPr>
                <w:sz w:val="20"/>
                <w:szCs w:val="20"/>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220" w:type="dxa"/>
            <w:vAlign w:val="bottom"/>
          </w:tcPr>
          <w:p>
            <w:pPr>
              <w:jc w:val="right"/>
              <w:ind w:right="1014"/>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1"/>
                <w:szCs w:val="21"/>
                <w:color w:val="auto"/>
              </w:rPr>
            </w:pPr>
          </w:p>
        </w:tc>
        <w:tc>
          <w:tcPr>
            <w:tcW w:w="1220" w:type="dxa"/>
            <w:vAlign w:val="bottom"/>
          </w:tcPr>
          <w:p>
            <w:pPr>
              <w:jc w:val="right"/>
              <w:ind w:right="101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485</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20"/>
              <w:spacing w:after="0"/>
              <w:rPr>
                <w:sz w:val="20"/>
                <w:szCs w:val="20"/>
                <w:color w:val="auto"/>
              </w:rPr>
            </w:pPr>
            <w:r>
              <w:rPr>
                <w:rFonts w:ascii="Arial" w:cs="Arial" w:eastAsia="Arial" w:hAnsi="Arial"/>
                <w:sz w:val="18"/>
                <w:szCs w:val="18"/>
                <w:color w:val="auto"/>
              </w:rPr>
              <w:t>Basic weighted average shares outstanding</w:t>
            </w:r>
          </w:p>
        </w:tc>
        <w:tc>
          <w:tcPr>
            <w:tcW w:w="1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9,100,107</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9,082,546</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Dilutive common stock equivalents using treasury stock method</w:t>
            </w:r>
          </w:p>
        </w:tc>
        <w:tc>
          <w:tcPr>
            <w:tcW w:w="1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408,372</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476,395</w:t>
            </w:r>
          </w:p>
        </w:tc>
      </w:tr>
      <w:tr>
        <w:trPr>
          <w:trHeight w:val="297"/>
        </w:trPr>
        <w:tc>
          <w:tcPr>
            <w:tcW w:w="7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Diluted weighted average shares outstanding</w:t>
            </w:r>
          </w:p>
        </w:tc>
        <w:tc>
          <w:tcPr>
            <w:tcW w:w="12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9,508,479</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9,558,941</w:t>
            </w:r>
          </w:p>
        </w:tc>
      </w:tr>
      <w:tr>
        <w:trPr>
          <w:trHeight w:val="311"/>
        </w:trPr>
        <w:tc>
          <w:tcPr>
            <w:tcW w:w="7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1220" w:type="dxa"/>
            <w:vAlign w:val="bottom"/>
          </w:tcPr>
          <w:p>
            <w:pPr>
              <w:jc w:val="right"/>
              <w:ind w:right="1014"/>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1220" w:type="dxa"/>
            <w:vAlign w:val="bottom"/>
          </w:tcPr>
          <w:p>
            <w:pPr>
              <w:jc w:val="right"/>
              <w:ind w:right="101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0.05</w:t>
            </w: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220" w:type="dxa"/>
            <w:vAlign w:val="bottom"/>
            <w:tcBorders>
              <w:bottom w:val="single" w:sz="8" w:color="CCEEFF"/>
            </w:tcBorders>
            <w:shd w:val="clear" w:color="auto" w:fill="CCEEFF"/>
          </w:tcPr>
          <w:p>
            <w:pPr>
              <w:jc w:val="right"/>
              <w:ind w:right="1014"/>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r>
      <w:tr>
        <w:trPr>
          <w:trHeight w:val="324"/>
        </w:trPr>
        <w:tc>
          <w:tcPr>
            <w:tcW w:w="7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options outstanding</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1,037,137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1,044,208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Anti-dilutive options not included in the computations</w:t>
            </w:r>
          </w:p>
        </w:tc>
        <w:tc>
          <w:tcPr>
            <w:tcW w:w="1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268,709</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116,000</w:t>
            </w:r>
          </w:p>
        </w:tc>
      </w:tr>
    </w:tbl>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Acquisition of Sabine</w:t>
      </w:r>
    </w:p>
    <w:p>
      <w:pPr>
        <w:spacing w:after="0" w:line="30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On March 7, 2014, the Company completed the acquisition of Sabine, Inc. ("Sabine") through a stock purchase agreement ("SPA"). Sabine manufactures, designs and sells Sacom professional wireless microphone systems for live and installed audio. It also makes FBX Feedback Exterminator for reliable automatic feedback control. With the addition of Sabine, ClearOne will have reliable and exclusive access to the wireless microphones that are a critical component of ClearOne’s complete microphone portfolio.</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Pursuant to the SPA, the Company (i) paid initial consideration of $8,141 in cash, (ii) accrued for possible additional earn-out payments over the next two years, estimated to be $657, and (iii) issued 150,000 shares of restricted common stock of the Company, valued at $1,679 (determined on the basis of the closing market price of the Company's stock on the acquisition date). The purchase price was paid out of cash on hand. The SPA contains representations, warranties and indemnifications customary for a transaction of this type.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spacing w:after="0"/>
              <w:rPr>
                <w:sz w:val="20"/>
                <w:szCs w:val="20"/>
                <w:color w:val="auto"/>
              </w:rPr>
            </w:pPr>
            <w:r>
              <w:rPr>
                <w:rFonts w:ascii="Arial" w:cs="Arial" w:eastAsia="Arial" w:hAnsi="Arial"/>
                <w:sz w:val="18"/>
                <w:szCs w:val="18"/>
                <w:color w:val="auto"/>
              </w:rPr>
              <w:t>The following table summarizes the consideration paid for the acquisition:</w:t>
            </w: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78"/>
        </w:trPr>
        <w:tc>
          <w:tcPr>
            <w:tcW w:w="9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jc w:val="right"/>
              <w:ind w:right="390"/>
              <w:spacing w:after="0"/>
              <w:rPr>
                <w:sz w:val="20"/>
                <w:szCs w:val="20"/>
                <w:color w:val="auto"/>
              </w:rPr>
            </w:pPr>
            <w:r>
              <w:rPr>
                <w:rFonts w:ascii="Arial" w:cs="Arial" w:eastAsia="Arial" w:hAnsi="Arial"/>
                <w:sz w:val="18"/>
                <w:szCs w:val="18"/>
                <w:b w:val="1"/>
                <w:bCs w:val="1"/>
                <w:color w:val="auto"/>
              </w:rPr>
              <w:t>Consideration</w:t>
            </w:r>
          </w:p>
        </w:tc>
      </w:tr>
      <w:tr>
        <w:trPr>
          <w:trHeight w:val="27"/>
        </w:trPr>
        <w:tc>
          <w:tcPr>
            <w:tcW w:w="9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8,141</w:t>
            </w:r>
          </w:p>
        </w:tc>
      </w:tr>
      <w:tr>
        <w:trPr>
          <w:trHeight w:val="261"/>
        </w:trPr>
        <w:tc>
          <w:tcPr>
            <w:tcW w:w="9360" w:type="dxa"/>
            <w:vAlign w:val="bottom"/>
          </w:tcPr>
          <w:p>
            <w:pPr>
              <w:ind w:left="40"/>
              <w:spacing w:after="0"/>
              <w:rPr>
                <w:sz w:val="20"/>
                <w:szCs w:val="20"/>
                <w:color w:val="auto"/>
              </w:rPr>
            </w:pPr>
            <w:r>
              <w:rPr>
                <w:rFonts w:ascii="Arial" w:cs="Arial" w:eastAsia="Arial" w:hAnsi="Arial"/>
                <w:sz w:val="20"/>
                <w:szCs w:val="20"/>
                <w:color w:val="auto"/>
              </w:rPr>
              <w:t>Common stock</w:t>
            </w:r>
          </w:p>
        </w:tc>
        <w:tc>
          <w:tcPr>
            <w:tcW w:w="300" w:type="dxa"/>
            <w:vAlign w:val="bottom"/>
          </w:tcPr>
          <w:p>
            <w:pPr>
              <w:spacing w:after="0"/>
              <w:rPr>
                <w:sz w:val="22"/>
                <w:szCs w:val="22"/>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1,679</w:t>
            </w:r>
          </w:p>
        </w:tc>
      </w:tr>
      <w:tr>
        <w:trPr>
          <w:trHeight w:val="23"/>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8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Contingent consideration</w:t>
            </w:r>
          </w:p>
        </w:tc>
        <w:tc>
          <w:tcPr>
            <w:tcW w:w="3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r>
      <w:tr>
        <w:trPr>
          <w:trHeight w:val="259"/>
        </w:trPr>
        <w:tc>
          <w:tcPr>
            <w:tcW w:w="9360" w:type="dxa"/>
            <w:vAlign w:val="bottom"/>
          </w:tcPr>
          <w:p>
            <w:pPr>
              <w:ind w:left="40"/>
              <w:spacing w:after="0"/>
              <w:rPr>
                <w:sz w:val="20"/>
                <w:szCs w:val="20"/>
                <w:color w:val="auto"/>
              </w:rPr>
            </w:pPr>
            <w:r>
              <w:rPr>
                <w:rFonts w:ascii="Arial" w:cs="Arial" w:eastAsia="Arial" w:hAnsi="Arial"/>
                <w:sz w:val="20"/>
                <w:szCs w:val="20"/>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10,477</w:t>
            </w:r>
          </w:p>
        </w:tc>
      </w:tr>
      <w:tr>
        <w:trPr>
          <w:trHeight w:val="20"/>
        </w:trPr>
        <w:tc>
          <w:tcPr>
            <w:tcW w:w="9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fair values of Sabine assets acquired and liabilities assumed are based on the information that was available during the measurement period of twelve months from the date of acquisition. The fair value of identified assets and liabilities acquired and goodwill is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9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Prepaid and other</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292</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5,510</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Trade accounts payable</w:t>
            </w:r>
          </w:p>
        </w:tc>
        <w:tc>
          <w:tcPr>
            <w:tcW w:w="3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Stock registration costs</w:t>
            </w:r>
          </w:p>
        </w:tc>
        <w:tc>
          <w:tcPr>
            <w:tcW w:w="3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9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10,477</w:t>
            </w:r>
          </w:p>
        </w:tc>
      </w:tr>
      <w:tr>
        <w:trPr>
          <w:trHeight w:val="20"/>
        </w:trPr>
        <w:tc>
          <w:tcPr>
            <w:tcW w:w="9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goodwill of $5,510 related to the acquisition of Sabine is composed of expected synergies in utilizing Sabine technology in ClearOne product offerings, reduction in future combined research and development expenses, and intangible assets including acquired workforce that do not qualify for separate recognition. The goodwill balance of $5,510 related to the acquisition of Sabine is expected to be deductible for tax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Pro Forma Information:</w:t>
      </w:r>
    </w:p>
    <w:p>
      <w:pPr>
        <w:spacing w:after="0" w:line="225" w:lineRule="exact"/>
        <w:rPr>
          <w:sz w:val="20"/>
          <w:szCs w:val="20"/>
          <w:color w:val="auto"/>
        </w:rPr>
      </w:pPr>
    </w:p>
    <w:p>
      <w:pPr>
        <w:ind w:left="860" w:hanging="20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and net loss from the Sabine business from March 8, 2014 to March 31, 2014 were $84 and $163 respectively.</w:t>
      </w:r>
    </w:p>
    <w:p>
      <w:pPr>
        <w:spacing w:after="0" w:line="23" w:lineRule="exact"/>
        <w:rPr>
          <w:rFonts w:ascii="Arial" w:cs="Arial" w:eastAsia="Arial" w:hAnsi="Arial"/>
          <w:sz w:val="18"/>
          <w:szCs w:val="18"/>
          <w:color w:val="auto"/>
        </w:rPr>
      </w:pPr>
    </w:p>
    <w:p>
      <w:pPr>
        <w:ind w:left="860" w:hanging="20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and earnings of the combined entity as though the business combination occurred as of January 1, 2014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48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Three months ended March 31,</w:t>
            </w:r>
          </w:p>
        </w:tc>
        <w:tc>
          <w:tcPr>
            <w:tcW w:w="740" w:type="dxa"/>
            <w:vAlign w:val="bottom"/>
            <w:tcBorders>
              <w:bottom w:val="single" w:sz="8" w:color="auto"/>
            </w:tcBorders>
          </w:tcPr>
          <w:p>
            <w:pPr>
              <w:spacing w:after="0"/>
              <w:rPr>
                <w:sz w:val="16"/>
                <w:szCs w:val="16"/>
                <w:color w:val="auto"/>
              </w:rPr>
            </w:pPr>
          </w:p>
        </w:tc>
      </w:tr>
      <w:tr>
        <w:trPr>
          <w:trHeight w:val="264"/>
        </w:trPr>
        <w:tc>
          <w:tcPr>
            <w:tcW w:w="4140" w:type="dxa"/>
            <w:vAlign w:val="bottom"/>
            <w:tcBorders>
              <w:bottom w:val="single" w:sz="8" w:color="CCEEFF"/>
            </w:tcBorders>
          </w:tcPr>
          <w:p>
            <w:pPr>
              <w:spacing w:after="0"/>
              <w:rPr>
                <w:sz w:val="22"/>
                <w:szCs w:val="22"/>
                <w:color w:val="auto"/>
              </w:rPr>
            </w:pPr>
          </w:p>
        </w:tc>
        <w:tc>
          <w:tcPr>
            <w:tcW w:w="306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22"/>
                <w:szCs w:val="2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380" w:type="dxa"/>
            <w:vAlign w:val="bottom"/>
            <w:tcBorders>
              <w:bottom w:val="single" w:sz="8" w:color="CCEEFF"/>
            </w:tcBorders>
            <w:gridSpan w:val="2"/>
            <w:shd w:val="clear" w:color="auto" w:fill="CCEEFF"/>
          </w:tcPr>
          <w:p>
            <w:pPr>
              <w:jc w:val="right"/>
              <w:ind w:right="1128"/>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13,586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12,977</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Earnings</w:t>
            </w:r>
          </w:p>
        </w:tc>
        <w:tc>
          <w:tcPr>
            <w:tcW w:w="30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244</w:t>
            </w:r>
          </w:p>
        </w:tc>
      </w:tr>
      <w:tr>
        <w:trPr>
          <w:trHeight w:val="27"/>
        </w:trPr>
        <w:tc>
          <w:tcPr>
            <w:tcW w:w="41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4380" w:type="dxa"/>
            <w:vAlign w:val="bottom"/>
            <w:tcBorders>
              <w:bottom w:val="single" w:sz="8" w:color="CCEEFF"/>
            </w:tcBorders>
            <w:gridSpan w:val="2"/>
            <w:shd w:val="clear" w:color="auto" w:fill="CCEEFF"/>
          </w:tcPr>
          <w:p>
            <w:pPr>
              <w:jc w:val="right"/>
              <w:ind w:right="1128"/>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4380" w:type="dxa"/>
            <w:vAlign w:val="bottom"/>
            <w:gridSpan w:val="2"/>
          </w:tcPr>
          <w:p>
            <w:pPr>
              <w:jc w:val="right"/>
              <w:ind w:right="1128"/>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1320" w:type="dxa"/>
            <w:vAlign w:val="bottom"/>
          </w:tcPr>
          <w:p>
            <w:pPr>
              <w:jc w:val="right"/>
              <w:ind w:right="111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0.03</w:t>
            </w:r>
          </w:p>
        </w:tc>
      </w:tr>
      <w:tr>
        <w:trPr>
          <w:trHeight w:val="486"/>
        </w:trPr>
        <w:tc>
          <w:tcPr>
            <w:tcW w:w="4140" w:type="dxa"/>
            <w:vAlign w:val="bottom"/>
          </w:tcPr>
          <w:p>
            <w:pPr>
              <w:spacing w:after="0"/>
              <w:rPr>
                <w:sz w:val="24"/>
                <w:szCs w:val="24"/>
                <w:color w:val="auto"/>
              </w:rPr>
            </w:pPr>
          </w:p>
        </w:tc>
        <w:tc>
          <w:tcPr>
            <w:tcW w:w="3060" w:type="dxa"/>
            <w:vAlign w:val="bottom"/>
          </w:tcPr>
          <w:p>
            <w:pPr>
              <w:jc w:val="right"/>
              <w:ind w:right="1350"/>
              <w:spacing w:after="0"/>
              <w:rPr>
                <w:sz w:val="20"/>
                <w:szCs w:val="20"/>
                <w:color w:val="auto"/>
              </w:rPr>
            </w:pPr>
            <w:r>
              <w:rPr>
                <w:rFonts w:ascii="Arial" w:cs="Arial" w:eastAsia="Arial" w:hAnsi="Arial"/>
                <w:sz w:val="18"/>
                <w:szCs w:val="18"/>
                <w:color w:val="auto"/>
              </w:rPr>
              <w:t>8</w:t>
            </w: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460" w:firstLine="656"/>
        <w:spacing w:after="0" w:line="277" w:lineRule="auto"/>
        <w:tabs>
          <w:tab w:leader="none" w:pos="84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were no material, nonrecurring pro forma adjustments directly attributable to the acquisition included in this Supplemental Pro Forma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Acquisition of Spontania Business of Spain-based Dialcom Networks, S.L.</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April 1, 2014 ClearOne, Inc. closed on the acquisition of the Spontania business of Spain-based Dialcom Networks, S.L. The Spontania cloud-based service empowers customers to deploy HD video conferencing, web collaboration, and more with equipment most businesses have and use every day - video-conferencing endpoints, desktops, laptops, web browsers, tablets, and smartphones. With Spontania there is no hardware investment and the service operates off of a reservation-less model, enabling on-demand video communications from virtually anywhere, anytime, with anyone on any device.</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aggregate purchase price under the terms of the transaction was approximately €3.66 million in cash (approximately US$5.1 million ), after certain closing adjustments. ClearOne did not assume any debt or cash. The cash purchase price was paid out of cash on hand. The addition of this technology was an integral part of the company’s strategy to build an all-inclusive video collaboration portfolio.</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gridSpan w:val="2"/>
          </w:tcPr>
          <w:p>
            <w:pPr>
              <w:spacing w:after="0"/>
              <w:rPr>
                <w:sz w:val="20"/>
                <w:szCs w:val="20"/>
                <w:color w:val="auto"/>
              </w:rPr>
            </w:pPr>
            <w:r>
              <w:rPr>
                <w:rFonts w:ascii="Arial" w:cs="Arial" w:eastAsia="Arial" w:hAnsi="Arial"/>
                <w:sz w:val="18"/>
                <w:szCs w:val="18"/>
                <w:color w:val="auto"/>
              </w:rPr>
              <w:t>The fair value of identified assets and liabilities acquired from the Spontania acquisition was as follows:</w:t>
            </w:r>
          </w:p>
        </w:tc>
        <w:tc>
          <w:tcPr>
            <w:tcW w:w="36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9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0" w:type="dxa"/>
            <w:vAlign w:val="bottom"/>
          </w:tcPr>
          <w:p>
            <w:pPr>
              <w:spacing w:after="0"/>
              <w:rPr>
                <w:sz w:val="2"/>
                <w:szCs w:val="2"/>
                <w:color w:val="auto"/>
              </w:rPr>
            </w:pPr>
          </w:p>
        </w:tc>
        <w:tc>
          <w:tcPr>
            <w:tcW w:w="9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1,335</w:t>
            </w:r>
          </w:p>
        </w:tc>
      </w:tr>
      <w:tr>
        <w:trPr>
          <w:trHeight w:val="243"/>
        </w:trPr>
        <w:tc>
          <w:tcPr>
            <w:tcW w:w="40" w:type="dxa"/>
            <w:vAlign w:val="bottom"/>
          </w:tcPr>
          <w:p>
            <w:pPr>
              <w:spacing w:after="0"/>
              <w:rPr>
                <w:sz w:val="21"/>
                <w:szCs w:val="21"/>
                <w:color w:val="auto"/>
              </w:rPr>
            </w:pPr>
          </w:p>
        </w:tc>
        <w:tc>
          <w:tcPr>
            <w:tcW w:w="932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36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47</w:t>
            </w:r>
          </w:p>
        </w:tc>
      </w:tr>
      <w:tr>
        <w:trPr>
          <w:trHeight w:val="27"/>
        </w:trPr>
        <w:tc>
          <w:tcPr>
            <w:tcW w:w="40" w:type="dxa"/>
            <w:vAlign w:val="bottom"/>
          </w:tcPr>
          <w:p>
            <w:pPr>
              <w:spacing w:after="0"/>
              <w:rPr>
                <w:sz w:val="2"/>
                <w:szCs w:val="2"/>
                <w:color w:val="auto"/>
              </w:rPr>
            </w:pPr>
          </w:p>
        </w:tc>
        <w:tc>
          <w:tcPr>
            <w:tcW w:w="9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3,741</w:t>
            </w:r>
          </w:p>
        </w:tc>
      </w:tr>
      <w:tr>
        <w:trPr>
          <w:trHeight w:val="243"/>
        </w:trPr>
        <w:tc>
          <w:tcPr>
            <w:tcW w:w="40" w:type="dxa"/>
            <w:vAlign w:val="bottom"/>
          </w:tcPr>
          <w:p>
            <w:pPr>
              <w:spacing w:after="0"/>
              <w:rPr>
                <w:sz w:val="21"/>
                <w:szCs w:val="21"/>
                <w:color w:val="auto"/>
              </w:rPr>
            </w:pPr>
          </w:p>
        </w:tc>
        <w:tc>
          <w:tcPr>
            <w:tcW w:w="932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40" w:type="dxa"/>
            <w:vAlign w:val="bottom"/>
          </w:tcPr>
          <w:p>
            <w:pPr>
              <w:spacing w:after="0"/>
              <w:rPr>
                <w:sz w:val="2"/>
                <w:szCs w:val="2"/>
                <w:color w:val="auto"/>
              </w:rPr>
            </w:pPr>
          </w:p>
        </w:tc>
        <w:tc>
          <w:tcPr>
            <w:tcW w:w="9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5,052</w:t>
            </w:r>
          </w:p>
        </w:tc>
      </w:tr>
      <w:tr>
        <w:trPr>
          <w:trHeight w:val="20"/>
        </w:trPr>
        <w:tc>
          <w:tcPr>
            <w:tcW w:w="4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goodwill of $3,741 relates to the acquisition of Spontania cloud-based technology and intangible assets including acquired workforce that does not qualify for separate recognition. The goodwill of $3,741 from the Spontania acquisition is expected to be deductible for tax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Pro Forma Information:</w:t>
      </w:r>
    </w:p>
    <w:p>
      <w:pPr>
        <w:spacing w:after="0" w:line="22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Revenue and earnings of the combined entity as though the business combination occurred as of January 1, 2014 is not available. The Spontania business was part of a business unit of Dialcom Networks, S.L., and thus separate stand-alone financial information for Spontania is not available.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Expenses: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During the period ended March 31, 2015, the company incurred $70 in total acquisition related expenses for the Sabine and Spontania acquisitions, all of which are categorized under general and administrative expenses in the Consolidated Statement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Retroactive Restatement</w:t>
      </w:r>
      <w:r>
        <w:rPr>
          <w:rFonts w:ascii="Arial" w:cs="Arial" w:eastAsia="Arial" w:hAnsi="Arial"/>
          <w:sz w:val="18"/>
          <w:szCs w:val="18"/>
          <w:i w:val="1"/>
          <w:i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Following the completion of the valuation process for the acquisition of Sabine we reported intangible amortization to reflect the final adjusted values 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Form 10-K, as amended, for the year ended December 31, 2014. For the quarter ended March 31, 2015 we reported amortization based on the final intangible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items. For the comparative quarter ended March 31, 2014 we have restated net income to reflect the inclusion of the revised amortization applicable to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Net income changed from $490 originally reported for the three months ended March 31, 2014 to $485. The reported retained earnings balance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$29,482 at March 31, 2014 under the restatement would be $29,477. The restatement did not result in a reportable change to earnings per share for the period.</w:t>
      </w:r>
    </w:p>
    <w:p>
      <w:pPr>
        <w:spacing w:after="0" w:line="23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94"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The Company has classified its marketable securities as available-for-sale securities. These securities are carried at estimated fair value with unrealized holding gains and losses included in accumulated other comprehensive income/loss in stockholders' equity until realized. Gains and losses on marketable security transactions are reported on the specific-identification method. Dividend and interest income are recognized when earned.</w:t>
      </w:r>
    </w:p>
    <w:p>
      <w:pPr>
        <w:spacing w:after="0" w:line="22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amortized cost, gross unrealized holding gains, gross unrealized holding losses, and fair value for available-for-sale securities by major security type and class of security at March 31, 2015 and December 31, 2014 were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40" w:type="dxa"/>
            <w:vAlign w:val="bottom"/>
          </w:tcPr>
          <w:p>
            <w:pPr>
              <w:spacing w:after="0"/>
              <w:rPr>
                <w:sz w:val="12"/>
                <w:szCs w:val="12"/>
                <w:color w:val="auto"/>
              </w:rPr>
            </w:pPr>
          </w:p>
        </w:tc>
        <w:tc>
          <w:tcPr>
            <w:tcW w:w="112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holding</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holding</w:t>
            </w: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gains</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7"/>
              </w:rPr>
              <w:t>losses</w:t>
            </w:r>
          </w:p>
        </w:tc>
        <w:tc>
          <w:tcPr>
            <w:tcW w:w="240" w:type="dxa"/>
            <w:vAlign w:val="bottom"/>
          </w:tcPr>
          <w:p>
            <w:pPr>
              <w:spacing w:after="0"/>
              <w:rPr>
                <w:sz w:val="16"/>
                <w:szCs w:val="16"/>
                <w:color w:val="auto"/>
              </w:rPr>
            </w:pPr>
          </w:p>
        </w:tc>
        <w:tc>
          <w:tcPr>
            <w:tcW w:w="1120" w:type="dxa"/>
            <w:vAlign w:val="bottom"/>
          </w:tcPr>
          <w:p>
            <w:pPr>
              <w:jc w:val="right"/>
              <w:ind w:right="29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2015</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Available-for-sale securities: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Corporate bonds and notes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19,220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19,334</w:t>
            </w:r>
          </w:p>
        </w:tc>
        <w:tc>
          <w:tcPr>
            <w:tcW w:w="0" w:type="dxa"/>
            <w:vAlign w:val="bottom"/>
          </w:tcPr>
          <w:p>
            <w:pPr>
              <w:spacing w:after="0"/>
              <w:rPr>
                <w:sz w:val="1"/>
                <w:szCs w:val="1"/>
                <w:color w:val="auto"/>
              </w:rPr>
            </w:pPr>
          </w:p>
        </w:tc>
      </w:tr>
      <w:tr>
        <w:trPr>
          <w:trHeight w:val="243"/>
        </w:trPr>
        <w:tc>
          <w:tcPr>
            <w:tcW w:w="5620" w:type="dxa"/>
            <w:vAlign w:val="bottom"/>
          </w:tcPr>
          <w:p>
            <w:pPr>
              <w:ind w:left="96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6,079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6,113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25,299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25,447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44"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44"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ind w:right="108"/>
              <w:spacing w:after="0"/>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center"/>
              <w:ind w:left="39"/>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2"/>
                <w:szCs w:val="12"/>
                <w:color w:val="auto"/>
              </w:rPr>
            </w:pPr>
          </w:p>
        </w:tc>
        <w:tc>
          <w:tcPr>
            <w:tcW w:w="1060" w:type="dxa"/>
            <w:vAlign w:val="bottom"/>
            <w:gridSpan w:val="2"/>
          </w:tcPr>
          <w:p>
            <w:pPr>
              <w:jc w:val="center"/>
              <w:ind w:right="108"/>
              <w:spacing w:after="0" w:line="149" w:lineRule="exact"/>
              <w:rPr>
                <w:sz w:val="20"/>
                <w:szCs w:val="20"/>
                <w:color w:val="auto"/>
              </w:rPr>
            </w:pPr>
            <w:r>
              <w:rPr>
                <w:rFonts w:ascii="Arial" w:cs="Arial" w:eastAsia="Arial" w:hAnsi="Arial"/>
                <w:sz w:val="14"/>
                <w:szCs w:val="14"/>
                <w:b w:val="1"/>
                <w:bCs w:val="1"/>
                <w:color w:val="auto"/>
                <w:w w:val="92"/>
              </w:rPr>
              <w:t>unrealized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left="39"/>
              <w:spacing w:after="0" w:line="149" w:lineRule="exact"/>
              <w:rPr>
                <w:sz w:val="20"/>
                <w:szCs w:val="20"/>
                <w:color w:val="auto"/>
              </w:rPr>
            </w:pPr>
            <w:r>
              <w:rPr>
                <w:rFonts w:ascii="Arial" w:cs="Arial" w:eastAsia="Arial" w:hAnsi="Arial"/>
                <w:sz w:val="14"/>
                <w:szCs w:val="14"/>
                <w:b w:val="1"/>
                <w:bCs w:val="1"/>
                <w:color w:val="auto"/>
                <w:w w:val="92"/>
              </w:rPr>
              <w:t>unrealized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128"/>
              <w:spacing w:after="0" w:line="149" w:lineRule="exact"/>
              <w:rPr>
                <w:sz w:val="20"/>
                <w:szCs w:val="20"/>
                <w:color w:val="auto"/>
              </w:rPr>
            </w:pPr>
            <w:r>
              <w:rPr>
                <w:rFonts w:ascii="Arial" w:cs="Arial" w:eastAsia="Arial" w:hAnsi="Arial"/>
                <w:sz w:val="14"/>
                <w:szCs w:val="14"/>
                <w:b w:val="1"/>
                <w:bCs w:val="1"/>
                <w:color w:val="auto"/>
                <w:w w:val="90"/>
              </w:rPr>
              <w:t>holding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left="59"/>
              <w:spacing w:after="0" w:line="149" w:lineRule="exact"/>
              <w:rPr>
                <w:sz w:val="20"/>
                <w:szCs w:val="20"/>
                <w:color w:val="auto"/>
              </w:rPr>
            </w:pPr>
            <w:r>
              <w:rPr>
                <w:rFonts w:ascii="Arial" w:cs="Arial" w:eastAsia="Arial" w:hAnsi="Arial"/>
                <w:sz w:val="14"/>
                <w:szCs w:val="14"/>
                <w:b w:val="1"/>
                <w:bCs w:val="1"/>
                <w:color w:val="auto"/>
                <w:w w:val="90"/>
              </w:rPr>
              <w:t>holding</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6"/>
                <w:szCs w:val="16"/>
                <w:color w:val="auto"/>
              </w:rPr>
            </w:pPr>
          </w:p>
        </w:tc>
        <w:tc>
          <w:tcPr>
            <w:tcW w:w="1060" w:type="dxa"/>
            <w:vAlign w:val="bottom"/>
            <w:gridSpan w:val="2"/>
          </w:tcPr>
          <w:p>
            <w:pPr>
              <w:jc w:val="center"/>
              <w:ind w:right="108"/>
              <w:spacing w:after="0"/>
              <w:rPr>
                <w:sz w:val="20"/>
                <w:szCs w:val="20"/>
                <w:color w:val="auto"/>
              </w:rPr>
            </w:pPr>
            <w:r>
              <w:rPr>
                <w:rFonts w:ascii="Arial" w:cs="Arial" w:eastAsia="Arial" w:hAnsi="Arial"/>
                <w:sz w:val="14"/>
                <w:szCs w:val="14"/>
                <w:b w:val="1"/>
                <w:bCs w:val="1"/>
                <w:color w:val="auto"/>
                <w:w w:val="87"/>
              </w:rPr>
              <w:t>gains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77"/>
              </w:rPr>
              <w:t>losses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29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2014</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Available-for-sale securities: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Corporate bonds and notes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19,804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19,838</w:t>
            </w:r>
          </w:p>
        </w:tc>
        <w:tc>
          <w:tcPr>
            <w:tcW w:w="0" w:type="dxa"/>
            <w:vAlign w:val="bottom"/>
          </w:tcPr>
          <w:p>
            <w:pPr>
              <w:spacing w:after="0"/>
              <w:rPr>
                <w:sz w:val="1"/>
                <w:szCs w:val="1"/>
                <w:color w:val="auto"/>
              </w:rPr>
            </w:pPr>
          </w:p>
        </w:tc>
      </w:tr>
      <w:tr>
        <w:trPr>
          <w:trHeight w:val="243"/>
        </w:trPr>
        <w:tc>
          <w:tcPr>
            <w:tcW w:w="5620" w:type="dxa"/>
            <w:vAlign w:val="bottom"/>
          </w:tcPr>
          <w:p>
            <w:pPr>
              <w:ind w:left="96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6,292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6,318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26,096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26,156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20" w:type="dxa"/>
            <w:vAlign w:val="bottom"/>
            <w:gridSpan w:val="7"/>
          </w:tcPr>
          <w:p>
            <w:pPr>
              <w:spacing w:after="0"/>
              <w:rPr>
                <w:sz w:val="20"/>
                <w:szCs w:val="20"/>
                <w:color w:val="auto"/>
              </w:rPr>
            </w:pPr>
            <w:r>
              <w:rPr>
                <w:rFonts w:ascii="Arial" w:cs="Arial" w:eastAsia="Arial" w:hAnsi="Arial"/>
                <w:sz w:val="18"/>
                <w:szCs w:val="18"/>
                <w:color w:val="auto"/>
                <w:w w:val="95"/>
              </w:rPr>
              <w:t>Maturities of marketable securities classified as available-for-sale securities were as follows at March 31, 2015: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5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gridSpan w:val="6"/>
          </w:tcPr>
          <w:p>
            <w:pPr>
              <w:ind w:left="580"/>
              <w:spacing w:after="0"/>
              <w:rPr>
                <w:sz w:val="20"/>
                <w:szCs w:val="20"/>
                <w:color w:val="auto"/>
              </w:rPr>
            </w:pPr>
            <w:r>
              <w:rPr>
                <w:rFonts w:ascii="Arial" w:cs="Arial" w:eastAsia="Arial" w:hAnsi="Arial"/>
                <w:sz w:val="14"/>
                <w:szCs w:val="14"/>
                <w:b w:val="1"/>
                <w:bCs w:val="1"/>
                <w:color w:val="auto"/>
              </w:rPr>
              <w:t>Amortized</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517"/>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90"/>
              </w:rPr>
              <w:t>cost</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2015</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720"/>
              <w:spacing w:after="0"/>
              <w:rPr>
                <w:sz w:val="20"/>
                <w:szCs w:val="20"/>
                <w:color w:val="auto"/>
              </w:rPr>
            </w:pPr>
            <w:r>
              <w:rPr>
                <w:rFonts w:ascii="Arial" w:cs="Arial" w:eastAsia="Arial" w:hAnsi="Arial"/>
                <w:sz w:val="18"/>
                <w:szCs w:val="18"/>
                <w:color w:val="auto"/>
              </w:rPr>
              <w:t>Due within one year</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9"/>
              <w:spacing w:after="0"/>
              <w:rPr>
                <w:sz w:val="20"/>
                <w:szCs w:val="20"/>
                <w:color w:val="auto"/>
              </w:rPr>
            </w:pPr>
            <w:r>
              <w:rPr>
                <w:rFonts w:ascii="Arial" w:cs="Arial" w:eastAsia="Arial" w:hAnsi="Arial"/>
                <w:sz w:val="18"/>
                <w:szCs w:val="18"/>
                <w:color w:val="auto"/>
              </w:rPr>
              <w:t>7,327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7,314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Due after one year through five years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17,611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17,771</w:t>
            </w:r>
          </w:p>
        </w:tc>
        <w:tc>
          <w:tcPr>
            <w:tcW w:w="0" w:type="dxa"/>
            <w:vAlign w:val="bottom"/>
          </w:tcPr>
          <w:p>
            <w:pPr>
              <w:spacing w:after="0"/>
              <w:rPr>
                <w:sz w:val="1"/>
                <w:szCs w:val="1"/>
                <w:color w:val="auto"/>
              </w:rPr>
            </w:pPr>
          </w:p>
        </w:tc>
      </w:tr>
      <w:tr>
        <w:trPr>
          <w:trHeight w:val="243"/>
        </w:trPr>
        <w:tc>
          <w:tcPr>
            <w:tcW w:w="5620" w:type="dxa"/>
            <w:vAlign w:val="bottom"/>
          </w:tcPr>
          <w:p>
            <w:pPr>
              <w:ind w:left="720"/>
              <w:spacing w:after="0"/>
              <w:rPr>
                <w:sz w:val="20"/>
                <w:szCs w:val="20"/>
                <w:color w:val="auto"/>
              </w:rPr>
            </w:pPr>
            <w:r>
              <w:rPr>
                <w:rFonts w:ascii="Arial" w:cs="Arial" w:eastAsia="Arial" w:hAnsi="Arial"/>
                <w:sz w:val="18"/>
                <w:szCs w:val="18"/>
                <w:color w:val="auto"/>
              </w:rPr>
              <w:t>Due after five years through ten years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9"/>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25,299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25,447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Debt securities in an unrealized loss position as of March 31, 2015 were not deemed impaired at acquisition and subsequent declines in fair value are not deemed attributed to declines in credit quality. Management believes that it is more likely than not that the securities will receive a full recovery of par value. The available-for-sale marketable securities in a gross unrealized loss position as of March 31, 2015 are summarized as follows:</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5"/>
          </w:tcPr>
          <w:p>
            <w:pPr>
              <w:ind w:left="320"/>
              <w:spacing w:after="0"/>
              <w:rPr>
                <w:sz w:val="20"/>
                <w:szCs w:val="20"/>
                <w:color w:val="auto"/>
              </w:rPr>
            </w:pPr>
            <w:r>
              <w:rPr>
                <w:rFonts w:ascii="Arial" w:cs="Arial" w:eastAsia="Arial" w:hAnsi="Arial"/>
                <w:sz w:val="16"/>
                <w:szCs w:val="16"/>
                <w:b w:val="1"/>
                <w:bCs w:val="1"/>
                <w:color w:val="auto"/>
              </w:rPr>
              <w:t>Less than 12 months</w:t>
            </w:r>
          </w:p>
        </w:tc>
        <w:tc>
          <w:tcPr>
            <w:tcW w:w="140" w:type="dxa"/>
            <w:vAlign w:val="bottom"/>
          </w:tcPr>
          <w:p>
            <w:pPr>
              <w:spacing w:after="0"/>
              <w:rPr>
                <w:sz w:val="18"/>
                <w:szCs w:val="18"/>
                <w:color w:val="auto"/>
              </w:rPr>
            </w:pPr>
          </w:p>
        </w:tc>
        <w:tc>
          <w:tcPr>
            <w:tcW w:w="2220" w:type="dxa"/>
            <w:vAlign w:val="bottom"/>
            <w:gridSpan w:val="5"/>
          </w:tcPr>
          <w:p>
            <w:pPr>
              <w:ind w:left="240"/>
              <w:spacing w:after="0"/>
              <w:rPr>
                <w:sz w:val="20"/>
                <w:szCs w:val="20"/>
                <w:color w:val="auto"/>
              </w:rPr>
            </w:pPr>
            <w:r>
              <w:rPr>
                <w:rFonts w:ascii="Arial" w:cs="Arial" w:eastAsia="Arial" w:hAnsi="Arial"/>
                <w:sz w:val="16"/>
                <w:szCs w:val="16"/>
                <w:b w:val="1"/>
                <w:bCs w:val="1"/>
                <w:color w:val="auto"/>
              </w:rPr>
              <w:t>More than 12 months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gridSpan w:val="3"/>
          </w:tcPr>
          <w:p>
            <w:pPr>
              <w:spacing w:after="0"/>
              <w:rPr>
                <w:sz w:val="20"/>
                <w:szCs w:val="20"/>
                <w:color w:val="auto"/>
              </w:rPr>
            </w:pPr>
            <w:r>
              <w:rPr>
                <w:rFonts w:ascii="Arial" w:cs="Arial" w:eastAsia="Arial" w:hAnsi="Arial"/>
                <w:sz w:val="16"/>
                <w:szCs w:val="16"/>
                <w:b w:val="1"/>
                <w:bCs w:val="1"/>
                <w:color w:val="auto"/>
                <w:w w:val="99"/>
              </w:rPr>
              <w:t>Total</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23"/>
              <w:spacing w:after="0" w:line="147"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16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Estimated</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80" w:type="dxa"/>
            <w:vAlign w:val="bottom"/>
          </w:tcPr>
          <w:p>
            <w:pPr>
              <w:spacing w:after="0"/>
              <w:rPr>
                <w:sz w:val="12"/>
                <w:szCs w:val="12"/>
                <w:color w:val="auto"/>
              </w:rPr>
            </w:pPr>
          </w:p>
        </w:tc>
        <w:tc>
          <w:tcPr>
            <w:tcW w:w="8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8"/>
              </w:rPr>
              <w:t>Estimated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2"/>
              </w:rPr>
              <w:t>unrealized</w:t>
            </w:r>
          </w:p>
        </w:tc>
        <w:tc>
          <w:tcPr>
            <w:tcW w:w="0" w:type="dxa"/>
            <w:vAlign w:val="bottom"/>
          </w:tcPr>
          <w:p>
            <w:pPr>
              <w:spacing w:after="0"/>
              <w:rPr>
                <w:sz w:val="1"/>
                <w:szCs w:val="1"/>
                <w:color w:val="auto"/>
              </w:rPr>
            </w:pPr>
          </w:p>
        </w:tc>
      </w:tr>
      <w:tr>
        <w:trPr>
          <w:trHeight w:val="149"/>
        </w:trPr>
        <w:tc>
          <w:tcPr>
            <w:tcW w:w="41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holding</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holding</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4"/>
              </w:rPr>
              <w:t>holding</w:t>
            </w:r>
          </w:p>
        </w:tc>
        <w:tc>
          <w:tcPr>
            <w:tcW w:w="0" w:type="dxa"/>
            <w:vAlign w:val="bottom"/>
          </w:tcPr>
          <w:p>
            <w:pPr>
              <w:spacing w:after="0"/>
              <w:rPr>
                <w:sz w:val="1"/>
                <w:szCs w:val="1"/>
                <w:color w:val="auto"/>
              </w:rPr>
            </w:pPr>
          </w:p>
        </w:tc>
      </w:tr>
      <w:tr>
        <w:trPr>
          <w:trHeight w:val="192"/>
        </w:trPr>
        <w:tc>
          <w:tcPr>
            <w:tcW w:w="41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7"/>
              </w:rPr>
              <w:t>losses</w:t>
            </w:r>
          </w:p>
        </w:tc>
        <w:tc>
          <w:tcPr>
            <w:tcW w:w="14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7"/>
              </w:rPr>
              <w:t>losses</w:t>
            </w:r>
          </w:p>
        </w:tc>
        <w:tc>
          <w:tcPr>
            <w:tcW w:w="180" w:type="dxa"/>
            <w:vAlign w:val="bottom"/>
          </w:tcPr>
          <w:p>
            <w:pPr>
              <w:spacing w:after="0"/>
              <w:rPr>
                <w:sz w:val="16"/>
                <w:szCs w:val="16"/>
                <w:color w:val="auto"/>
              </w:rPr>
            </w:pPr>
          </w:p>
        </w:tc>
        <w:tc>
          <w:tcPr>
            <w:tcW w:w="840" w:type="dxa"/>
            <w:vAlign w:val="bottom"/>
          </w:tcPr>
          <w:p>
            <w:pPr>
              <w:jc w:val="right"/>
              <w:ind w:right="81"/>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23"/>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March 31, 2015</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6"/>
                <w:szCs w:val="16"/>
                <w:color w:val="auto"/>
              </w:rPr>
              <w:t>Corporate bonds and notes</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0"/>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20"/>
              <w:spacing w:after="0"/>
              <w:rPr>
                <w:sz w:val="20"/>
                <w:szCs w:val="20"/>
                <w:color w:val="auto"/>
              </w:rPr>
            </w:pPr>
            <w:r>
              <w:rPr>
                <w:rFonts w:ascii="Arial" w:cs="Arial" w:eastAsia="Arial" w:hAnsi="Arial"/>
                <w:sz w:val="18"/>
                <w:szCs w:val="18"/>
                <w:color w:val="auto"/>
              </w:rPr>
              <w:t>2,533</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3,660</w:t>
            </w:r>
          </w:p>
        </w:tc>
        <w:tc>
          <w:tcPr>
            <w:tcW w:w="40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Municipal bonds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6"/>
        </w:trPr>
        <w:tc>
          <w:tcPr>
            <w:tcW w:w="4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1,127</w:t>
            </w: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2,966</w:t>
            </w: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4,093</w:t>
            </w:r>
          </w:p>
        </w:tc>
        <w:tc>
          <w:tcPr>
            <w:tcW w:w="400" w:type="dxa"/>
            <w:vAlign w:val="bottom"/>
            <w:gridSpan w:val="3"/>
          </w:tcPr>
          <w:p>
            <w:pPr>
              <w:ind w:left="2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March 31, 2015 and December 31, 2014 consisted of the following:</w:t>
      </w: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Estimated useful</w:t>
            </w:r>
          </w:p>
        </w:tc>
        <w:tc>
          <w:tcPr>
            <w:tcW w:w="3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10"/>
        </w:trPr>
        <w:tc>
          <w:tcPr>
            <w:tcW w:w="544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lives</w:t>
            </w:r>
          </w:p>
        </w:tc>
        <w:tc>
          <w:tcPr>
            <w:tcW w:w="380" w:type="dxa"/>
            <w:vAlign w:val="bottom"/>
          </w:tcPr>
          <w:p>
            <w:pPr>
              <w:spacing w:after="0"/>
              <w:rPr>
                <w:sz w:val="18"/>
                <w:szCs w:val="18"/>
                <w:color w:val="auto"/>
              </w:rPr>
            </w:pPr>
          </w:p>
        </w:tc>
        <w:tc>
          <w:tcPr>
            <w:tcW w:w="18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2015</w:t>
            </w:r>
          </w:p>
        </w:tc>
        <w:tc>
          <w:tcPr>
            <w:tcW w:w="320" w:type="dxa"/>
            <w:vAlign w:val="bottom"/>
          </w:tcPr>
          <w:p>
            <w:pPr>
              <w:spacing w:after="0"/>
              <w:rPr>
                <w:sz w:val="18"/>
                <w:szCs w:val="18"/>
                <w:color w:val="auto"/>
              </w:rPr>
            </w:pPr>
          </w:p>
        </w:tc>
        <w:tc>
          <w:tcPr>
            <w:tcW w:w="1800" w:type="dxa"/>
            <w:vAlign w:val="bottom"/>
          </w:tcPr>
          <w:p>
            <w:pPr>
              <w:jc w:val="right"/>
              <w:ind w:right="311"/>
              <w:spacing w:after="0"/>
              <w:rPr>
                <w:sz w:val="20"/>
                <w:szCs w:val="20"/>
                <w:color w:val="auto"/>
              </w:rPr>
            </w:pPr>
            <w:r>
              <w:rPr>
                <w:rFonts w:ascii="Arial" w:cs="Arial" w:eastAsia="Arial" w:hAnsi="Arial"/>
                <w:sz w:val="16"/>
                <w:szCs w:val="16"/>
                <w:b w:val="1"/>
                <w:bCs w:val="1"/>
                <w:color w:val="auto"/>
                <w:w w:val="95"/>
              </w:rPr>
              <w:t>December 31, 2014</w:t>
            </w:r>
          </w:p>
        </w:tc>
      </w:tr>
      <w:tr>
        <w:trPr>
          <w:trHeight w:val="33"/>
        </w:trPr>
        <w:tc>
          <w:tcPr>
            <w:tcW w:w="54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Tradename</w:t>
            </w: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7 years</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Patents and technological know-how</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10 years</w:t>
            </w:r>
          </w:p>
        </w:tc>
        <w:tc>
          <w:tcPr>
            <w:tcW w:w="38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5,850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5,850</w:t>
            </w:r>
          </w:p>
        </w:tc>
      </w:tr>
      <w:tr>
        <w:trPr>
          <w:trHeight w:val="27"/>
        </w:trPr>
        <w:tc>
          <w:tcPr>
            <w:tcW w:w="5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software</w:t>
            </w: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3 to 15 years</w:t>
            </w:r>
          </w:p>
        </w:tc>
        <w:tc>
          <w:tcPr>
            <w:tcW w:w="3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4,341</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Other</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5 years</w:t>
            </w:r>
          </w:p>
        </w:tc>
        <w:tc>
          <w:tcPr>
            <w:tcW w:w="38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324</w:t>
            </w:r>
          </w:p>
        </w:tc>
      </w:tr>
      <w:tr>
        <w:trPr>
          <w:trHeight w:val="27"/>
        </w:trPr>
        <w:tc>
          <w:tcPr>
            <w:tcW w:w="54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11,070</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Accumulated amortization</w:t>
            </w: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(3,489)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(3,174)</w:t>
            </w:r>
          </w:p>
        </w:tc>
      </w:tr>
      <w:tr>
        <w:trPr>
          <w:trHeight w:val="27"/>
        </w:trPr>
        <w:tc>
          <w:tcPr>
            <w:tcW w:w="54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9"/>
        </w:trPr>
        <w:tc>
          <w:tcPr>
            <w:tcW w:w="54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7,896</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of intangible assets for the three months ended March 31, 2015 and March 31, 2014 was as follows: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20" w:type="dxa"/>
            <w:vAlign w:val="bottom"/>
            <w:gridSpan w:val="6"/>
          </w:tcPr>
          <w:p>
            <w:pPr>
              <w:ind w:left="540"/>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60" w:type="dxa"/>
            <w:vAlign w:val="bottom"/>
          </w:tcPr>
          <w:p>
            <w:pPr>
              <w:jc w:val="right"/>
              <w:ind w:right="816"/>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60" w:type="dxa"/>
            <w:vAlign w:val="bottom"/>
          </w:tcPr>
          <w:p>
            <w:pPr>
              <w:jc w:val="right"/>
              <w:ind w:right="811"/>
              <w:spacing w:after="0"/>
              <w:rPr>
                <w:sz w:val="20"/>
                <w:szCs w:val="20"/>
                <w:color w:val="auto"/>
              </w:rPr>
            </w:pPr>
            <w:r>
              <w:rPr>
                <w:rFonts w:ascii="Arial" w:cs="Arial" w:eastAsia="Arial" w:hAnsi="Arial"/>
                <w:sz w:val="16"/>
                <w:szCs w:val="16"/>
                <w:b w:val="1"/>
                <w:bCs w:val="1"/>
                <w:color w:val="auto"/>
              </w:rPr>
              <w:t>2014</w:t>
            </w:r>
          </w:p>
        </w:tc>
        <w:tc>
          <w:tcPr>
            <w:tcW w:w="20" w:type="dxa"/>
            <w:vAlign w:val="bottom"/>
          </w:tcPr>
          <w:p>
            <w:pPr>
              <w:spacing w:after="0"/>
              <w:rPr>
                <w:sz w:val="20"/>
                <w:szCs w:val="20"/>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5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432"/>
        </w:trPr>
        <w:tc>
          <w:tcPr>
            <w:tcW w:w="7020" w:type="dxa"/>
            <w:vAlign w:val="bottom"/>
            <w:gridSpan w:val="3"/>
          </w:tcPr>
          <w:p>
            <w:pPr>
              <w:spacing w:after="0"/>
              <w:rPr>
                <w:sz w:val="20"/>
                <w:szCs w:val="20"/>
                <w:color w:val="auto"/>
              </w:rPr>
            </w:pPr>
            <w:r>
              <w:rPr>
                <w:rFonts w:ascii="Arial" w:cs="Arial" w:eastAsia="Arial" w:hAnsi="Arial"/>
                <w:sz w:val="18"/>
                <w:szCs w:val="18"/>
                <w:color w:val="auto"/>
              </w:rPr>
              <w:t>The estimated future amortization expense of intangible assets is as follows:</w:t>
            </w:r>
          </w:p>
        </w:tc>
        <w:tc>
          <w:tcPr>
            <w:tcW w:w="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Years ending December 31,</w:t>
            </w:r>
          </w:p>
        </w:tc>
        <w:tc>
          <w:tcPr>
            <w:tcW w:w="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2100" w:type="dxa"/>
            <w:vAlign w:val="bottom"/>
            <w:tcBorders>
              <w:top w:val="single" w:sz="8" w:color="auto"/>
            </w:tcBorders>
          </w:tcPr>
          <w:p>
            <w:pPr>
              <w:spacing w:after="0"/>
              <w:rPr>
                <w:sz w:val="4"/>
                <w:szCs w:val="4"/>
                <w:color w:val="auto"/>
              </w:rPr>
            </w:pPr>
          </w:p>
        </w:tc>
        <w:tc>
          <w:tcPr>
            <w:tcW w:w="4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6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2015 (remainder)</w:t>
            </w:r>
          </w:p>
        </w:tc>
        <w:tc>
          <w:tcPr>
            <w:tcW w:w="5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943</w:t>
            </w:r>
          </w:p>
        </w:tc>
        <w:tc>
          <w:tcPr>
            <w:tcW w:w="20" w:type="dxa"/>
            <w:vAlign w:val="bottom"/>
          </w:tcPr>
          <w:p>
            <w:pPr>
              <w:spacing w:after="0"/>
              <w:rPr>
                <w:sz w:val="21"/>
                <w:szCs w:val="21"/>
                <w:color w:val="auto"/>
              </w:rPr>
            </w:pPr>
          </w:p>
        </w:tc>
      </w:tr>
      <w:tr>
        <w:trPr>
          <w:trHeight w:val="243"/>
        </w:trPr>
        <w:tc>
          <w:tcPr>
            <w:tcW w:w="2140" w:type="dxa"/>
            <w:vAlign w:val="bottom"/>
            <w:gridSpan w:val="2"/>
          </w:tcPr>
          <w:p>
            <w:pPr>
              <w:ind w:left="40"/>
              <w:spacing w:after="0"/>
              <w:rPr>
                <w:sz w:val="20"/>
                <w:szCs w:val="20"/>
                <w:color w:val="auto"/>
              </w:rPr>
            </w:pPr>
            <w:r>
              <w:rPr>
                <w:rFonts w:ascii="Arial" w:cs="Arial" w:eastAsia="Arial" w:hAnsi="Arial"/>
                <w:sz w:val="18"/>
                <w:szCs w:val="18"/>
                <w:color w:val="auto"/>
              </w:rPr>
              <w:t>2016</w:t>
            </w:r>
          </w:p>
        </w:tc>
        <w:tc>
          <w:tcPr>
            <w:tcW w:w="4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1,121</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4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925</w:t>
            </w:r>
          </w:p>
        </w:tc>
        <w:tc>
          <w:tcPr>
            <w:tcW w:w="20" w:type="dxa"/>
            <w:vAlign w:val="bottom"/>
          </w:tcPr>
          <w:p>
            <w:pPr>
              <w:spacing w:after="0"/>
              <w:rPr>
                <w:sz w:val="21"/>
                <w:szCs w:val="21"/>
                <w:color w:val="auto"/>
              </w:rPr>
            </w:pPr>
          </w:p>
        </w:tc>
      </w:tr>
      <w:tr>
        <w:trPr>
          <w:trHeight w:val="243"/>
        </w:trPr>
        <w:tc>
          <w:tcPr>
            <w:tcW w:w="214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4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851</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4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5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2,963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40" w:type="dxa"/>
            <w:vAlign w:val="bottom"/>
            <w:tcBorders>
              <w:right w:val="single" w:sz="8" w:color="CCEEFF"/>
            </w:tcBorders>
          </w:tcPr>
          <w:p>
            <w:pPr>
              <w:spacing w:after="0"/>
              <w:rPr>
                <w:sz w:val="22"/>
                <w:szCs w:val="22"/>
                <w:color w:val="auto"/>
              </w:rPr>
            </w:pPr>
          </w:p>
        </w:tc>
        <w:tc>
          <w:tcPr>
            <w:tcW w:w="2100" w:type="dxa"/>
            <w:vAlign w:val="bottom"/>
            <w:tcBorders>
              <w:bottom w:val="single" w:sz="8" w:color="CCEEFF"/>
            </w:tcBorders>
            <w:shd w:val="clear" w:color="auto" w:fill="CCEEFF"/>
          </w:tcPr>
          <w:p>
            <w:pPr>
              <w:spacing w:after="0"/>
              <w:rPr>
                <w:sz w:val="22"/>
                <w:szCs w:val="22"/>
                <w:color w:val="auto"/>
              </w:rPr>
            </w:pPr>
          </w:p>
        </w:tc>
        <w:tc>
          <w:tcPr>
            <w:tcW w:w="48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7,581</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of reserves, as of March 31, 2015 and December 31, 2014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2015</w:t>
            </w:r>
          </w:p>
        </w:tc>
        <w:tc>
          <w:tcPr>
            <w:tcW w:w="320" w:type="dxa"/>
            <w:vAlign w:val="bottom"/>
          </w:tcPr>
          <w:p>
            <w:pPr>
              <w:spacing w:after="0"/>
              <w:rPr>
                <w:sz w:val="18"/>
                <w:szCs w:val="18"/>
                <w:color w:val="auto"/>
              </w:rPr>
            </w:pPr>
          </w:p>
        </w:tc>
        <w:tc>
          <w:tcPr>
            <w:tcW w:w="1820" w:type="dxa"/>
            <w:vAlign w:val="bottom"/>
          </w:tcPr>
          <w:p>
            <w:pPr>
              <w:jc w:val="right"/>
              <w:ind w:right="331"/>
              <w:spacing w:after="0"/>
              <w:rPr>
                <w:sz w:val="20"/>
                <w:szCs w:val="20"/>
                <w:color w:val="auto"/>
              </w:rPr>
            </w:pPr>
            <w:r>
              <w:rPr>
                <w:rFonts w:ascii="Arial" w:cs="Arial" w:eastAsia="Arial" w:hAnsi="Arial"/>
                <w:sz w:val="16"/>
                <w:szCs w:val="16"/>
                <w:b w:val="1"/>
                <w:bCs w:val="1"/>
                <w:color w:val="auto"/>
                <w:w w:val="95"/>
              </w:rPr>
              <w:t>December 31, 2014</w:t>
            </w:r>
          </w:p>
        </w:tc>
      </w:tr>
      <w:tr>
        <w:trPr>
          <w:trHeight w:val="33"/>
        </w:trPr>
        <w:tc>
          <w:tcPr>
            <w:tcW w:w="7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Raw materials</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3,071</w:t>
            </w:r>
          </w:p>
        </w:tc>
        <w:tc>
          <w:tcPr>
            <w:tcW w:w="1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3,056</w:t>
            </w:r>
          </w:p>
        </w:tc>
      </w:tr>
      <w:tr>
        <w:trPr>
          <w:trHeight w:val="27"/>
        </w:trPr>
        <w:tc>
          <w:tcPr>
            <w:tcW w:w="7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Finished goods</w:t>
            </w:r>
          </w:p>
        </w:tc>
        <w:tc>
          <w:tcPr>
            <w:tcW w:w="3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12,338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11,408</w:t>
            </w:r>
          </w:p>
        </w:tc>
      </w:tr>
      <w:tr>
        <w:trPr>
          <w:trHeight w:val="237"/>
        </w:trPr>
        <w:tc>
          <w:tcPr>
            <w:tcW w:w="7020" w:type="dxa"/>
            <w:vAlign w:val="bottom"/>
          </w:tcPr>
          <w:p>
            <w:pPr>
              <w:spacing w:after="0"/>
              <w:rPr>
                <w:sz w:val="20"/>
                <w:szCs w:val="20"/>
                <w:color w:val="auto"/>
              </w:rPr>
            </w:pPr>
          </w:p>
        </w:tc>
        <w:tc>
          <w:tcPr>
            <w:tcW w:w="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15,409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14,464</w:t>
            </w:r>
          </w:p>
        </w:tc>
      </w:tr>
      <w:tr>
        <w:trPr>
          <w:trHeight w:val="67"/>
        </w:trPr>
        <w:tc>
          <w:tcPr>
            <w:tcW w:w="70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r>
      <w:tr>
        <w:trPr>
          <w:trHeight w:val="231"/>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w:t>
            </w:r>
          </w:p>
        </w:tc>
        <w:tc>
          <w:tcPr>
            <w:tcW w:w="3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Raw materials</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59</w:t>
            </w:r>
          </w:p>
        </w:tc>
      </w:tr>
      <w:tr>
        <w:trPr>
          <w:trHeight w:val="27"/>
        </w:trPr>
        <w:tc>
          <w:tcPr>
            <w:tcW w:w="7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Finished goods</w:t>
            </w:r>
          </w:p>
        </w:tc>
        <w:tc>
          <w:tcPr>
            <w:tcW w:w="3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w:t>
            </w:r>
          </w:p>
        </w:tc>
      </w:tr>
      <w:tr>
        <w:trPr>
          <w:trHeight w:val="237"/>
        </w:trPr>
        <w:tc>
          <w:tcPr>
            <w:tcW w:w="7020" w:type="dxa"/>
            <w:vAlign w:val="bottom"/>
          </w:tcPr>
          <w:p>
            <w:pPr>
              <w:spacing w:after="0"/>
              <w:rPr>
                <w:sz w:val="20"/>
                <w:szCs w:val="20"/>
                <w:color w:val="auto"/>
              </w:rPr>
            </w:pPr>
          </w:p>
        </w:tc>
        <w:tc>
          <w:tcPr>
            <w:tcW w:w="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876</w:t>
            </w:r>
          </w:p>
        </w:tc>
      </w:tr>
      <w:tr>
        <w:trPr>
          <w:trHeight w:val="27"/>
        </w:trPr>
        <w:tc>
          <w:tcPr>
            <w:tcW w:w="7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
        </w:trPr>
        <w:tc>
          <w:tcPr>
            <w:tcW w:w="7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Long-term inventory represents inventory held in excess of our current (next 12 months) requirements based on our recent sales and forecasted level of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to sell the above inventory, net of reserves, at or above the stated cost and believe that no loss will be incurred on its sale.</w:t>
      </w:r>
    </w:p>
    <w:p>
      <w:pPr>
        <w:spacing w:after="0" w:line="21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Current finished goods include consigned inventory in the amounts of approximately $1,540 and $1,698 as of March 31, 2015 and December 31, 2014, respectively. Consigned inventory represents inventory at distributors and other customers where revenue recognition criteria have not yet been achieved.</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summarizes the losses incurred on valuation of inventory at lower of cost or market value and write-off of obsolete inventory during the three months ended March 31, 2015 and 2014, respectively.</w:t>
      </w:r>
    </w:p>
    <w:p>
      <w:pPr>
        <w:spacing w:after="0" w:line="130" w:lineRule="exact"/>
        <w:rPr>
          <w:sz w:val="20"/>
          <w:szCs w:val="20"/>
          <w:color w:val="auto"/>
        </w:rPr>
      </w:pPr>
    </w:p>
    <w:p>
      <w:pPr>
        <w:ind w:left="820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37465</wp:posOffset>
            </wp:positionV>
            <wp:extent cx="2735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80" w:lineRule="exact"/>
        <w:rPr>
          <w:sz w:val="20"/>
          <w:szCs w:val="20"/>
          <w:color w:val="auto"/>
        </w:rPr>
      </w:pPr>
    </w:p>
    <w:p>
      <w:pPr>
        <w:ind w:left="8040"/>
        <w:spacing w:after="0"/>
        <w:tabs>
          <w:tab w:leader="none" w:pos="10220" w:val="left"/>
        </w:tabs>
        <w:rPr>
          <w:sz w:val="20"/>
          <w:szCs w:val="20"/>
          <w:color w:val="auto"/>
        </w:rPr>
      </w:pPr>
      <w:r>
        <w:rPr>
          <w:rFonts w:ascii="Arial" w:cs="Arial" w:eastAsia="Arial" w:hAnsi="Arial"/>
          <w:sz w:val="16"/>
          <w:szCs w:val="16"/>
          <w:b w:val="1"/>
          <w:bCs w:val="1"/>
          <w:color w:val="auto"/>
        </w:rPr>
        <w:t>2015</w:t>
      </w:r>
      <w:r>
        <w:rPr>
          <w:sz w:val="20"/>
          <w:szCs w:val="20"/>
          <w:color w:val="auto"/>
        </w:rPr>
        <w:tab/>
      </w:r>
      <w:r>
        <w:rPr>
          <w:rFonts w:ascii="Arial" w:cs="Arial" w:eastAsia="Arial" w:hAnsi="Arial"/>
          <w:sz w:val="16"/>
          <w:szCs w:val="16"/>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tabs>
          <w:tab w:leader="none" w:pos="7240" w:val="left"/>
          <w:tab w:leader="none" w:pos="8960" w:val="left"/>
          <w:tab w:leader="none" w:pos="9380" w:val="left"/>
          <w:tab w:leader="none" w:pos="11020" w:val="left"/>
        </w:tabs>
        <w:rPr>
          <w:sz w:val="20"/>
          <w:szCs w:val="20"/>
          <w:color w:val="auto"/>
        </w:rPr>
      </w:pPr>
      <w:r>
        <w:rPr>
          <w:rFonts w:ascii="Arial" w:cs="Arial" w:eastAsia="Arial" w:hAnsi="Arial"/>
          <w:sz w:val="18"/>
          <w:szCs w:val="18"/>
          <w:color w:val="auto"/>
        </w:rPr>
        <w:t>Net loss (gain) on valuation of inventory and write-off of obsolete inventory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47</w:t>
        <w:tab/>
        <w:t>$</w:t>
      </w:r>
      <w:r>
        <w:rPr>
          <w:sz w:val="20"/>
          <w:szCs w:val="20"/>
          <w:color w:val="auto"/>
        </w:rPr>
        <w:tab/>
      </w:r>
      <w:r>
        <w:rPr>
          <w:rFonts w:ascii="Arial" w:cs="Arial" w:eastAsia="Arial" w:hAnsi="Arial"/>
          <w:sz w:val="16"/>
          <w:szCs w:val="16"/>
          <w:color w:val="auto"/>
        </w:rPr>
        <w:t>416</w:t>
      </w:r>
    </w:p>
    <w:p>
      <w:pPr>
        <w:spacing w:after="0" w:line="248"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has been recorded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640" w:type="dxa"/>
            <w:vAlign w:val="bottom"/>
            <w:gridSpan w:val="4"/>
          </w:tcPr>
          <w:p>
            <w:pPr>
              <w:jc w:val="right"/>
              <w:ind w:right="333"/>
              <w:spacing w:after="0"/>
              <w:rPr>
                <w:sz w:val="20"/>
                <w:szCs w:val="20"/>
                <w:color w:val="auto"/>
              </w:rPr>
            </w:pPr>
            <w:r>
              <w:rPr>
                <w:rFonts w:ascii="Arial" w:cs="Arial" w:eastAsia="Arial" w:hAnsi="Arial"/>
                <w:sz w:val="16"/>
                <w:szCs w:val="16"/>
                <w:b w:val="1"/>
                <w:bCs w:val="1"/>
                <w:color w:val="auto"/>
              </w:rPr>
              <w:t>Three months ended March 31,</w:t>
            </w:r>
          </w:p>
        </w:tc>
        <w:tc>
          <w:tcPr>
            <w:tcW w:w="580" w:type="dxa"/>
            <w:vAlign w:val="bottom"/>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1440" w:type="dxa"/>
            <w:vAlign w:val="bottom"/>
          </w:tcPr>
          <w:p>
            <w:pPr>
              <w:jc w:val="right"/>
              <w:ind w:right="154"/>
              <w:spacing w:after="0"/>
              <w:rPr>
                <w:sz w:val="20"/>
                <w:szCs w:val="20"/>
                <w:color w:val="auto"/>
              </w:rPr>
            </w:pPr>
            <w:r>
              <w:rPr>
                <w:rFonts w:ascii="Arial" w:cs="Arial" w:eastAsia="Arial" w:hAnsi="Arial"/>
                <w:sz w:val="16"/>
                <w:szCs w:val="16"/>
                <w:b w:val="1"/>
                <w:bCs w:val="1"/>
                <w:color w:val="auto"/>
              </w:rPr>
              <w:t>2015</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193"/>
              <w:spacing w:after="0"/>
              <w:rPr>
                <w:sz w:val="20"/>
                <w:szCs w:val="20"/>
                <w:color w:val="auto"/>
              </w:rPr>
            </w:pPr>
            <w:r>
              <w:rPr>
                <w:rFonts w:ascii="Arial" w:cs="Arial" w:eastAsia="Arial" w:hAnsi="Arial"/>
                <w:sz w:val="16"/>
                <w:szCs w:val="16"/>
                <w:b w:val="1"/>
                <w:bCs w:val="1"/>
                <w:color w:val="auto"/>
              </w:rPr>
              <w:t>2014</w:t>
            </w:r>
          </w:p>
        </w:tc>
        <w:tc>
          <w:tcPr>
            <w:tcW w:w="580" w:type="dxa"/>
            <w:vAlign w:val="bottom"/>
          </w:tcPr>
          <w:p>
            <w:pPr>
              <w:spacing w:after="0"/>
              <w:rPr>
                <w:sz w:val="20"/>
                <w:szCs w:val="20"/>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440" w:type="dxa"/>
            <w:vAlign w:val="bottom"/>
            <w:tcBorders>
              <w:bottom w:val="single" w:sz="8" w:color="CCEEFF"/>
            </w:tcBorders>
            <w:shd w:val="clear" w:color="auto" w:fill="CCEEFF"/>
          </w:tcPr>
          <w:p>
            <w:pPr>
              <w:jc w:val="right"/>
              <w:ind w:right="123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7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4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7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product development</w:t>
            </w:r>
          </w:p>
        </w:tc>
        <w:tc>
          <w:tcPr>
            <w:tcW w:w="1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4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7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23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27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As of March 31, 2015, the total remaining unrecognized compensation cost related to non-vested stock options, net of forfeitures, was approximately $1,084, which will be recognized over a weighted average period of 2.55 years.</w:t>
      </w:r>
    </w:p>
    <w:p>
      <w:pPr>
        <w:spacing w:after="0" w:line="166"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 in shareholders’ equity during the three months ended March 31, 2015 and 2014, respectively: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480" w:type="dxa"/>
            <w:vAlign w:val="bottom"/>
            <w:gridSpan w:val="4"/>
          </w:tcPr>
          <w:p>
            <w:pPr>
              <w:jc w:val="right"/>
              <w:ind w:right="173"/>
              <w:spacing w:after="0"/>
              <w:rPr>
                <w:sz w:val="20"/>
                <w:szCs w:val="20"/>
                <w:color w:val="auto"/>
              </w:rPr>
            </w:pPr>
            <w:r>
              <w:rPr>
                <w:rFonts w:ascii="Arial" w:cs="Arial" w:eastAsia="Arial" w:hAnsi="Arial"/>
                <w:sz w:val="16"/>
                <w:szCs w:val="16"/>
                <w:b w:val="1"/>
                <w:bCs w:val="1"/>
                <w:color w:val="auto"/>
              </w:rPr>
              <w:t>Three months ended March 31,</w:t>
            </w:r>
          </w:p>
        </w:tc>
        <w:tc>
          <w:tcPr>
            <w:tcW w:w="740" w:type="dxa"/>
            <w:vAlign w:val="bottom"/>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6"/>
                <w:szCs w:val="16"/>
                <w:b w:val="1"/>
                <w:bCs w:val="1"/>
                <w:color w:val="auto"/>
              </w:rPr>
              <w:t>2015</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Arial" w:cs="Arial" w:eastAsia="Arial" w:hAnsi="Arial"/>
                <w:sz w:val="16"/>
                <w:szCs w:val="16"/>
                <w:b w:val="1"/>
                <w:bCs w:val="1"/>
                <w:color w:val="auto"/>
              </w:rPr>
              <w:t>2014</w:t>
            </w:r>
          </w:p>
        </w:tc>
        <w:tc>
          <w:tcPr>
            <w:tcW w:w="740" w:type="dxa"/>
            <w:vAlign w:val="bottom"/>
          </w:tcPr>
          <w:p>
            <w:pPr>
              <w:spacing w:after="0"/>
              <w:rPr>
                <w:sz w:val="20"/>
                <w:szCs w:val="20"/>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the beginning of the period</w:t>
            </w:r>
          </w:p>
        </w:tc>
        <w:tc>
          <w:tcPr>
            <w:tcW w:w="1320" w:type="dxa"/>
            <w:vAlign w:val="bottom"/>
            <w:tcBorders>
              <w:bottom w:val="single" w:sz="8" w:color="CCEEFF"/>
            </w:tcBorders>
            <w:shd w:val="clear" w:color="auto" w:fill="CCEEFF"/>
          </w:tcPr>
          <w:p>
            <w:pPr>
              <w:jc w:val="right"/>
              <w:ind w:right="111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76,016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70,335</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income during the period</w:t>
            </w: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485</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Tax benefit - stock option exercise</w:t>
            </w: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Dividends</w:t>
            </w:r>
          </w:p>
        </w:tc>
        <w:tc>
          <w:tcPr>
            <w:tcW w:w="1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issued for acquisitions</w:t>
            </w:r>
          </w:p>
        </w:tc>
        <w:tc>
          <w:tcPr>
            <w:tcW w:w="1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1,679</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Unrealized gain or loss on investments, net of tax</w:t>
            </w: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1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Balance at end of the period</w:t>
            </w:r>
          </w:p>
        </w:tc>
        <w:tc>
          <w:tcPr>
            <w:tcW w:w="1320" w:type="dxa"/>
            <w:vAlign w:val="bottom"/>
            <w:tcBorders>
              <w:top w:val="single" w:sz="8" w:color="auto"/>
              <w:bottom w:val="single" w:sz="8" w:color="auto"/>
            </w:tcBorders>
          </w:tcPr>
          <w:p>
            <w:pPr>
              <w:jc w:val="right"/>
              <w:ind w:right="1114"/>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77,109</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ind w:right="1113"/>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73,764</w:t>
            </w:r>
          </w:p>
        </w:tc>
      </w:tr>
      <w:tr>
        <w:trPr>
          <w:trHeight w:val="20"/>
        </w:trPr>
        <w:tc>
          <w:tcPr>
            <w:tcW w:w="7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On April 28, 2015, the Company announced a quarterly cash dividend of $0.035 per share to be paid on May 15, 2015 to shareholders of record as of May 4, 2015.</w:t>
      </w:r>
    </w:p>
    <w:p>
      <w:pPr>
        <w:spacing w:after="0" w:line="18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32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in active markets for identical assets and liabilities.</w:t>
      </w:r>
    </w:p>
    <w:p>
      <w:pPr>
        <w:spacing w:after="0" w:line="198" w:lineRule="exact"/>
        <w:rPr>
          <w:sz w:val="20"/>
          <w:szCs w:val="20"/>
          <w:color w:val="auto"/>
        </w:rPr>
      </w:pPr>
    </w:p>
    <w:p>
      <w:pPr>
        <w:ind w:left="660" w:right="60"/>
        <w:spacing w:after="0" w:line="312"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w:t>
      </w:r>
    </w:p>
    <w:p>
      <w:pPr>
        <w:spacing w:after="0" w:line="22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substantial majority of the Company’s financial instruments are valued using quoted prices in active markets or based on other observable inputs. The following table sets forth the fair value of the financial instruments re-measured by the Company as of March 31, 2015 and December 31, 2014: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Arial" w:cs="Arial" w:eastAsia="Arial" w:hAnsi="Arial"/>
                <w:sz w:val="16"/>
                <w:szCs w:val="16"/>
                <w:b w:val="1"/>
                <w:bCs w:val="1"/>
                <w:color w:val="auto"/>
              </w:rPr>
              <w:t>Level 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2</w:t>
            </w:r>
          </w:p>
        </w:tc>
        <w:tc>
          <w:tcPr>
            <w:tcW w:w="1180" w:type="dxa"/>
            <w:vAlign w:val="bottom"/>
          </w:tcPr>
          <w:p>
            <w:pPr>
              <w:jc w:val="right"/>
              <w:ind w:right="33"/>
              <w:spacing w:after="0"/>
              <w:rPr>
                <w:sz w:val="20"/>
                <w:szCs w:val="20"/>
                <w:color w:val="auto"/>
              </w:rPr>
            </w:pPr>
            <w:r>
              <w:rPr>
                <w:rFonts w:ascii="Arial" w:cs="Arial" w:eastAsia="Arial" w:hAnsi="Arial"/>
                <w:sz w:val="16"/>
                <w:szCs w:val="16"/>
                <w:b w:val="1"/>
                <w:bCs w:val="1"/>
                <w:color w:val="auto"/>
              </w:rPr>
              <w:t>Level 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Total</w:t>
            </w:r>
          </w:p>
        </w:tc>
      </w:tr>
      <w:tr>
        <w:trPr>
          <w:trHeight w:val="33"/>
        </w:trPr>
        <w:tc>
          <w:tcPr>
            <w:tcW w:w="4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2015</w:t>
            </w: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 bonds and notes</w:t>
            </w:r>
          </w:p>
        </w:tc>
        <w:tc>
          <w:tcPr>
            <w:tcW w:w="1200" w:type="dxa"/>
            <w:vAlign w:val="bottom"/>
          </w:tcPr>
          <w:p>
            <w:pPr>
              <w:jc w:val="right"/>
              <w:ind w:right="993"/>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19,334</w:t>
            </w:r>
          </w:p>
        </w:tc>
        <w:tc>
          <w:tcPr>
            <w:tcW w:w="100" w:type="dxa"/>
            <w:vAlign w:val="bottom"/>
          </w:tcPr>
          <w:p>
            <w:pPr>
              <w:spacing w:after="0"/>
              <w:rPr>
                <w:sz w:val="21"/>
                <w:szCs w:val="21"/>
                <w:color w:val="auto"/>
              </w:rPr>
            </w:pPr>
          </w:p>
        </w:tc>
        <w:tc>
          <w:tcPr>
            <w:tcW w:w="1180" w:type="dxa"/>
            <w:vAlign w:val="bottom"/>
          </w:tcPr>
          <w:p>
            <w:pPr>
              <w:jc w:val="right"/>
              <w:ind w:right="973"/>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19,334</w:t>
            </w:r>
          </w:p>
        </w:tc>
      </w:tr>
      <w:tr>
        <w:trPr>
          <w:trHeight w:val="27"/>
        </w:trPr>
        <w:tc>
          <w:tcPr>
            <w:tcW w:w="4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1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6,113</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6,113</w:t>
            </w:r>
          </w:p>
        </w:tc>
      </w:tr>
      <w:tr>
        <w:trPr>
          <w:trHeight w:val="257"/>
        </w:trPr>
        <w:tc>
          <w:tcPr>
            <w:tcW w:w="4700" w:type="dxa"/>
            <w:vAlign w:val="bottom"/>
          </w:tcPr>
          <w:p>
            <w:pPr>
              <w:ind w:left="38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tcBorders>
          </w:tcPr>
          <w:p>
            <w:pPr>
              <w:jc w:val="right"/>
              <w:ind w:right="99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25,447</w:t>
            </w:r>
          </w:p>
        </w:tc>
        <w:tc>
          <w:tcPr>
            <w:tcW w:w="10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ind w:right="97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25,447</w:t>
            </w:r>
          </w:p>
        </w:tc>
      </w:tr>
      <w:tr>
        <w:trPr>
          <w:trHeight w:val="20"/>
        </w:trPr>
        <w:tc>
          <w:tcPr>
            <w:tcW w:w="4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75"/>
        </w:trPr>
        <w:tc>
          <w:tcPr>
            <w:tcW w:w="4700" w:type="dxa"/>
            <w:vAlign w:val="bottom"/>
          </w:tcPr>
          <w:p>
            <w:pPr>
              <w:spacing w:after="0"/>
              <w:rPr>
                <w:sz w:val="24"/>
                <w:szCs w:val="24"/>
                <w:color w:val="auto"/>
              </w:rPr>
            </w:pPr>
          </w:p>
        </w:tc>
        <w:tc>
          <w:tcPr>
            <w:tcW w:w="1200" w:type="dxa"/>
            <w:vAlign w:val="bottom"/>
          </w:tcPr>
          <w:p>
            <w:pPr>
              <w:jc w:val="right"/>
              <w:ind w:right="53"/>
              <w:spacing w:after="0"/>
              <w:rPr>
                <w:sz w:val="20"/>
                <w:szCs w:val="20"/>
                <w:color w:val="auto"/>
              </w:rPr>
            </w:pPr>
            <w:r>
              <w:rPr>
                <w:rFonts w:ascii="Arial" w:cs="Arial" w:eastAsia="Arial" w:hAnsi="Arial"/>
                <w:sz w:val="16"/>
                <w:szCs w:val="16"/>
                <w:b w:val="1"/>
                <w:bCs w:val="1"/>
                <w:color w:val="auto"/>
              </w:rPr>
              <w:t>Level 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2</w:t>
            </w:r>
          </w:p>
        </w:tc>
        <w:tc>
          <w:tcPr>
            <w:tcW w:w="1180" w:type="dxa"/>
            <w:vAlign w:val="bottom"/>
          </w:tcPr>
          <w:p>
            <w:pPr>
              <w:jc w:val="right"/>
              <w:ind w:right="33"/>
              <w:spacing w:after="0"/>
              <w:rPr>
                <w:sz w:val="20"/>
                <w:szCs w:val="20"/>
                <w:color w:val="auto"/>
              </w:rPr>
            </w:pPr>
            <w:r>
              <w:rPr>
                <w:rFonts w:ascii="Arial" w:cs="Arial" w:eastAsia="Arial" w:hAnsi="Arial"/>
                <w:sz w:val="16"/>
                <w:szCs w:val="16"/>
                <w:b w:val="1"/>
                <w:bCs w:val="1"/>
                <w:color w:val="auto"/>
              </w:rPr>
              <w:t>Level 3</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Total</w:t>
            </w:r>
          </w:p>
        </w:tc>
      </w:tr>
      <w:tr>
        <w:trPr>
          <w:trHeight w:val="33"/>
        </w:trPr>
        <w:tc>
          <w:tcPr>
            <w:tcW w:w="4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2014</w:t>
            </w: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 bonds and notes</w:t>
            </w:r>
          </w:p>
        </w:tc>
        <w:tc>
          <w:tcPr>
            <w:tcW w:w="1200" w:type="dxa"/>
            <w:vAlign w:val="bottom"/>
          </w:tcPr>
          <w:p>
            <w:pPr>
              <w:jc w:val="right"/>
              <w:ind w:right="993"/>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19,838</w:t>
            </w:r>
          </w:p>
        </w:tc>
        <w:tc>
          <w:tcPr>
            <w:tcW w:w="100" w:type="dxa"/>
            <w:vAlign w:val="bottom"/>
          </w:tcPr>
          <w:p>
            <w:pPr>
              <w:spacing w:after="0"/>
              <w:rPr>
                <w:sz w:val="21"/>
                <w:szCs w:val="21"/>
                <w:color w:val="auto"/>
              </w:rPr>
            </w:pPr>
          </w:p>
        </w:tc>
        <w:tc>
          <w:tcPr>
            <w:tcW w:w="1180" w:type="dxa"/>
            <w:vAlign w:val="bottom"/>
          </w:tcPr>
          <w:p>
            <w:pPr>
              <w:jc w:val="right"/>
              <w:ind w:right="973"/>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19,838</w:t>
            </w:r>
          </w:p>
        </w:tc>
      </w:tr>
      <w:tr>
        <w:trPr>
          <w:trHeight w:val="27"/>
        </w:trPr>
        <w:tc>
          <w:tcPr>
            <w:tcW w:w="4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1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6,318</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6,318</w:t>
            </w:r>
          </w:p>
        </w:tc>
      </w:tr>
      <w:tr>
        <w:trPr>
          <w:trHeight w:val="257"/>
        </w:trPr>
        <w:tc>
          <w:tcPr>
            <w:tcW w:w="4700" w:type="dxa"/>
            <w:vAlign w:val="bottom"/>
          </w:tcPr>
          <w:p>
            <w:pPr>
              <w:ind w:left="38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tcBorders>
          </w:tcPr>
          <w:p>
            <w:pPr>
              <w:jc w:val="right"/>
              <w:ind w:right="99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26,156</w:t>
            </w:r>
          </w:p>
        </w:tc>
        <w:tc>
          <w:tcPr>
            <w:tcW w:w="10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ind w:right="97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26,156</w:t>
            </w:r>
          </w:p>
        </w:tc>
      </w:tr>
      <w:tr>
        <w:trPr>
          <w:trHeight w:val="20"/>
        </w:trPr>
        <w:tc>
          <w:tcPr>
            <w:tcW w:w="4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8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Company's forecasted effective tax rate at March 31, 2015 is 35.8%, a 3.8% increase from the 32.0% effective tax rate recorded at December 31, 2014. The forecasted effective tax rate of 35.8% excludes jurisdictions for which no benefit from forecasted current year losses is anticipated. Including losses from such jurisdictions results in a forecasted effective tax rate of 36.1%. Our forecasted effective tax rate could fluctuate significantly on a quarterly basis and could change, to the extent that earnings in countries with tax rates that differ from that of the U.S. differ, from amounts anticipated at March 31, 2015.</w:t>
      </w:r>
    </w:p>
    <w:p>
      <w:pPr>
        <w:spacing w:after="0" w:line="15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After discrete tax expense of $2, the effective tax rate for the quarter ended March 31, 2015 is 36.5%. The discrete tax expense is primarily attributable to interest and penalties related to unrecognized tax benefits.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April 28, 2015, the company announced a quarterly cash dividend of $0.035 per share to be paid on May 15, 2015 to shareholders of record as of May 4, 2015.</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On July 16, 2015, the company announced a quarterly cash dividend of $0.035 per share to be paid on August 10, 2015 to shareholders of record as of July 27, 2015.</w:t>
      </w:r>
    </w:p>
    <w:p>
      <w:pPr>
        <w:spacing w:after="0" w:line="170"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On October 8, 2015, the company received notice from its registered public accounting firm, McGladrey LLP (McGladrey), that McGladrey resigned effective October 8, 2015. A full description the disclosures surrounding the resignation can be found in the related Form 8-K filed on October 14, 2015.</w:t>
      </w:r>
    </w:p>
    <w:p>
      <w:pPr>
        <w:spacing w:after="0" w:line="12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On October 13, 2015, the company engaged Tanner LLC (Tanner) to serve as its new independent registered public accounting firm for (a) the audit for the fiscal year ending December 31, 2015; (b) interim reviews for the periods ending September 30, 2015, March 31, 2016, June 30, 2016 and September 30, 2016; and (c) for the (i) re-audit and report of Independent Registered Public Accounting Firm relating to the Company's consolidated financial statements for the year ended December 31, 2014; and (ii) the re-review of the Company's financial statements for the interim periods ended March 31, 2015 and June 30, 2015. A full description the disclosures surrounding the appointment can be found in the related Form 8-K filed on October 14, 2015.</w:t>
      </w:r>
    </w:p>
    <w:p>
      <w:pPr>
        <w:spacing w:after="0" w:line="1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November 12, 2015, the company announced a quarterly cash dividend of $0.050 per share to be paid on December 21, 2015 to shareholders of record as of December 4, 2015.</w:t>
      </w:r>
    </w:p>
    <w:p>
      <w:pPr>
        <w:spacing w:after="0" w:line="17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On November 24, 2015, the company”) received a letter from NASDAQ Stock Market stating that the Company no longer complies with NASDAQ Listing Rule 5250(c)(1) as a result of its former auditor McGladrey LLP’s resignation and withdrawal of its audit report on the Company’s financial statements for the year ended December 31, 2014 solely as a result of its determination that it was not independent of the Company for such period and subsequent interim periods and the Company’s delay in filing its Form 10-Q for the period ended September 30, 2015. A full description the disclosures surrounding the receipt of the letter can be found in the related Form 8-K filed on December 1, 2015.</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1" w:right="2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CLEARONE, INC.</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338"/>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720" w:type="dxa"/>
            <w:vAlign w:val="bottom"/>
          </w:tcPr>
          <w:p>
            <w:pPr>
              <w:spacing w:after="0"/>
              <w:rPr>
                <w:sz w:val="24"/>
                <w:szCs w:val="24"/>
                <w:color w:val="auto"/>
              </w:rPr>
            </w:pPr>
          </w:p>
        </w:tc>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Title of Document</w:t>
            </w:r>
          </w:p>
        </w:tc>
      </w:tr>
      <w:tr>
        <w:trPr>
          <w:trHeight w:val="20"/>
        </w:trPr>
        <w:tc>
          <w:tcPr>
            <w:tcW w:w="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91"/>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4260" w:type="dxa"/>
            <w:vAlign w:val="bottom"/>
            <w:gridSpan w:val="2"/>
          </w:tcPr>
          <w:p>
            <w:pPr>
              <w:ind w:left="20"/>
              <w:spacing w:after="0"/>
              <w:rPr>
                <w:sz w:val="20"/>
                <w:szCs w:val="20"/>
                <w:color w:val="auto"/>
              </w:rPr>
            </w:pPr>
            <w:r>
              <w:rPr>
                <w:rFonts w:ascii="Arial" w:cs="Arial" w:eastAsia="Arial" w:hAnsi="Arial"/>
                <w:sz w:val="18"/>
                <w:szCs w:val="18"/>
                <w:color w:val="auto"/>
                <w:w w:val="99"/>
              </w:rPr>
              <w:t>Certification of Chief Executive Officer (filed herewith)</w:t>
            </w:r>
          </w:p>
        </w:tc>
      </w:tr>
      <w:tr>
        <w:trPr>
          <w:trHeight w:val="459"/>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4260" w:type="dxa"/>
            <w:vAlign w:val="bottom"/>
            <w:gridSpan w:val="2"/>
          </w:tcPr>
          <w:p>
            <w:pPr>
              <w:ind w:left="20"/>
              <w:spacing w:after="0"/>
              <w:rPr>
                <w:sz w:val="20"/>
                <w:szCs w:val="20"/>
                <w:color w:val="auto"/>
              </w:rPr>
            </w:pPr>
            <w:r>
              <w:rPr>
                <w:rFonts w:ascii="Arial" w:cs="Arial" w:eastAsia="Arial" w:hAnsi="Arial"/>
                <w:sz w:val="18"/>
                <w:szCs w:val="18"/>
                <w:color w:val="auto"/>
                <w:w w:val="94"/>
              </w:rPr>
              <w:t>Certification of Principal Financial Officer (filed herewith)</w:t>
            </w:r>
          </w:p>
        </w:tc>
      </w:tr>
      <w:tr>
        <w:trPr>
          <w:trHeight w:val="459"/>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4260" w:type="dxa"/>
            <w:vAlign w:val="bottom"/>
            <w:gridSpan w:val="2"/>
          </w:tcPr>
          <w:p>
            <w:pPr>
              <w:ind w:left="20"/>
              <w:spacing w:after="0"/>
              <w:rPr>
                <w:sz w:val="20"/>
                <w:szCs w:val="20"/>
                <w:color w:val="auto"/>
              </w:rPr>
            </w:pPr>
            <w:r>
              <w:rPr>
                <w:rFonts w:ascii="Arial" w:cs="Arial" w:eastAsia="Arial" w:hAnsi="Arial"/>
                <w:sz w:val="18"/>
                <w:szCs w:val="18"/>
                <w:color w:val="auto"/>
                <w:w w:val="99"/>
              </w:rPr>
              <w:t>Certification of Chief Executive Officer (filed herewith)</w:t>
            </w:r>
          </w:p>
        </w:tc>
      </w:tr>
      <w:tr>
        <w:trPr>
          <w:trHeight w:val="459"/>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32.2</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4260" w:type="dxa"/>
            <w:vAlign w:val="bottom"/>
            <w:gridSpan w:val="2"/>
          </w:tcPr>
          <w:p>
            <w:pPr>
              <w:ind w:left="20"/>
              <w:spacing w:after="0"/>
              <w:rPr>
                <w:sz w:val="20"/>
                <w:szCs w:val="20"/>
                <w:color w:val="auto"/>
              </w:rPr>
            </w:pPr>
            <w:r>
              <w:rPr>
                <w:rFonts w:ascii="Arial" w:cs="Arial" w:eastAsia="Arial" w:hAnsi="Arial"/>
                <w:sz w:val="18"/>
                <w:szCs w:val="18"/>
                <w:color w:val="auto"/>
                <w:w w:val="94"/>
              </w:rPr>
              <w:t>Certification of Principal Financial Officer (filed herewith)</w:t>
            </w:r>
          </w:p>
        </w:tc>
      </w:tr>
      <w:tr>
        <w:trPr>
          <w:trHeight w:val="459"/>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140" w:type="dxa"/>
            <w:vAlign w:val="bottom"/>
            <w:gridSpan w:val="3"/>
          </w:tcPr>
          <w:p>
            <w:pPr>
              <w:spacing w:after="0"/>
              <w:rPr>
                <w:sz w:val="20"/>
                <w:szCs w:val="20"/>
                <w:color w:val="auto"/>
              </w:rPr>
            </w:pPr>
            <w:r>
              <w:rPr>
                <w:rFonts w:ascii="Arial" w:cs="Arial" w:eastAsia="Arial" w:hAnsi="Arial"/>
                <w:sz w:val="18"/>
                <w:szCs w:val="18"/>
                <w:color w:val="auto"/>
              </w:rPr>
              <w:t>XBRL Instance Document (filed herewith)</w:t>
            </w:r>
          </w:p>
        </w:tc>
      </w:tr>
      <w:tr>
        <w:trPr>
          <w:trHeight w:val="459"/>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140" w:type="dxa"/>
            <w:vAlign w:val="bottom"/>
            <w:gridSpan w:val="3"/>
          </w:tcPr>
          <w:p>
            <w:pPr>
              <w:spacing w:after="0"/>
              <w:rPr>
                <w:sz w:val="20"/>
                <w:szCs w:val="20"/>
                <w:color w:val="auto"/>
              </w:rPr>
            </w:pPr>
            <w:r>
              <w:rPr>
                <w:rFonts w:ascii="Arial" w:cs="Arial" w:eastAsia="Arial" w:hAnsi="Arial"/>
                <w:sz w:val="18"/>
                <w:szCs w:val="18"/>
                <w:color w:val="auto"/>
              </w:rPr>
              <w:t>XBRL Taxonomy Extension Schema (filed herewith)</w:t>
            </w:r>
          </w:p>
        </w:tc>
      </w:tr>
      <w:tr>
        <w:trPr>
          <w:trHeight w:val="459"/>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140" w:type="dxa"/>
            <w:vAlign w:val="bottom"/>
            <w:gridSpan w:val="3"/>
          </w:tcPr>
          <w:p>
            <w:pPr>
              <w:spacing w:after="0"/>
              <w:rPr>
                <w:sz w:val="20"/>
                <w:szCs w:val="20"/>
                <w:color w:val="auto"/>
              </w:rPr>
            </w:pPr>
            <w:r>
              <w:rPr>
                <w:rFonts w:ascii="Arial" w:cs="Arial" w:eastAsia="Arial" w:hAnsi="Arial"/>
                <w:sz w:val="18"/>
                <w:szCs w:val="18"/>
                <w:color w:val="auto"/>
                <w:w w:val="99"/>
              </w:rPr>
              <w:t>XBRL Taxonomy Extension Calculation Linkbase (filed herewith)</w:t>
            </w:r>
          </w:p>
        </w:tc>
      </w:tr>
      <w:tr>
        <w:trPr>
          <w:trHeight w:val="459"/>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140" w:type="dxa"/>
            <w:vAlign w:val="bottom"/>
            <w:gridSpan w:val="3"/>
          </w:tcPr>
          <w:p>
            <w:pPr>
              <w:spacing w:after="0"/>
              <w:rPr>
                <w:sz w:val="20"/>
                <w:szCs w:val="20"/>
                <w:color w:val="auto"/>
              </w:rPr>
            </w:pPr>
            <w:r>
              <w:rPr>
                <w:rFonts w:ascii="Arial" w:cs="Arial" w:eastAsia="Arial" w:hAnsi="Arial"/>
                <w:sz w:val="18"/>
                <w:szCs w:val="18"/>
                <w:color w:val="auto"/>
              </w:rPr>
              <w:t>XBRL Taxonomy Extension Definitions Linkbase (filed herewith)</w:t>
            </w:r>
          </w:p>
        </w:tc>
      </w:tr>
      <w:tr>
        <w:trPr>
          <w:trHeight w:val="459"/>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14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(filed herewith)</w:t>
            </w:r>
          </w:p>
        </w:tc>
      </w:tr>
      <w:tr>
        <w:trPr>
          <w:trHeight w:val="459"/>
        </w:trPr>
        <w:tc>
          <w:tcPr>
            <w:tcW w:w="4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140" w:type="dxa"/>
            <w:vAlign w:val="bottom"/>
            <w:gridSpan w:val="3"/>
          </w:tcPr>
          <w:p>
            <w:pPr>
              <w:spacing w:after="0"/>
              <w:rPr>
                <w:sz w:val="20"/>
                <w:szCs w:val="20"/>
                <w:color w:val="auto"/>
              </w:rPr>
            </w:pPr>
            <w:r>
              <w:rPr>
                <w:rFonts w:ascii="Arial" w:cs="Arial" w:eastAsia="Arial" w:hAnsi="Arial"/>
                <w:sz w:val="18"/>
                <w:szCs w:val="18"/>
                <w:color w:val="auto"/>
                <w:w w:val="97"/>
              </w:rPr>
              <w:t>XBRL Taxonomy Extension Presentation Linkbase (filed herewith)</w:t>
            </w:r>
          </w:p>
        </w:tc>
      </w:tr>
      <w:tr>
        <w:trPr>
          <w:trHeight w:val="891"/>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60" w:type="dxa"/>
            <w:vAlign w:val="bottom"/>
            <w:gridSpan w:val="2"/>
          </w:tcPr>
          <w:p>
            <w:pPr>
              <w:ind w:left="310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0219"/>
          </w:cols>
          <w:pgMar w:left="240" w:top="122" w:right="1440"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CLEARONE, INC.</w:t>
      </w:r>
    </w:p>
    <w:p>
      <w:pPr>
        <w:spacing w:after="0" w:line="23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33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(Registrant)</w:t>
      </w:r>
    </w:p>
    <w:p>
      <w:pPr>
        <w:spacing w:after="0" w:line="170"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January 13,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170"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January 13,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Senior Vice President of Finance</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600"/>
          </w:cols>
          <w:pgMar w:left="240" w:top="122" w:right="105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15.1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January 13, 2016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5225 Wiley Post Way, Suite 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 84116</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 Registration Statements (Nos. 333-205356, 333-148789 and 333-137859) on Form S-8 and Registration Statement (No. 333-195591) on Form S-3.</w:t>
      </w:r>
    </w:p>
    <w:p>
      <w:pPr>
        <w:spacing w:after="0" w:line="25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January 13, 2016 related to our reviews of interim financial information. 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Tanner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13, 2016</w:t>
      </w:r>
    </w:p>
    <w:p>
      <w:pPr>
        <w:sectPr>
          <w:pgSz w:w="11900" w:h="16838" w:orient="portrait"/>
          <w:cols w:equalWidth="0" w:num="1">
            <w:col w:w="11420"/>
          </w:cols>
          <w:pgMar w:left="240" w:top="580"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11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10-Q/A;</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820" w:right="380" w:hanging="488"/>
        <w:spacing w:after="0" w:line="264" w:lineRule="auto"/>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20" w:right="80" w:hanging="488"/>
        <w:spacing w:after="0" w:line="264" w:lineRule="auto"/>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820" w:right="880" w:hanging="488"/>
        <w:spacing w:after="0" w:line="342" w:lineRule="auto"/>
        <w:tabs>
          <w:tab w:leader="none" w:pos="8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820" w:right="100" w:hanging="488"/>
        <w:spacing w:after="0" w:line="264" w:lineRule="auto"/>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right="300" w:hanging="488"/>
        <w:spacing w:after="0" w:line="277" w:lineRule="auto"/>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right="240" w:hanging="488"/>
        <w:spacing w:after="0" w:line="277" w:lineRule="auto"/>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4400" w:val="left"/>
          <w:tab w:leader="none" w:pos="5060" w:val="left"/>
        </w:tabs>
        <w:rPr>
          <w:sz w:val="20"/>
          <w:szCs w:val="20"/>
          <w:color w:val="auto"/>
        </w:rPr>
      </w:pPr>
      <w:r>
        <w:rPr>
          <w:rFonts w:ascii="Arial" w:cs="Arial" w:eastAsia="Arial" w:hAnsi="Arial"/>
          <w:sz w:val="18"/>
          <w:szCs w:val="18"/>
          <w:color w:val="auto"/>
        </w:rPr>
        <w:t>January 13,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186690</wp:posOffset>
            </wp:positionV>
            <wp:extent cx="27101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0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364"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90"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10-Q/A;</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820" w:right="380" w:hanging="488"/>
        <w:spacing w:after="0" w:line="264" w:lineRule="auto"/>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20" w:right="80" w:hanging="488"/>
        <w:spacing w:after="0" w:line="264" w:lineRule="auto"/>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820" w:right="880" w:hanging="488"/>
        <w:spacing w:after="0" w:line="342" w:lineRule="auto"/>
        <w:tabs>
          <w:tab w:leader="none" w:pos="8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820" w:right="100" w:hanging="488"/>
        <w:spacing w:after="0" w:line="264" w:lineRule="auto"/>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right="300" w:hanging="488"/>
        <w:spacing w:after="0" w:line="277" w:lineRule="auto"/>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right="240" w:hanging="488"/>
        <w:spacing w:after="0" w:line="277" w:lineRule="auto"/>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4380" w:val="left"/>
          <w:tab w:leader="none" w:pos="5000" w:val="left"/>
        </w:tabs>
        <w:rPr>
          <w:sz w:val="20"/>
          <w:szCs w:val="20"/>
          <w:color w:val="auto"/>
        </w:rPr>
      </w:pPr>
      <w:r>
        <w:rPr>
          <w:rFonts w:ascii="Arial" w:cs="Arial" w:eastAsia="Arial" w:hAnsi="Arial"/>
          <w:sz w:val="18"/>
          <w:szCs w:val="18"/>
          <w:color w:val="auto"/>
        </w:rPr>
        <w:t>January 13,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186690</wp:posOffset>
            </wp:positionV>
            <wp:extent cx="3413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00"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Senior Vice President of Finance</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364"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 Zeynep Hakimoglu, certify, to my best knowledge and belief, pursuant to 18 U.S.C. Section 1350, as adopted pursuant to Section 906 of the Sarbanes-Oxley Act of 2002, that the Quarterly Report of ClearOne, Inc. on Form 10-Q/A for the quarter ended March 31, 2015 fully complies with the requirements of Section 13(a) or 15(d) of the Securities Exchange Act of 1934 and that information contained in such Quarterly Report on Form 10-Q/A fairly presents, in all material respects, the financial condition and results of operations of ClearOne,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4400" w:val="left"/>
          <w:tab w:leader="none" w:pos="5060" w:val="left"/>
        </w:tabs>
        <w:rPr>
          <w:sz w:val="20"/>
          <w:szCs w:val="20"/>
          <w:color w:val="auto"/>
        </w:rPr>
      </w:pPr>
      <w:r>
        <w:rPr>
          <w:rFonts w:ascii="Arial" w:cs="Arial" w:eastAsia="Arial" w:hAnsi="Arial"/>
          <w:sz w:val="18"/>
          <w:szCs w:val="18"/>
          <w:color w:val="auto"/>
        </w:rPr>
        <w:t>January 13,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186690</wp:posOffset>
            </wp:positionV>
            <wp:extent cx="27101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0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364"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 Narsi Narayanan, certify, to my best knowledge and belief, pursuant to 18 U.S.C. Section 1350, as adopted pursuant to Section 906 of the Sarbanes-Oxley Act of 2002, that the Quarterly Report of ClearOne, Inc. on Form 10-Q/A for the quarter ended March 31, 2015, fully complies with the requirements of Section 13(a) or 15(d) of the Securities Exchange Act of 1934 and that information contained in such Quarterly Report on Form 10-Q/A fairly presents, in all material respects, the financial condition and results of operations of ClearOne,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4420" w:val="left"/>
          <w:tab w:leader="none" w:pos="5020" w:val="left"/>
        </w:tabs>
        <w:rPr>
          <w:sz w:val="20"/>
          <w:szCs w:val="20"/>
          <w:color w:val="auto"/>
        </w:rPr>
      </w:pPr>
      <w:r>
        <w:rPr>
          <w:rFonts w:ascii="Arial" w:cs="Arial" w:eastAsia="Arial" w:hAnsi="Arial"/>
          <w:sz w:val="18"/>
          <w:szCs w:val="18"/>
          <w:color w:val="auto"/>
        </w:rPr>
        <w:t>January 13,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186690</wp:posOffset>
            </wp:positionV>
            <wp:extent cx="31642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30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Senior Vice President of Finance</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lowerRoman"/>
      <w:start w:val="10"/>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decimal"/>
      <w:start w:val="3"/>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3"/>
    </w:lvl>
  </w:abstractNum>
  <w:abstractNum w:abstractNumId="7">
    <w:nsid w:val="1190CDE7"/>
    <w:multiLevelType w:val="hybridMultilevel"/>
    <w:lvl w:ilvl="0">
      <w:lvlJc w:val="left"/>
      <w:lvlText w:val="%1."/>
      <w:numFmt w:val="decimal"/>
      <w:start w:val="4"/>
    </w:lvl>
  </w:abstractNum>
  <w:abstractNum w:abstractNumId="8">
    <w:nsid w:val="66EF438D"/>
    <w:multiLevelType w:val="hybridMultilevel"/>
    <w:lvl w:ilvl="0">
      <w:lvlJc w:val="left"/>
      <w:lvlText w:val="%1."/>
      <w:numFmt w:val="decimal"/>
      <w:start w:val="5"/>
    </w:lvl>
  </w:abstractNum>
  <w:abstractNum w:abstractNumId="9">
    <w:nsid w:val="140E0F76"/>
    <w:multiLevelType w:val="hybridMultilevel"/>
    <w:lvl w:ilvl="0">
      <w:lvlJc w:val="left"/>
      <w:lvlText w:val="%1."/>
      <w:numFmt w:val="decimal"/>
      <w:start w:val="6"/>
    </w:lvl>
  </w:abstractNum>
  <w:abstractNum w:abstractNumId="10">
    <w:nsid w:val="3352255A"/>
    <w:multiLevelType w:val="hybridMultilevel"/>
    <w:lvl w:ilvl="0">
      <w:lvlJc w:val="left"/>
      <w:lvlText w:val="%1."/>
      <w:numFmt w:val="decimal"/>
      <w:start w:val="7"/>
    </w:lvl>
  </w:abstractNum>
  <w:abstractNum w:abstractNumId="11">
    <w:nsid w:val="109CF92E"/>
    <w:multiLevelType w:val="hybridMultilevel"/>
    <w:lvl w:ilvl="0">
      <w:lvlJc w:val="left"/>
      <w:lvlText w:val="%1."/>
      <w:numFmt w:val="decimal"/>
      <w:start w:val="8"/>
    </w:lvl>
  </w:abstractNum>
  <w:abstractNum w:abstractNumId="12">
    <w:nsid w:val="DED7263"/>
    <w:multiLevelType w:val="hybridMultilevel"/>
    <w:lvl w:ilvl="0">
      <w:lvlJc w:val="left"/>
      <w:lvlText w:val="%1."/>
      <w:numFmt w:val="decimal"/>
      <w:start w:val="9"/>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2019-12-29T13:15:46Z</dcterms:created>
  <dcterms:modified xsi:type="dcterms:W3CDTF">2019-12-29T13:15:46Z</dcterms:modified>
</cp:coreProperties>
</file>