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TO SECTION 13 OR 15(D) OF</w:t>
      </w:r>
    </w:p>
    <w:p>
      <w:pPr>
        <w:jc w:val="center"/>
        <w:spacing w:after="0"/>
        <w:rPr>
          <w:sz w:val="20"/>
          <w:szCs w:val="20"/>
          <w:color w:val="auto"/>
        </w:rPr>
      </w:pPr>
      <w:r>
        <w:rPr>
          <w:rFonts w:ascii="Arial" w:cs="Arial" w:eastAsia="Arial" w:hAnsi="Arial"/>
          <w:sz w:val="20"/>
          <w:szCs w:val="20"/>
          <w:b w:val="1"/>
          <w:bCs w:val="1"/>
          <w:color w:val="auto"/>
        </w:rPr>
        <w:t>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 xml:space="preserve">Date of report (Date of earliest event reported): </w:t>
      </w:r>
      <w:r>
        <w:rPr>
          <w:rFonts w:ascii="Arial" w:cs="Arial" w:eastAsia="Arial" w:hAnsi="Arial"/>
          <w:sz w:val="20"/>
          <w:szCs w:val="20"/>
          <w:b w:val="1"/>
          <w:bCs w:val="1"/>
          <w:u w:val="single" w:color="auto"/>
          <w:color w:val="auto"/>
        </w:rPr>
        <w:t>December 9, 2009</w:t>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ClearOne Communications,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Utah</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(State or Other Jurisdiction of Incorporation)</w:t>
      </w:r>
    </w:p>
    <w:p>
      <w:pPr>
        <w:spacing w:after="0" w:line="221" w:lineRule="exact"/>
        <w:rPr>
          <w:sz w:val="24"/>
          <w:szCs w:val="24"/>
          <w:color w:val="auto"/>
        </w:rPr>
      </w:pPr>
    </w:p>
    <w:tbl>
      <w:tblPr>
        <w:tblLayout w:type="fixed"/>
        <w:tblInd w:w="2880" w:type="dxa"/>
        <w:tblCellMar>
          <w:top w:w="0" w:type="dxa"/>
          <w:left w:w="0" w:type="dxa"/>
          <w:bottom w:w="0" w:type="dxa"/>
          <w:right w:w="0" w:type="dxa"/>
        </w:tblCellMar>
      </w:tblPr>
      <w:tr>
        <w:trPr>
          <w:trHeight w:val="259"/>
        </w:trPr>
        <w:tc>
          <w:tcPr>
            <w:tcW w:w="2840" w:type="dxa"/>
            <w:vAlign w:val="bottom"/>
            <w:tcBorders>
              <w:bottom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001-33660</w:t>
            </w:r>
          </w:p>
        </w:tc>
        <w:tc>
          <w:tcPr>
            <w:tcW w:w="14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jc w:val="center"/>
              <w:ind w:right="601"/>
              <w:spacing w:after="0"/>
              <w:rPr>
                <w:sz w:val="20"/>
                <w:szCs w:val="20"/>
                <w:color w:val="auto"/>
              </w:rPr>
            </w:pPr>
            <w:r>
              <w:rPr>
                <w:rFonts w:ascii="Arial" w:cs="Arial" w:eastAsia="Arial" w:hAnsi="Arial"/>
                <w:sz w:val="20"/>
                <w:szCs w:val="20"/>
                <w:b w:val="1"/>
                <w:bCs w:val="1"/>
                <w:color w:val="auto"/>
                <w:w w:val="89"/>
              </w:rPr>
              <w:t>87-0398877</w:t>
            </w:r>
          </w:p>
        </w:tc>
        <w:tc>
          <w:tcPr>
            <w:tcW w:w="0" w:type="dxa"/>
            <w:vAlign w:val="bottom"/>
          </w:tcPr>
          <w:p>
            <w:pPr>
              <w:spacing w:after="0"/>
              <w:rPr>
                <w:sz w:val="1"/>
                <w:szCs w:val="1"/>
                <w:color w:val="auto"/>
              </w:rPr>
            </w:pPr>
          </w:p>
        </w:tc>
      </w:tr>
      <w:tr>
        <w:trPr>
          <w:trHeight w:val="213"/>
        </w:trPr>
        <w:tc>
          <w:tcPr>
            <w:tcW w:w="2840" w:type="dxa"/>
            <w:vAlign w:val="bottom"/>
          </w:tcPr>
          <w:p>
            <w:pPr>
              <w:jc w:val="center"/>
              <w:spacing w:after="0" w:line="213" w:lineRule="exact"/>
              <w:rPr>
                <w:sz w:val="20"/>
                <w:szCs w:val="20"/>
                <w:color w:val="auto"/>
              </w:rPr>
            </w:pPr>
            <w:r>
              <w:rPr>
                <w:rFonts w:ascii="Arial" w:cs="Arial" w:eastAsia="Arial" w:hAnsi="Arial"/>
                <w:sz w:val="20"/>
                <w:szCs w:val="20"/>
                <w:color w:val="auto"/>
                <w:w w:val="91"/>
              </w:rPr>
              <w:t>(Commission File Number)</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60" w:type="dxa"/>
            <w:vAlign w:val="bottom"/>
            <w:gridSpan w:val="3"/>
          </w:tcPr>
          <w:p>
            <w:pPr>
              <w:jc w:val="center"/>
              <w:ind w:right="601"/>
              <w:spacing w:after="0" w:line="213" w:lineRule="exact"/>
              <w:rPr>
                <w:sz w:val="20"/>
                <w:szCs w:val="20"/>
                <w:color w:val="auto"/>
              </w:rPr>
            </w:pPr>
            <w:r>
              <w:rPr>
                <w:rFonts w:ascii="Arial" w:cs="Arial" w:eastAsia="Arial" w:hAnsi="Arial"/>
                <w:sz w:val="20"/>
                <w:szCs w:val="20"/>
                <w:color w:val="auto"/>
                <w:w w:val="91"/>
              </w:rPr>
              <w:t>(I.R.S. employer</w:t>
            </w:r>
          </w:p>
        </w:tc>
        <w:tc>
          <w:tcPr>
            <w:tcW w:w="0" w:type="dxa"/>
            <w:vAlign w:val="bottom"/>
          </w:tcPr>
          <w:p>
            <w:pPr>
              <w:spacing w:after="0"/>
              <w:rPr>
                <w:sz w:val="1"/>
                <w:szCs w:val="1"/>
                <w:color w:val="auto"/>
              </w:rPr>
            </w:pPr>
          </w:p>
        </w:tc>
      </w:tr>
      <w:tr>
        <w:trPr>
          <w:trHeight w:val="250"/>
        </w:trPr>
        <w:tc>
          <w:tcPr>
            <w:tcW w:w="2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20" w:type="dxa"/>
            <w:vAlign w:val="bottom"/>
            <w:gridSpan w:val="4"/>
          </w:tcPr>
          <w:p>
            <w:pPr>
              <w:jc w:val="center"/>
              <w:spacing w:after="0"/>
              <w:rPr>
                <w:sz w:val="20"/>
                <w:szCs w:val="20"/>
                <w:color w:val="auto"/>
              </w:rPr>
            </w:pPr>
            <w:r>
              <w:rPr>
                <w:rFonts w:ascii="Arial" w:cs="Arial" w:eastAsia="Arial" w:hAnsi="Arial"/>
                <w:sz w:val="20"/>
                <w:szCs w:val="20"/>
                <w:color w:val="auto"/>
                <w:w w:val="93"/>
              </w:rPr>
              <w:t>identification number)</w:t>
            </w:r>
          </w:p>
        </w:tc>
        <w:tc>
          <w:tcPr>
            <w:tcW w:w="0" w:type="dxa"/>
            <w:vAlign w:val="bottom"/>
          </w:tcPr>
          <w:p>
            <w:pPr>
              <w:spacing w:after="0"/>
              <w:rPr>
                <w:sz w:val="1"/>
                <w:szCs w:val="1"/>
                <w:color w:val="auto"/>
              </w:rPr>
            </w:pPr>
          </w:p>
        </w:tc>
      </w:tr>
      <w:tr>
        <w:trPr>
          <w:trHeight w:val="446"/>
        </w:trPr>
        <w:tc>
          <w:tcPr>
            <w:tcW w:w="3640" w:type="dxa"/>
            <w:vAlign w:val="bottom"/>
            <w:gridSpan w:val="3"/>
          </w:tcPr>
          <w:p>
            <w:pPr>
              <w:jc w:val="center"/>
              <w:ind w:left="341"/>
              <w:spacing w:after="0"/>
              <w:rPr>
                <w:sz w:val="20"/>
                <w:szCs w:val="20"/>
                <w:color w:val="auto"/>
              </w:rPr>
            </w:pPr>
            <w:r>
              <w:rPr>
                <w:rFonts w:ascii="Arial" w:cs="Arial" w:eastAsia="Arial" w:hAnsi="Arial"/>
                <w:sz w:val="20"/>
                <w:szCs w:val="20"/>
                <w:b w:val="1"/>
                <w:bCs w:val="1"/>
                <w:color w:val="auto"/>
                <w:w w:val="88"/>
              </w:rPr>
              <w:t>5225 Wiley Post Way, Suite 500</w:t>
            </w:r>
          </w:p>
        </w:tc>
        <w:tc>
          <w:tcPr>
            <w:tcW w:w="2060" w:type="dxa"/>
            <w:vAlign w:val="bottom"/>
            <w:gridSpan w:val="3"/>
            <w:vMerge w:val="restart"/>
          </w:tcPr>
          <w:p>
            <w:pPr>
              <w:jc w:val="right"/>
              <w:ind w:right="421"/>
              <w:spacing w:after="0"/>
              <w:rPr>
                <w:sz w:val="20"/>
                <w:szCs w:val="20"/>
                <w:color w:val="auto"/>
              </w:rPr>
            </w:pPr>
            <w:r>
              <w:rPr>
                <w:rFonts w:ascii="Arial" w:cs="Arial" w:eastAsia="Arial" w:hAnsi="Arial"/>
                <w:sz w:val="20"/>
                <w:szCs w:val="20"/>
                <w:b w:val="1"/>
                <w:bCs w:val="1"/>
                <w:color w:val="auto"/>
              </w:rPr>
              <w:t>84116</w:t>
            </w:r>
          </w:p>
        </w:tc>
        <w:tc>
          <w:tcPr>
            <w:tcW w:w="0" w:type="dxa"/>
            <w:vAlign w:val="bottom"/>
          </w:tcPr>
          <w:p>
            <w:pPr>
              <w:spacing w:after="0"/>
              <w:rPr>
                <w:sz w:val="1"/>
                <w:szCs w:val="1"/>
                <w:color w:val="auto"/>
              </w:rPr>
            </w:pPr>
          </w:p>
        </w:tc>
      </w:tr>
      <w:tr>
        <w:trPr>
          <w:trHeight w:val="259"/>
        </w:trPr>
        <w:tc>
          <w:tcPr>
            <w:tcW w:w="3640" w:type="dxa"/>
            <w:vAlign w:val="bottom"/>
            <w:gridSpan w:val="3"/>
          </w:tcPr>
          <w:p>
            <w:pPr>
              <w:jc w:val="center"/>
              <w:ind w:left="341"/>
              <w:spacing w:after="0"/>
              <w:rPr>
                <w:sz w:val="20"/>
                <w:szCs w:val="20"/>
                <w:color w:val="auto"/>
              </w:rPr>
            </w:pPr>
            <w:r>
              <w:rPr>
                <w:rFonts w:ascii="Arial" w:cs="Arial" w:eastAsia="Arial" w:hAnsi="Arial"/>
                <w:sz w:val="20"/>
                <w:szCs w:val="20"/>
                <w:b w:val="1"/>
                <w:bCs w:val="1"/>
                <w:color w:val="auto"/>
                <w:w w:val="92"/>
              </w:rPr>
              <w:t>Salt Lake City, Utah</w:t>
            </w:r>
          </w:p>
        </w:tc>
        <w:tc>
          <w:tcPr>
            <w:tcW w:w="206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40" w:type="dxa"/>
            <w:vAlign w:val="bottom"/>
            <w:tcBorders>
              <w:top w:val="single" w:sz="8" w:color="auto"/>
            </w:tcBorders>
            <w:gridSpan w:val="3"/>
          </w:tcPr>
          <w:p>
            <w:pPr>
              <w:jc w:val="center"/>
              <w:ind w:left="361"/>
              <w:spacing w:after="0"/>
              <w:rPr>
                <w:sz w:val="20"/>
                <w:szCs w:val="20"/>
                <w:color w:val="auto"/>
              </w:rPr>
            </w:pPr>
            <w:r>
              <w:rPr>
                <w:rFonts w:ascii="Arial" w:cs="Arial" w:eastAsia="Arial" w:hAnsi="Arial"/>
                <w:sz w:val="20"/>
                <w:szCs w:val="20"/>
                <w:color w:val="auto"/>
                <w:w w:val="91"/>
              </w:rPr>
              <w:t>(Address of principal executive offices)</w:t>
            </w:r>
          </w:p>
        </w:tc>
        <w:tc>
          <w:tcPr>
            <w:tcW w:w="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0"/>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(801) 975-7200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ind w:right="100"/>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1280" w:type="dxa"/>
            <w:vAlign w:val="bottom"/>
            <w:gridSpan w:val="2"/>
          </w:tcPr>
          <w:p>
            <w:pPr>
              <w:ind w:left="80"/>
              <w:spacing w:after="0"/>
              <w:rPr>
                <w:sz w:val="20"/>
                <w:szCs w:val="20"/>
                <w:color w:val="auto"/>
              </w:rPr>
            </w:pPr>
            <w:r>
              <w:rPr>
                <w:rFonts w:ascii="Arial" w:cs="Arial" w:eastAsia="Arial" w:hAnsi="Arial"/>
                <w:sz w:val="20"/>
                <w:szCs w:val="20"/>
                <w:color w:val="auto"/>
              </w:rPr>
              <w:t>] Written communications pursuant to Rule 425 under the Securities Act (17 CFR 230.425)</w:t>
            </w:r>
          </w:p>
        </w:tc>
      </w:tr>
      <w:tr>
        <w:trPr>
          <w:trHeight w:val="230"/>
        </w:trPr>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ind w:left="80"/>
              <w:spacing w:after="0"/>
              <w:rPr>
                <w:sz w:val="20"/>
                <w:szCs w:val="20"/>
                <w:color w:val="auto"/>
              </w:rPr>
            </w:pPr>
            <w:r>
              <w:rPr>
                <w:rFonts w:ascii="Arial" w:cs="Arial" w:eastAsia="Arial" w:hAnsi="Arial"/>
                <w:sz w:val="20"/>
                <w:szCs w:val="20"/>
                <w:color w:val="auto"/>
              </w:rPr>
              <w:t>]</w:t>
            </w:r>
          </w:p>
        </w:tc>
        <w:tc>
          <w:tcPr>
            <w:tcW w:w="11080" w:type="dxa"/>
            <w:vAlign w:val="bottom"/>
          </w:tcPr>
          <w:p>
            <w:pPr>
              <w:ind w:left="40"/>
              <w:spacing w:after="0"/>
              <w:rPr>
                <w:sz w:val="20"/>
                <w:szCs w:val="20"/>
                <w:color w:val="auto"/>
              </w:rPr>
            </w:pPr>
            <w:r>
              <w:rPr>
                <w:rFonts w:ascii="Arial" w:cs="Arial" w:eastAsia="Arial" w:hAnsi="Arial"/>
                <w:sz w:val="20"/>
                <w:szCs w:val="20"/>
                <w:color w:val="auto"/>
              </w:rPr>
              <w:t>Soliciting material pursuant to Rule 14a-12 under the Exchange Act (17 CFR 240.14a-12)</w:t>
            </w:r>
          </w:p>
        </w:tc>
      </w:tr>
      <w:tr>
        <w:trPr>
          <w:trHeight w:val="230"/>
        </w:trPr>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1280" w:type="dxa"/>
            <w:vAlign w:val="bottom"/>
            <w:gridSpan w:val="2"/>
          </w:tcPr>
          <w:p>
            <w:pPr>
              <w:ind w:left="80"/>
              <w:spacing w:after="0"/>
              <w:rPr>
                <w:sz w:val="20"/>
                <w:szCs w:val="20"/>
                <w:color w:val="auto"/>
              </w:rPr>
            </w:pPr>
            <w:r>
              <w:rPr>
                <w:rFonts w:ascii="Arial" w:cs="Arial" w:eastAsia="Arial" w:hAnsi="Arial"/>
                <w:sz w:val="20"/>
                <w:szCs w:val="20"/>
                <w:color w:val="auto"/>
              </w:rPr>
              <w:t>] Pre-commencement communications pursuant to Rule 14d-2(b) under the Exchange Act (17 CFR 240.14d-2(b))</w:t>
            </w:r>
          </w:p>
        </w:tc>
      </w:tr>
      <w:tr>
        <w:trPr>
          <w:trHeight w:val="250"/>
        </w:trPr>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ind w:left="80"/>
              <w:spacing w:after="0"/>
              <w:rPr>
                <w:sz w:val="20"/>
                <w:szCs w:val="20"/>
                <w:color w:val="auto"/>
              </w:rPr>
            </w:pPr>
            <w:r>
              <w:rPr>
                <w:rFonts w:ascii="Arial" w:cs="Arial" w:eastAsia="Arial" w:hAnsi="Arial"/>
                <w:sz w:val="20"/>
                <w:szCs w:val="20"/>
                <w:color w:val="auto"/>
              </w:rPr>
              <w:t>]</w:t>
            </w:r>
          </w:p>
        </w:tc>
        <w:tc>
          <w:tcPr>
            <w:tcW w:w="11080" w:type="dxa"/>
            <w:vAlign w:val="bottom"/>
          </w:tcPr>
          <w:p>
            <w:pPr>
              <w:ind w:left="40"/>
              <w:spacing w:after="0"/>
              <w:rPr>
                <w:sz w:val="20"/>
                <w:szCs w:val="20"/>
                <w:color w:val="auto"/>
              </w:rPr>
            </w:pPr>
            <w:r>
              <w:rPr>
                <w:rFonts w:ascii="Arial" w:cs="Arial" w:eastAsia="Arial" w:hAnsi="Arial"/>
                <w:sz w:val="20"/>
                <w:szCs w:val="20"/>
                <w:color w:val="auto"/>
              </w:rPr>
              <w:t>Pre-commencement communication pursuant to Rule 13e-4(c) under the Exchange Act (17 CFR 240.13e-4(c))</w:t>
            </w:r>
          </w:p>
        </w:tc>
      </w:tr>
      <w:tr>
        <w:trPr>
          <w:trHeight w:val="357"/>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80" w:type="dxa"/>
            <w:vAlign w:val="bottom"/>
          </w:tcPr>
          <w:p>
            <w:pPr>
              <w:spacing w:after="0"/>
              <w:rPr>
                <w:sz w:val="24"/>
                <w:szCs w:val="24"/>
                <w:color w:val="auto"/>
              </w:rPr>
            </w:pPr>
          </w:p>
        </w:tc>
      </w:tr>
      <w:tr>
        <w:trPr>
          <w:trHeight w:val="71"/>
        </w:trPr>
        <w:tc>
          <w:tcPr>
            <w:tcW w:w="14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11080" w:type="dxa"/>
            <w:vAlign w:val="bottom"/>
            <w:shd w:val="clear" w:color="auto" w:fill="808080"/>
          </w:tcPr>
          <w:p>
            <w:pPr>
              <w:spacing w:after="0"/>
              <w:rPr>
                <w:sz w:val="6"/>
                <w:szCs w:val="6"/>
                <w:color w:val="auto"/>
              </w:rPr>
            </w:pPr>
          </w:p>
        </w:tc>
      </w:tr>
      <w:tr>
        <w:trPr>
          <w:trHeight w:val="753"/>
        </w:trPr>
        <w:tc>
          <w:tcPr>
            <w:tcW w:w="1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0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 w:name="page2"/>
    <w:bookmarkEnd w:id="1"/>
    <w:p>
      <w:pPr>
        <w:ind w:left="1300" w:hanging="1296"/>
        <w:spacing w:after="0" w:line="267" w:lineRule="auto"/>
        <w:tabs>
          <w:tab w:leader="none" w:pos="1280" w:val="left"/>
        </w:tabs>
        <w:rPr>
          <w:sz w:val="20"/>
          <w:szCs w:val="20"/>
          <w:color w:val="auto"/>
        </w:rPr>
      </w:pPr>
      <w:r>
        <w:rPr>
          <w:rFonts w:ascii="Arial" w:cs="Arial" w:eastAsia="Arial" w:hAnsi="Arial"/>
          <w:sz w:val="20"/>
          <w:szCs w:val="20"/>
          <w:b w:val="1"/>
          <w:bCs w:val="1"/>
          <w:color w:val="auto"/>
        </w:rPr>
        <w:t>Item 5.02</w:t>
      </w:r>
      <w:r>
        <w:rPr>
          <w:sz w:val="20"/>
          <w:szCs w:val="20"/>
          <w:color w:val="auto"/>
        </w:rPr>
        <w:tab/>
      </w:r>
      <w:r>
        <w:rPr>
          <w:rFonts w:ascii="Arial" w:cs="Arial" w:eastAsia="Arial" w:hAnsi="Arial"/>
          <w:sz w:val="20"/>
          <w:szCs w:val="20"/>
          <w:b w:val="1"/>
          <w:bCs w:val="1"/>
          <w:color w:val="auto"/>
        </w:rPr>
        <w:t>Departure of Directors or Certain Officers; Election of Directors; Appointment of Certain Officers; Compensatory Arrangements of Certain Officers</w:t>
      </w:r>
    </w:p>
    <w:p>
      <w:pPr>
        <w:spacing w:after="0" w:line="197" w:lineRule="exact"/>
        <w:rPr>
          <w:sz w:val="20"/>
          <w:szCs w:val="20"/>
          <w:color w:val="auto"/>
        </w:rPr>
      </w:pPr>
    </w:p>
    <w:p>
      <w:pPr>
        <w:ind w:firstLine="8"/>
        <w:spacing w:after="0" w:line="260" w:lineRule="auto"/>
        <w:tabs>
          <w:tab w:leader="none" w:pos="285" w:val="left"/>
        </w:tabs>
        <w:numPr>
          <w:ilvl w:val="0"/>
          <w:numId w:val="1"/>
        </w:numPr>
        <w:rPr>
          <w:rFonts w:ascii="Arial" w:cs="Arial" w:eastAsia="Arial" w:hAnsi="Arial"/>
          <w:sz w:val="20"/>
          <w:szCs w:val="20"/>
          <w:color w:val="auto"/>
        </w:rPr>
      </w:pPr>
      <w:r>
        <w:rPr>
          <w:rFonts w:ascii="Arial" w:cs="Arial" w:eastAsia="Arial" w:hAnsi="Arial"/>
          <w:sz w:val="20"/>
          <w:szCs w:val="20"/>
          <w:color w:val="auto"/>
        </w:rPr>
        <w:t>On December 4, 2009, ClearOne Communications, Inc. (the “Company”) provided notice of termination to Joseph P. Sorrentino, Executive Vice President of World Wide Sales.</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December 4, 2009, E. Bryan Bagley, a director of the Company entered into a 10b5-1(c) Stock Purchase Plan (“Plan”) to purchase Company’s common stock (“Plan shares”).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Principal terms of the Plan include the following:</w:t>
      </w:r>
    </w:p>
    <w:p>
      <w:pPr>
        <w:spacing w:after="0" w:line="24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 broker (“Broker”) has been engaged to purchase up to an aggregate of 200,000 Plan shares at a purchase price of not more than $3.00 per share. The timing and execution of all purchases will be made at the sole discretion of the Broker.</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plan would be effective from December 5, 2009 and would terminate no later than December 31, 2010. However, the plan would terminate earlier on a date when 200,000 shares have been purchased in accordance with the terms of this Plan. The Plan may also be terminated by Bagley at any time upon written notice delivered to Broker with a copy of the notice provided to the Secretary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All purchases under the Plan will be reported by Bagley through Form 4 filings with the Securities and Exchange Commission.</w:t>
      </w: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Bagley will cease all purchases under the Plan promptly upon notice from the Secretary of ClearOne that the independent directors of the Company’s Board of Directors have determined that purchases under the Plan must be suspended for the period determined by those directors. In this regard, Bagley acknowledges that it may be necessary or appropriate for the Company to instruct him to suspend purchases under the Plan in connection with events, including without limitation public or private offerings of securities, mergers or acquisitions, tender offers or similar events.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Plan is intended to comply with the requirements of Rule 10b5-1(c) under the Exchange Act and this Plan shall be interpreted to comply with the requirements of Rule 10b5-1(c).</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4300" w:val="left"/>
          <w:tab w:leader="none" w:pos="5060" w:val="left"/>
        </w:tabs>
        <w:rPr>
          <w:sz w:val="20"/>
          <w:szCs w:val="20"/>
          <w:color w:val="auto"/>
        </w:rPr>
      </w:pPr>
      <w:r>
        <w:rPr>
          <w:rFonts w:ascii="Arial" w:cs="Arial" w:eastAsia="Arial" w:hAnsi="Arial"/>
          <w:sz w:val="20"/>
          <w:szCs w:val="20"/>
          <w:color w:val="auto"/>
        </w:rPr>
        <w:t>Date: December 9, 2009</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10160</wp:posOffset>
            </wp:positionV>
            <wp:extent cx="40220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22090" cy="1714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Zeynep Hakimoglu</w:t>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President, CEO and Chairman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3</w:t>
      </w:r>
    </w:p>
    <w:sectPr>
      <w:pgSz w:w="11900" w:h="16838" w:orient="portrait"/>
      <w:cols w:equalWidth="0" w:num="1">
        <w:col w:w="11300"/>
      </w:cols>
      <w:pgMar w:left="240" w:top="83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2019-12-10T08:03:51Z</dcterms:created>
  <dcterms:modified xsi:type="dcterms:W3CDTF">2019-12-10T08:03:51Z</dcterms:modified>
</cp:coreProperties>
</file>