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r>
        <w:rPr/>
      </w:r>
    </w:p>
    <w:p>
      <w:pPr>
        <w:pStyle w:val="TextBody"/>
        <w:bidi w:val="0"/>
        <w:spacing w:lineRule="atLeast" w:line="142"/>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rPr>
        <w:t>July 7, 2025</w:t>
      </w:r>
      <w:r>
        <w:rPr>
          <w:rFonts w:ascii="times new roman;times" w:hAnsi="times new roman;times"/>
          <w:sz w:val="20"/>
        </w:rPr>
        <w:t xml:space="preserve"> </w:t>
      </w:r>
      <w:r>
        <w:rPr>
          <w:rFonts w:ascii="Times New Roman" w:hAnsi="Times New Roman"/>
          <w:b/>
          <w:sz w:val="20"/>
        </w:rPr>
        <w:t>(July</w:t>
      </w:r>
      <w:r>
        <w:rPr>
          <w:rFonts w:ascii="times new roman;times" w:hAnsi="times new roman;times"/>
          <w:sz w:val="20"/>
        </w:rPr>
        <w:t xml:space="preserve"> </w:t>
      </w:r>
      <w:r>
        <w:rPr>
          <w:rFonts w:ascii="Times New Roman" w:hAnsi="Times New Roman"/>
          <w:b/>
          <w:sz w:val="20"/>
        </w:rPr>
        <w:t>7, 2025)</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4107"/>
        <w:gridCol w:w="133"/>
        <w:gridCol w:w="2524"/>
        <w:gridCol w:w="133"/>
        <w:gridCol w:w="3308"/>
      </w:tblGrid>
      <w:tr>
        <w:trPr/>
        <w:tc>
          <w:tcPr>
            <w:tcW w:w="410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133" w:type="dxa"/>
            <w:tcBorders/>
            <w:vAlign w:val="center"/>
          </w:tcPr>
          <w:p>
            <w:pPr>
              <w:pStyle w:val="TableContents"/>
              <w:bidi w:val="0"/>
              <w:spacing w:before="0" w:after="0"/>
              <w:ind w:left="0" w:right="0" w:hanging="0"/>
              <w:jc w:val="left"/>
              <w:rPr/>
            </w:pPr>
            <w:r>
              <w:rPr/>
              <w:t xml:space="preserve">  </w:t>
            </w:r>
          </w:p>
        </w:tc>
        <w:tc>
          <w:tcPr>
            <w:tcW w:w="2524"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133" w:type="dxa"/>
            <w:tcBorders/>
            <w:vAlign w:val="center"/>
          </w:tcPr>
          <w:p>
            <w:pPr>
              <w:pStyle w:val="TableContents"/>
              <w:bidi w:val="0"/>
              <w:spacing w:before="0" w:after="0"/>
              <w:ind w:left="0" w:right="0" w:hanging="0"/>
              <w:jc w:val="left"/>
              <w:rPr/>
            </w:pPr>
            <w:r>
              <w:rPr/>
              <w:t xml:space="preserve">  </w:t>
            </w:r>
          </w:p>
        </w:tc>
        <w:tc>
          <w:tcPr>
            <w:tcW w:w="3308"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07" w:type="dxa"/>
            <w:tcBorders/>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133" w:type="dxa"/>
            <w:tcBorders/>
            <w:vAlign w:val="center"/>
          </w:tcPr>
          <w:p>
            <w:pPr>
              <w:pStyle w:val="TableContents"/>
              <w:bidi w:val="0"/>
              <w:spacing w:before="0" w:after="0"/>
              <w:ind w:left="0" w:right="0" w:hanging="0"/>
              <w:jc w:val="left"/>
              <w:rPr/>
            </w:pPr>
            <w:r>
              <w:rPr/>
              <w:t xml:space="preserve">  </w:t>
            </w:r>
          </w:p>
        </w:tc>
        <w:tc>
          <w:tcPr>
            <w:tcW w:w="2524" w:type="dxa"/>
            <w:tcBorders/>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133" w:type="dxa"/>
            <w:tcBorders/>
            <w:vAlign w:val="center"/>
          </w:tcPr>
          <w:p>
            <w:pPr>
              <w:pStyle w:val="TableContents"/>
              <w:bidi w:val="0"/>
              <w:spacing w:before="0" w:after="0"/>
              <w:ind w:left="0" w:right="0" w:hanging="0"/>
              <w:jc w:val="left"/>
              <w:rPr/>
            </w:pPr>
            <w:r>
              <w:rPr/>
              <w:t xml:space="preserve">  </w:t>
            </w:r>
          </w:p>
        </w:tc>
        <w:tc>
          <w:tcPr>
            <w:tcW w:w="3308" w:type="dxa"/>
            <w:tcBorders/>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250"/>
        <w:gridCol w:w="216"/>
        <w:gridCol w:w="1739"/>
      </w:tblGrid>
      <w:tr>
        <w:trPr/>
        <w:tc>
          <w:tcPr>
            <w:tcW w:w="825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5225 Wiley Post Way, Suite 500, Salt Lake City, Utah </w:t>
            </w:r>
          </w:p>
        </w:tc>
        <w:tc>
          <w:tcPr>
            <w:tcW w:w="216" w:type="dxa"/>
            <w:tcBorders/>
            <w:vAlign w:val="center"/>
          </w:tcPr>
          <w:p>
            <w:pPr>
              <w:pStyle w:val="TableContents"/>
              <w:bidi w:val="0"/>
              <w:spacing w:before="0" w:after="0"/>
              <w:ind w:left="0" w:right="0" w:hanging="0"/>
              <w:jc w:val="left"/>
              <w:rPr/>
            </w:pPr>
            <w:r>
              <w:rPr/>
              <w:t xml:space="preserve">  </w:t>
            </w:r>
          </w:p>
        </w:tc>
        <w:tc>
          <w:tcPr>
            <w:tcW w:w="1739"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84116 </w:t>
            </w:r>
          </w:p>
        </w:tc>
      </w:tr>
      <w:tr>
        <w:trPr/>
        <w:tc>
          <w:tcPr>
            <w:tcW w:w="82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216" w:type="dxa"/>
            <w:tcBorders/>
            <w:vAlign w:val="center"/>
          </w:tcPr>
          <w:p>
            <w:pPr>
              <w:pStyle w:val="TableContents"/>
              <w:bidi w:val="0"/>
              <w:spacing w:before="0" w:after="0"/>
              <w:ind w:left="0" w:right="0" w:hanging="0"/>
              <w:jc w:val="left"/>
              <w:rPr/>
            </w:pPr>
            <w:r>
              <w:rPr/>
              <w:t xml:space="preserve">  </w:t>
            </w:r>
          </w:p>
        </w:tc>
        <w:tc>
          <w:tcPr>
            <w:tcW w:w="1739"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330" w:type="dxa"/>
            <w:tcBorders/>
            <w:vAlign w:val="center"/>
          </w:tcPr>
          <w:p>
            <w:pPr>
              <w:pStyle w:val="TableContents"/>
              <w:bidi w:val="0"/>
              <w:spacing w:before="0" w:after="0"/>
              <w:ind w:left="0" w:right="0" w:hanging="0"/>
              <w:jc w:val="left"/>
              <w:rPr/>
            </w:pPr>
            <w:r>
              <w:rPr/>
              <w:t xml:space="preserve">☐ </w:t>
            </w:r>
          </w:p>
        </w:tc>
        <w:tc>
          <w:tcPr>
            <w:tcW w:w="98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33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w:t>
            </w:r>
            <w:r>
              <w:rPr/>
              <w:t xml:space="preserve"> </w:t>
            </w:r>
            <w:r>
              <w:rPr>
                <w:rFonts w:ascii="Times New Roman" w:hAnsi="Times New Roman"/>
                <w:sz w:val="20"/>
              </w:rPr>
              <w:t xml:space="preserve">under the Exchange Act (17 CFR 240.13e-4©)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times" w:hAnsi="times new roman;times"/>
          <w:sz w:val="20"/>
        </w:rPr>
        <w:t>   </w:t>
      </w:r>
      <w:r>
        <w:rPr>
          <w:rFonts w:ascii="Times New Roman" w:hAnsi="Times New Roman"/>
          <w:sz w:val="20"/>
        </w:rPr>
        <w:t xml:space="preserve">Emerging growth company </w:t>
      </w:r>
      <w:r>
        <w:rPr>
          <w:rFonts w:ascii="times new roman;times" w:hAnsi="times new roman;times"/>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ind w:left="0" w:right="0" w:hanging="0"/>
        <w:jc w:val="left"/>
        <w:rPr>
          <w:rFonts w:ascii="times new roman;times" w:hAnsi="times new roman;times"/>
          <w:b/>
          <w:sz w:val="20"/>
        </w:rPr>
      </w:pPr>
      <w:r>
        <w:rPr>
          <w:rFonts w:ascii="times new roman;times" w:hAnsi="times new roman;times"/>
          <w:b/>
          <w:sz w:val="20"/>
        </w:rPr>
        <w:t>Item 8.01        Other Events.</w:t>
      </w:r>
    </w:p>
    <w:p>
      <w:pPr>
        <w:pStyle w:val="TextBody"/>
        <w:bidi w:val="0"/>
        <w:ind w:left="0" w:right="0" w:firstLine="720"/>
        <w:jc w:val="left"/>
        <w:rPr>
          <w:rFonts w:ascii="times new roman;times" w:hAnsi="times new roman;times"/>
          <w:sz w:val="20"/>
        </w:rPr>
      </w:pPr>
      <w:r>
        <w:rPr>
          <w:rFonts w:ascii="times new roman;times" w:hAnsi="times new roman;times"/>
          <w:sz w:val="20"/>
        </w:rPr>
        <w:t>On June 30, 2025, ClearOne, Inc., a Delaware corporation (the “Company”), announced that the Company’s Board of Directors has declared a one-time special stock dividend (the “Special Stock Dividend”) on the Company’s issued and outstanding shares of common stock, par value $0.001 per share (the “Common Stock”), and any Common Stock equivalents with dividend rights (the “Common Stock Equivalents”), to provide its legacy stockholders with a 100% stake in the proceeds from an eventual sale, if any, of all or substantially all of the Company’s current assets and operations in one or more transactions (collectively, the “Asset Sale”).  The Board of Directors has fixed July 11, 2025 as the record date (the “Record Date”) for the Special Stock Dividend, and the Special Stock Dividend will be payable on July 18, 2025 to stockholders of record as of the Record Date.</w:t>
      </w:r>
    </w:p>
    <w:p>
      <w:pPr>
        <w:pStyle w:val="TextBody"/>
        <w:bidi w:val="0"/>
        <w:ind w:left="0" w:right="0" w:firstLine="720"/>
        <w:jc w:val="left"/>
        <w:rPr>
          <w:rFonts w:ascii="times new roman;times" w:hAnsi="times new roman;times"/>
          <w:sz w:val="20"/>
        </w:rPr>
      </w:pPr>
      <w:r>
        <w:rPr>
          <w:rFonts w:ascii="times new roman;times" w:hAnsi="times new roman;times"/>
          <w:sz w:val="20"/>
        </w:rPr>
        <w:t xml:space="preserve">As previously disclosed, the Special Stock Dividend is part of the Company’s ongoing strategic process and in support of its previously disclosed plan to pursue one or more transactions, including the Asset Sale, and involves issuing to holders of Common Stock and Common Stock Equivalents one share of the Company’s Class A Redeemable Preferred Stock, par value $0.001 per share (the “Class A Preferred Stock”), for every issued and outstanding share of Common Stock and Common Stock Equivalent.  Upon the completion of an Asset Sale, if any, which may occur in one or a series of transactions, the Class A Preferred Stock shall be redeemed by the Company for 100% of the net proceeds of any such Asset Sale. </w:t>
      </w:r>
    </w:p>
    <w:p>
      <w:pPr>
        <w:pStyle w:val="TextBody"/>
        <w:bidi w:val="0"/>
        <w:ind w:left="0" w:right="0" w:firstLine="720"/>
        <w:jc w:val="left"/>
        <w:rPr>
          <w:rFonts w:ascii="times new roman;times" w:hAnsi="times new roman;times"/>
          <w:sz w:val="20"/>
        </w:rPr>
      </w:pPr>
      <w:r>
        <w:rPr>
          <w:rFonts w:ascii="times new roman;times" w:hAnsi="times new roman;times"/>
          <w:sz w:val="20"/>
        </w:rPr>
        <w:t>The Class A Preferred Stock will not be registered under the Securities Act of 1933 nor the Securities Exchange Act of 1934. Because the shares of Class A Preferred Stock will be restricted securities and not transferrable, on July 7, 2025, the Nasdaq Stock Market, LLC advised the Company that an EX date would not be issued for the Common Stock.  Accordingly, only stockholders of record as of the close of business on the Record Date will receive the Special Stock Dividend.  Anyone who purchases shares of Common Stock after the Record Date will not receive the Special Stock Dividend for the shares of Common Stock that are sold.</w:t>
      </w:r>
    </w:p>
    <w:p>
      <w:pPr>
        <w:pStyle w:val="TextBody"/>
        <w:bidi w:val="0"/>
        <w:ind w:left="0" w:right="0" w:firstLine="720"/>
        <w:jc w:val="left"/>
        <w:rPr>
          <w:rFonts w:ascii="times new roman;times" w:hAnsi="times new roman;times"/>
          <w:sz w:val="20"/>
        </w:rPr>
      </w:pPr>
      <w:r>
        <w:rPr>
          <w:rFonts w:ascii="times new roman;times" w:hAnsi="times new roman;times"/>
          <w:sz w:val="20"/>
        </w:rPr>
        <w:t>A copy of the Company’s press release announcing the Special Stock Dividend is filed herewith as Exhibit 99.1.</w:t>
      </w:r>
    </w:p>
    <w:p>
      <w:pPr>
        <w:pStyle w:val="TextBody"/>
        <w:bidi w:val="0"/>
        <w:spacing w:before="0" w:after="0"/>
        <w:ind w:left="0" w:right="0" w:hanging="0"/>
        <w:jc w:val="left"/>
        <w:rPr>
          <w:rFonts w:ascii="times new roman;times" w:hAnsi="times new roman;times"/>
          <w:sz w:val="20"/>
        </w:rPr>
      </w:pPr>
      <w:r>
        <w:rPr>
          <w:rFonts w:ascii="times new roman;times" w:hAnsi="times new roman;times"/>
          <w:b/>
          <w:sz w:val="20"/>
        </w:rPr>
        <w:t>Item 9.01</w:t>
      </w:r>
      <w:r>
        <w:rPr>
          <w:rFonts w:ascii="times new roman;times" w:hAnsi="times new roman;times"/>
          <w:sz w:val="20"/>
        </w:rPr>
        <w:t xml:space="preserve">              </w:t>
      </w:r>
      <w:r>
        <w:rPr>
          <w:rFonts w:ascii="times new roman;times" w:hAnsi="times new roman;times"/>
          <w:b/>
          <w:sz w:val="20"/>
        </w:rPr>
        <w:t>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790"/>
        <w:gridCol w:w="76"/>
        <w:gridCol w:w="8339"/>
      </w:tblGrid>
      <w:tr>
        <w:trPr/>
        <w:tc>
          <w:tcPr>
            <w:tcW w:w="1790" w:type="dxa"/>
            <w:tcBorders/>
            <w:vAlign w:val="center"/>
          </w:tcPr>
          <w:p>
            <w:pPr>
              <w:pStyle w:val="TableContents"/>
              <w:bidi w:val="0"/>
              <w:spacing w:before="0" w:after="0"/>
              <w:ind w:left="0" w:right="0" w:hanging="0"/>
              <w:jc w:val="left"/>
              <w:rPr/>
            </w:pPr>
            <w:r>
              <w:rPr>
                <w:rFonts w:ascii="Times New Roman" w:hAnsi="Times New Roman"/>
                <w:b/>
                <w:sz w:val="20"/>
              </w:rPr>
              <w:t>Exhibit</w:t>
            </w:r>
            <w:r>
              <w:rPr/>
              <w:t> </w:t>
            </w:r>
            <w:r>
              <w:rPr>
                <w:rFonts w:ascii="Times New Roman" w:hAnsi="Times New Roman"/>
                <w:b/>
                <w:sz w:val="20"/>
              </w:rPr>
              <w:t>Number</w:t>
            </w:r>
          </w:p>
        </w:tc>
        <w:tc>
          <w:tcPr>
            <w:tcW w:w="76" w:type="dxa"/>
            <w:tcBorders/>
            <w:vAlign w:val="center"/>
          </w:tcPr>
          <w:p>
            <w:pPr>
              <w:pStyle w:val="TableContents"/>
              <w:bidi w:val="0"/>
              <w:spacing w:before="0" w:after="0"/>
              <w:ind w:left="0" w:right="0" w:hanging="0"/>
              <w:jc w:val="center"/>
              <w:rPr/>
            </w:pPr>
            <w:r>
              <w:rPr/>
              <w:t> </w:t>
            </w:r>
          </w:p>
        </w:tc>
        <w:tc>
          <w:tcPr>
            <w:tcW w:w="8339" w:type="dxa"/>
            <w:tcBorders/>
            <w:vAlign w:val="center"/>
          </w:tcPr>
          <w:p>
            <w:pPr>
              <w:pStyle w:val="TableContents"/>
              <w:bidi w:val="0"/>
              <w:spacing w:before="0" w:after="0"/>
              <w:ind w:left="0" w:right="0" w:hanging="0"/>
              <w:jc w:val="center"/>
              <w:rPr/>
            </w:pPr>
            <w:r>
              <w:rPr>
                <w:rFonts w:ascii="Times New Roman" w:hAnsi="Times New Roman"/>
                <w:b/>
                <w:sz w:val="20"/>
              </w:rPr>
              <w:t>Exhibit</w:t>
            </w:r>
            <w:r>
              <w:rPr/>
              <w:t> </w:t>
            </w:r>
            <w:r>
              <w:rPr>
                <w:rFonts w:ascii="Times New Roman" w:hAnsi="Times New Roman"/>
                <w:b/>
                <w:sz w:val="20"/>
              </w:rPr>
              <w:t>Title</w:t>
            </w:r>
          </w:p>
        </w:tc>
      </w:tr>
      <w:tr>
        <w:trPr/>
        <w:tc>
          <w:tcPr>
            <w:tcW w:w="17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99.1</w:t>
            </w:r>
          </w:p>
        </w:tc>
        <w:tc>
          <w:tcPr>
            <w:tcW w:w="76" w:type="dxa"/>
            <w:tcBorders/>
            <w:vAlign w:val="center"/>
          </w:tcPr>
          <w:p>
            <w:pPr>
              <w:pStyle w:val="TableContents"/>
              <w:bidi w:val="0"/>
              <w:spacing w:before="0" w:after="0"/>
              <w:ind w:left="0" w:right="0" w:hanging="0"/>
              <w:jc w:val="both"/>
              <w:rPr/>
            </w:pPr>
            <w:r>
              <w:rPr/>
              <w:t> </w:t>
            </w:r>
          </w:p>
        </w:tc>
        <w:tc>
          <w:tcPr>
            <w:tcW w:w="8339" w:type="dxa"/>
            <w:tcBorders/>
            <w:vAlign w:val="center"/>
          </w:tcPr>
          <w:p>
            <w:pPr>
              <w:pStyle w:val="TableContents"/>
              <w:bidi w:val="0"/>
              <w:spacing w:before="0" w:after="0"/>
              <w:ind w:left="0" w:right="0" w:hanging="0"/>
              <w:jc w:val="both"/>
              <w:rPr/>
            </w:pPr>
            <w:hyperlink w:anchor="ex991_1.htm">
              <w:r>
                <w:rPr>
                  <w:rStyle w:val="InternetLink"/>
                </w:rPr>
                <w:t>Press Release of ClearOne, Inc. Dated July 7, 2025.</w:t>
              </w:r>
            </w:hyperlink>
          </w:p>
        </w:tc>
      </w:tr>
      <w:tr>
        <w:trPr/>
        <w:tc>
          <w:tcPr>
            <w:tcW w:w="17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104.1</w:t>
            </w:r>
          </w:p>
        </w:tc>
        <w:tc>
          <w:tcPr>
            <w:tcW w:w="76" w:type="dxa"/>
            <w:tcBorders/>
            <w:vAlign w:val="center"/>
          </w:tcPr>
          <w:p>
            <w:pPr>
              <w:pStyle w:val="TableContents"/>
              <w:bidi w:val="0"/>
              <w:spacing w:before="0" w:after="0"/>
              <w:ind w:left="0" w:right="0" w:hanging="0"/>
              <w:jc w:val="both"/>
              <w:rPr/>
            </w:pPr>
            <w:r>
              <w:rPr/>
              <w:t> </w:t>
            </w:r>
          </w:p>
        </w:tc>
        <w:tc>
          <w:tcPr>
            <w:tcW w:w="833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cover page from this Current Report on Form 8-K, formatted in Inline XBRL.</w:t>
            </w:r>
          </w:p>
        </w:tc>
      </w:tr>
    </w:tbl>
    <w:p>
      <w:pPr>
        <w:pStyle w:val="TextBody"/>
        <w:bidi w:val="0"/>
        <w:spacing w:before="0" w:after="0"/>
        <w:ind w:left="0" w:right="0" w:hanging="0"/>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156"/>
        <w:gridCol w:w="933"/>
        <w:gridCol w:w="5116"/>
      </w:tblGrid>
      <w:tr>
        <w:trPr/>
        <w:tc>
          <w:tcPr>
            <w:tcW w:w="4156" w:type="dxa"/>
            <w:tcBorders/>
            <w:vAlign w:val="center"/>
          </w:tcPr>
          <w:p>
            <w:pPr>
              <w:pStyle w:val="TableContents"/>
              <w:bidi w:val="0"/>
              <w:spacing w:before="0" w:after="0"/>
              <w:ind w:left="0" w:right="0" w:hanging="0"/>
              <w:jc w:val="both"/>
              <w:rPr/>
            </w:pPr>
            <w:r>
              <w:rPr/>
              <w:t xml:space="preserve">  </w:t>
            </w:r>
          </w:p>
        </w:tc>
        <w:tc>
          <w:tcPr>
            <w:tcW w:w="6049"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4156" w:type="dxa"/>
            <w:tcBorders/>
            <w:vAlign w:val="center"/>
          </w:tcPr>
          <w:p>
            <w:pPr>
              <w:pStyle w:val="TableContents"/>
              <w:bidi w:val="0"/>
              <w:spacing w:before="0" w:after="0"/>
              <w:ind w:left="0" w:right="0" w:hanging="0"/>
              <w:jc w:val="both"/>
              <w:rPr/>
            </w:pPr>
            <w:r>
              <w:rPr/>
              <w:t xml:space="preserve">  </w:t>
            </w:r>
          </w:p>
        </w:tc>
        <w:tc>
          <w:tcPr>
            <w:tcW w:w="933" w:type="dxa"/>
            <w:tcBorders/>
            <w:vAlign w:val="center"/>
          </w:tcPr>
          <w:p>
            <w:pPr>
              <w:pStyle w:val="TableContents"/>
              <w:bidi w:val="0"/>
              <w:spacing w:before="0" w:after="0"/>
              <w:ind w:left="0" w:right="0" w:hanging="0"/>
              <w:jc w:val="both"/>
              <w:rPr/>
            </w:pPr>
            <w:r>
              <w:rPr/>
              <w:t xml:space="preserve">  </w:t>
            </w:r>
          </w:p>
        </w:tc>
        <w:tc>
          <w:tcPr>
            <w:tcW w:w="5116" w:type="dxa"/>
            <w:tcBorders/>
            <w:vAlign w:val="center"/>
          </w:tcPr>
          <w:p>
            <w:pPr>
              <w:pStyle w:val="TableContents"/>
              <w:bidi w:val="0"/>
              <w:spacing w:before="0" w:after="0"/>
              <w:ind w:left="0" w:right="0" w:hanging="0"/>
              <w:jc w:val="both"/>
              <w:rPr/>
            </w:pPr>
            <w:r>
              <w:rPr/>
              <w:t xml:space="preserve">  </w:t>
            </w:r>
          </w:p>
        </w:tc>
      </w:tr>
      <w:tr>
        <w:trPr/>
        <w:tc>
          <w:tcPr>
            <w:tcW w:w="4156" w:type="dxa"/>
            <w:tcBorders/>
            <w:vAlign w:val="center"/>
          </w:tcPr>
          <w:p>
            <w:pPr>
              <w:pStyle w:val="TableContents"/>
              <w:bidi w:val="0"/>
              <w:spacing w:before="0" w:after="0"/>
              <w:ind w:left="0" w:right="0" w:hanging="0"/>
              <w:jc w:val="both"/>
              <w:rPr/>
            </w:pPr>
            <w:r>
              <w:rPr>
                <w:rFonts w:ascii="Times New Roman" w:hAnsi="Times New Roman"/>
                <w:sz w:val="20"/>
              </w:rPr>
              <w:t>Date: July</w:t>
            </w:r>
            <w:r>
              <w:rPr/>
              <w:t> 7</w:t>
            </w:r>
            <w:r>
              <w:rPr>
                <w:rFonts w:ascii="Times New Roman" w:hAnsi="Times New Roman"/>
                <w:sz w:val="20"/>
              </w:rPr>
              <w:t>,</w:t>
            </w:r>
            <w:r>
              <w:rPr/>
              <w:t xml:space="preserve"> </w:t>
            </w:r>
            <w:r>
              <w:rPr>
                <w:rFonts w:ascii="Times New Roman" w:hAnsi="Times New Roman"/>
                <w:sz w:val="20"/>
              </w:rPr>
              <w:t>2025</w:t>
            </w:r>
            <w:r>
              <w:rPr/>
              <w:t xml:space="preserve"> </w:t>
            </w:r>
          </w:p>
        </w:tc>
        <w:tc>
          <w:tcPr>
            <w:tcW w:w="93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5116" w:type="dxa"/>
            <w:tcBorders>
              <w:bottom w:val="single" w:sz="6" w:space="0" w:color="000000"/>
            </w:tcBorders>
            <w:tcMar>
              <w:bottom w:w="28" w:type="dxa"/>
            </w:tcMar>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Derek Graham</w:t>
            </w:r>
          </w:p>
        </w:tc>
      </w:tr>
      <w:tr>
        <w:trPr/>
        <w:tc>
          <w:tcPr>
            <w:tcW w:w="4156" w:type="dxa"/>
            <w:tcBorders/>
            <w:vAlign w:val="center"/>
          </w:tcPr>
          <w:p>
            <w:pPr>
              <w:pStyle w:val="TableContents"/>
              <w:bidi w:val="0"/>
              <w:spacing w:before="0" w:after="0"/>
              <w:ind w:left="0" w:right="0" w:hanging="0"/>
              <w:jc w:val="both"/>
              <w:rPr/>
            </w:pPr>
            <w:r>
              <w:rPr/>
              <w:t xml:space="preserve">  </w:t>
            </w:r>
          </w:p>
        </w:tc>
        <w:tc>
          <w:tcPr>
            <w:tcW w:w="933" w:type="dxa"/>
            <w:tcBorders/>
            <w:vAlign w:val="center"/>
          </w:tcPr>
          <w:p>
            <w:pPr>
              <w:pStyle w:val="TableContents"/>
              <w:bidi w:val="0"/>
              <w:spacing w:before="0" w:after="0"/>
              <w:ind w:left="0" w:right="0" w:hanging="0"/>
              <w:jc w:val="both"/>
              <w:rPr/>
            </w:pPr>
            <w:r>
              <w:rPr/>
              <w:t xml:space="preserve">  </w:t>
            </w:r>
          </w:p>
        </w:tc>
        <w:tc>
          <w:tcPr>
            <w:tcW w:w="5116" w:type="dxa"/>
            <w:tcBorders/>
            <w:vAlign w:val="center"/>
          </w:tcPr>
          <w:p>
            <w:pPr>
              <w:pStyle w:val="TableContents"/>
              <w:bidi w:val="0"/>
              <w:spacing w:before="0" w:after="0"/>
              <w:ind w:left="0" w:right="0" w:hanging="0"/>
              <w:jc w:val="both"/>
              <w:rPr/>
            </w:pPr>
            <w:r>
              <w:rPr>
                <w:rFonts w:ascii="Times New Roman" w:hAnsi="Times New Roman"/>
                <w:sz w:val="20"/>
              </w:rPr>
              <w:t>Derek Graham</w:t>
            </w:r>
            <w:r>
              <w:rPr/>
              <w:t xml:space="preserve"> </w:t>
            </w:r>
          </w:p>
        </w:tc>
      </w:tr>
      <w:tr>
        <w:trPr/>
        <w:tc>
          <w:tcPr>
            <w:tcW w:w="4156" w:type="dxa"/>
            <w:tcBorders/>
            <w:vAlign w:val="center"/>
          </w:tcPr>
          <w:p>
            <w:pPr>
              <w:pStyle w:val="TableContents"/>
              <w:bidi w:val="0"/>
              <w:spacing w:before="0" w:after="0"/>
              <w:ind w:left="0" w:right="0" w:hanging="0"/>
              <w:jc w:val="both"/>
              <w:rPr/>
            </w:pPr>
            <w:r>
              <w:rPr/>
              <w:t xml:space="preserve">  </w:t>
            </w:r>
          </w:p>
        </w:tc>
        <w:tc>
          <w:tcPr>
            <w:tcW w:w="933" w:type="dxa"/>
            <w:tcBorders/>
            <w:vAlign w:val="center"/>
          </w:tcPr>
          <w:p>
            <w:pPr>
              <w:pStyle w:val="TableContents"/>
              <w:bidi w:val="0"/>
              <w:spacing w:before="0" w:after="0"/>
              <w:ind w:left="0" w:right="0" w:hanging="0"/>
              <w:jc w:val="both"/>
              <w:rPr/>
            </w:pPr>
            <w:r>
              <w:rPr/>
              <w:t xml:space="preserve">  </w:t>
            </w:r>
          </w:p>
        </w:tc>
        <w:tc>
          <w:tcPr>
            <w:tcW w:w="5116" w:type="dxa"/>
            <w:tcBorders/>
            <w:vAlign w:val="center"/>
          </w:tcPr>
          <w:p>
            <w:pPr>
              <w:pStyle w:val="TableContents"/>
              <w:bidi w:val="0"/>
              <w:spacing w:before="0" w:after="0"/>
              <w:ind w:left="30" w:right="0" w:hanging="0"/>
              <w:jc w:val="both"/>
              <w:rPr>
                <w:rFonts w:ascii="Times New Roman" w:hAnsi="Times New Roman"/>
                <w:sz w:val="20"/>
              </w:rPr>
            </w:pPr>
            <w:r>
              <w:rPr>
                <w:rFonts w:ascii="Times New Roman" w:hAnsi="Times New Roman"/>
                <w:sz w:val="20"/>
              </w:rPr>
              <w:t xml:space="preserve">Chief Executive Officer </w:t>
            </w:r>
          </w:p>
        </w:tc>
      </w:tr>
    </w:tbl>
    <w:p>
      <w:pPr>
        <w:pStyle w:val="TextBody"/>
        <w:bidi w:val="0"/>
        <w:spacing w:before="0" w:after="0"/>
        <w:ind w:left="0" w:right="0" w:hanging="0"/>
        <w:jc w:val="left"/>
        <w:rPr/>
      </w:pPr>
      <w:r>
        <w:rPr/>
      </w:r>
    </w:p>
    <w:p>
      <w:pPr>
        <w:pStyle w:val="TextBody"/>
        <w:bidi w:val="0"/>
        <w:spacing w:before="0" w:after="0"/>
        <w:ind w:left="0" w:right="0" w:hanging="0"/>
        <w:jc w:val="right"/>
        <w:rPr>
          <w:rFonts w:ascii="Times New Roman" w:hAnsi="Times New Roman"/>
          <w:b/>
          <w:sz w:val="20"/>
        </w:rPr>
      </w:pPr>
      <w:r>
        <w:rPr>
          <w:rFonts w:ascii="Times New Roman" w:hAnsi="Times New Roman"/>
          <w:b/>
          <w:sz w:val="20"/>
        </w:rPr>
        <w:t>Exhibit 99.1</w:t>
      </w:r>
      <w:r>
        <w:br w:type="page"/>
      </w:r>
    </w:p>
    <w:p>
      <w:pPr>
        <w:pStyle w:val="TextBody"/>
        <w:bidi w:val="0"/>
        <w:spacing w:before="0" w:after="0"/>
        <w:ind w:left="0" w:right="0" w:hanging="0"/>
        <w:jc w:val="center"/>
        <w:rPr/>
      </w:pPr>
      <w:r>
        <w:rPr/>
        <w:t> </w:t>
      </w:r>
    </w:p>
    <w:p>
      <w:pPr>
        <w:pStyle w:val="TextBody"/>
        <w:shd w:fill="FFFFFF" w:val="clear"/>
        <w:bidi w:val="0"/>
        <w:spacing w:before="0" w:after="0"/>
        <w:ind w:left="0" w:right="0" w:hanging="0"/>
        <w:jc w:val="center"/>
        <w:rPr>
          <w:rFonts w:ascii="Times New Roman;serif" w:hAnsi="Times New Roman;serif"/>
          <w:b/>
          <w:color w:val="000000"/>
          <w:sz w:val="24"/>
        </w:rPr>
      </w:pPr>
      <w:r>
        <w:rPr>
          <w:rFonts w:ascii="Times New Roman;serif" w:hAnsi="Times New Roman;serif"/>
          <w:b/>
          <w:color w:val="000000"/>
          <w:sz w:val="24"/>
        </w:rPr>
        <w:t>ClearOne, Inc. Clarifies Dividend Date For Special Stock Dividend</w:t>
      </w:r>
    </w:p>
    <w:p>
      <w:pPr>
        <w:pStyle w:val="TextBody"/>
        <w:bidi w:val="0"/>
        <w:ind w:left="0" w:right="0" w:firstLine="720"/>
        <w:jc w:val="left"/>
        <w:rPr>
          <w:rFonts w:ascii="times new roman;times" w:hAnsi="times new roman;times"/>
          <w:sz w:val="20"/>
        </w:rPr>
      </w:pPr>
      <w:r>
        <w:rPr>
          <w:rFonts w:ascii="times new roman;times" w:hAnsi="times new roman;times"/>
          <w:color w:val="000000"/>
          <w:sz w:val="20"/>
        </w:rPr>
        <w:t xml:space="preserve">SALT LAKE CITY - (BUSINESS WIRE) – July 7, 2025 </w:t>
      </w:r>
      <w:r>
        <w:rPr>
          <w:rFonts w:ascii="times new roman;times" w:hAnsi="times new roman;times"/>
          <w:sz w:val="20"/>
        </w:rPr>
        <w:t>– On June 30, 2025, ClearOne (NASDAQ: CLRO) announced that its Board of Directors had declared a one-time special stock dividend on the Company’s issued and outstanding shares of common stock, par value $0.001 per share (the “Common Stock”), and any Common Stock equivalents with dividend rights (the “Common Stock Equivalents”), to provide its legacy stockholders with a 100% stake in the proceeds from an eventual sale, if any, of all or substantially all of the Company’s current assets and operations in one or more transactions (collectively, the “Asset Sale”).  The Board of Directors fixed July 11, 2025 as the record date (the “Record Date”) for the Special Stock Dividend, and the Special Stock Dividend will be payable on July 18, 2025 to stockholders of record as of the Record Date.</w:t>
      </w:r>
    </w:p>
    <w:p>
      <w:pPr>
        <w:pStyle w:val="TextBody"/>
        <w:bidi w:val="0"/>
        <w:ind w:left="0" w:right="0" w:firstLine="720"/>
        <w:jc w:val="left"/>
        <w:rPr>
          <w:rFonts w:ascii="times new roman;times" w:hAnsi="times new roman;times"/>
          <w:sz w:val="20"/>
        </w:rPr>
      </w:pPr>
      <w:r>
        <w:rPr>
          <w:rFonts w:ascii="times new roman;times" w:hAnsi="times new roman;times"/>
          <w:sz w:val="20"/>
        </w:rPr>
        <w:t xml:space="preserve">As previously disclosed, the Special Stock Dividend is part of the Company’s ongoing strategic process and in support of its previously disclosed plan to pursue one or more transactions, including the Asset Sale, and involves issuing to holders of Common Stock and Common Stock Equivalents one share of the Company’s Class A Redeemable Preferred Stock, par value $0.001 per share (the “Class A Preferred Stock”), for every issued and outstanding share of Common Stock and Common Stock Equivalent.  Upon the completion of an Asset Sale, if any, which may occur in one or a series of transactions, the Class A Preferred Stock shall be redeemed by the Company for 100% of the net proceeds of any such Asset Sale. </w:t>
      </w:r>
    </w:p>
    <w:p>
      <w:pPr>
        <w:pStyle w:val="TextBody"/>
        <w:bidi w:val="0"/>
        <w:ind w:left="0" w:right="0" w:firstLine="720"/>
        <w:jc w:val="left"/>
        <w:rPr>
          <w:rFonts w:ascii="times new roman;times" w:hAnsi="times new roman;times"/>
          <w:sz w:val="20"/>
        </w:rPr>
      </w:pPr>
      <w:r>
        <w:rPr>
          <w:rFonts w:ascii="times new roman;times" w:hAnsi="times new roman;times"/>
          <w:sz w:val="20"/>
        </w:rPr>
        <w:t>The Class A Preferred Stock will not be registered under the Securities Act of 1933 nor the Securities Exchange Act of 1934. Because the shares of Class A Preferred Stock will be restricted securities and not transferrable, on July 7, 2025 the Nasdaq Stock Market, LLC advised the Company that an EX date would not be issued for the Common Stock.  Accordingly, only stockholders of record as of the close of business on the Record Date will receive the Special Stock Dividend.  Anyone who purchases shares of Common Stock after the Record Date will not receive the Special Stock Dividend for the shares of Common Stock that are sold.</w:t>
      </w:r>
    </w:p>
    <w:p>
      <w:pPr>
        <w:pStyle w:val="TextBody"/>
        <w:shd w:fill="FFFFFF" w:val="clear"/>
        <w:bidi w:val="0"/>
        <w:spacing w:before="0" w:after="160"/>
        <w:ind w:left="0" w:right="0" w:hanging="0"/>
        <w:jc w:val="both"/>
        <w:rPr>
          <w:rFonts w:ascii="times new roman;times" w:hAnsi="times new roman;times"/>
          <w:color w:val="000000"/>
          <w:sz w:val="20"/>
        </w:rPr>
      </w:pPr>
      <w:r>
        <w:rPr>
          <w:rFonts w:ascii="times new roman;times" w:hAnsi="times new roman;times"/>
          <w:color w:val="000000"/>
          <w:sz w:val="20"/>
        </w:rPr>
        <w:t>Even though this dividend announcement is a special one-time event, the declaration of dividends in the future is subject to the discretion of the ClearOne Board of Directors, which will evaluate the possibility of future dividend distributions from time-to-time based on factors that the Board of Directors deem relevant. However, no additional dividends have been authorized nor are contemplated at this time.</w:t>
      </w:r>
    </w:p>
    <w:p>
      <w:pPr>
        <w:pStyle w:val="TextBody"/>
        <w:bidi w:val="0"/>
        <w:spacing w:lineRule="auto" w:line="256" w:before="0" w:after="160"/>
        <w:ind w:left="0" w:right="0" w:hanging="0"/>
        <w:jc w:val="left"/>
        <w:rPr>
          <w:rFonts w:ascii="times new roman;times" w:hAnsi="times new roman;times"/>
          <w:sz w:val="20"/>
        </w:rPr>
      </w:pPr>
      <w:r>
        <w:rPr>
          <w:rFonts w:ascii="times new roman;times" w:hAnsi="times new roman;times"/>
          <w:b/>
          <w:color w:val="000000"/>
          <w:sz w:val="20"/>
        </w:rPr>
        <w:t>About ClearOne</w:t>
      </w:r>
      <w:r>
        <w:rPr>
          <w:rFonts w:ascii="times new roman;times" w:hAnsi="times new roman;times"/>
          <w:sz w:val="20"/>
        </w:rPr>
        <w:br/>
      </w:r>
      <w:r>
        <w:rPr>
          <w:rFonts w:ascii="times new roman;times" w:hAnsi="times new roman;times"/>
          <w:color w:val="000000"/>
          <w:sz w:val="20"/>
        </w:rPr>
        <w:t>ClearOne is a global market leader enabling conferencing, collaboration, and network streaming solutions. The performance and simplicity of its advanced, comprehensive solutions offer unprecedented levels of functionality, reliability, and scalability. Visit ClearOne at </w:t>
      </w:r>
      <w:r>
        <w:rPr>
          <w:rFonts w:ascii="times new roman;times" w:hAnsi="times new roman;times"/>
          <w:color w:val="0000FF"/>
          <w:sz w:val="20"/>
        </w:rPr>
        <w:t>www.clearone.com</w:t>
      </w:r>
      <w:r>
        <w:rPr>
          <w:rFonts w:ascii="times new roman;times" w:hAnsi="times new roman;times"/>
          <w:color w:val="000000"/>
          <w:sz w:val="20"/>
        </w:rPr>
        <w:t>.</w:t>
      </w:r>
    </w:p>
    <w:p>
      <w:pPr>
        <w:pStyle w:val="TextBody"/>
        <w:bidi w:val="0"/>
        <w:spacing w:lineRule="auto" w:line="256" w:before="0" w:after="160"/>
        <w:ind w:left="0" w:right="0" w:hanging="0"/>
        <w:jc w:val="both"/>
        <w:rPr>
          <w:rFonts w:ascii="times new roman;times" w:hAnsi="times new roman;times"/>
          <w:i/>
          <w:color w:val="000000"/>
          <w:sz w:val="20"/>
        </w:rPr>
      </w:pPr>
      <w:r>
        <w:rPr>
          <w:rFonts w:ascii="times new roman;times" w:hAnsi="times new roman;times"/>
          <w:i/>
          <w:color w:val="000000"/>
          <w:sz w:val="20"/>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the expected future sales of the Company’s assets, payment of dividends, redemption of the Class A Preferred Stock,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pStyle w:val="TextBody"/>
        <w:bidi w:val="0"/>
        <w:ind w:left="0" w:right="0" w:hanging="0"/>
        <w:jc w:val="left"/>
        <w:rPr>
          <w:rFonts w:ascii="times new roman;times" w:hAnsi="times new roman;times"/>
          <w:sz w:val="20"/>
          <w:u w:val="single"/>
        </w:rPr>
      </w:pPr>
      <w:r>
        <w:rPr>
          <w:rFonts w:ascii="times new roman;times" w:hAnsi="times new roman;times"/>
          <w:sz w:val="20"/>
          <w:u w:val="single"/>
        </w:rPr>
        <w:t>Investor Relations Contact:</w:t>
      </w:r>
    </w:p>
    <w:p>
      <w:pPr>
        <w:pStyle w:val="TextBody"/>
        <w:bidi w:val="0"/>
        <w:ind w:left="0" w:right="0" w:hanging="0"/>
        <w:jc w:val="left"/>
        <w:rPr>
          <w:rFonts w:ascii="times new roman;times" w:hAnsi="times new roman;times"/>
          <w:sz w:val="20"/>
        </w:rPr>
      </w:pPr>
      <w:r>
        <w:rPr>
          <w:rFonts w:ascii="times new roman;times" w:hAnsi="times new roman;times"/>
          <w:sz w:val="20"/>
        </w:rPr>
        <w:t>Simon Brewer</w:t>
      </w:r>
    </w:p>
    <w:p>
      <w:pPr>
        <w:pStyle w:val="TextBody"/>
        <w:bidi w:val="0"/>
        <w:ind w:left="0" w:right="0" w:hanging="0"/>
        <w:jc w:val="left"/>
        <w:rPr>
          <w:rFonts w:ascii="times new roman;times" w:hAnsi="times new roman;times"/>
          <w:sz w:val="20"/>
        </w:rPr>
      </w:pPr>
      <w:r>
        <w:rPr>
          <w:rFonts w:ascii="times new roman;times" w:hAnsi="times new roman;times"/>
          <w:sz w:val="20"/>
        </w:rPr>
        <w:t>385-426-0565</w:t>
      </w:r>
    </w:p>
    <w:p>
      <w:pPr>
        <w:pStyle w:val="TextBody"/>
        <w:bidi w:val="0"/>
        <w:ind w:left="0" w:right="0" w:hanging="0"/>
        <w:jc w:val="left"/>
        <w:rPr>
          <w:rFonts w:ascii="times new roman;times" w:hAnsi="times new roman;times"/>
          <w:sz w:val="20"/>
        </w:rPr>
      </w:pPr>
      <w:r>
        <w:rPr>
          <w:rFonts w:ascii="times new roman;times" w:hAnsi="times new roman;times"/>
          <w:sz w:val="20"/>
        </w:rPr>
        <w:t>investor_relations@clearone.com</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http://investors.clearone.com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1417</Words>
  <Characters>7578</Characters>
  <CharactersWithSpaces>9035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