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162"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FORM 8-K</w:t>
      </w:r>
    </w:p>
    <w:p>
      <w:pPr>
        <w:spacing w:after="0" w:line="185"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CURRENT REPORT</w:t>
      </w:r>
    </w:p>
    <w:p>
      <w:pPr>
        <w:spacing w:after="0" w:line="22"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Pursuant to Section 13 OR 15(d) of the Securities Exchange Act of 1934</w:t>
      </w:r>
    </w:p>
    <w:p>
      <w:pPr>
        <w:spacing w:after="0" w:line="200" w:lineRule="exact"/>
        <w:rPr>
          <w:sz w:val="24"/>
          <w:szCs w:val="24"/>
          <w:color w:val="auto"/>
        </w:rPr>
      </w:pPr>
    </w:p>
    <w:p>
      <w:pPr>
        <w:spacing w:after="0" w:line="215" w:lineRule="exact"/>
        <w:rPr>
          <w:sz w:val="24"/>
          <w:szCs w:val="24"/>
          <w:color w:val="auto"/>
        </w:rPr>
      </w:pPr>
    </w:p>
    <w:tbl>
      <w:tblPr>
        <w:tblLayout w:type="fixed"/>
        <w:tblInd w:w="380" w:type="dxa"/>
        <w:tblCellMar>
          <w:top w:w="0" w:type="dxa"/>
          <w:left w:w="0" w:type="dxa"/>
          <w:bottom w:w="0" w:type="dxa"/>
          <w:right w:w="0" w:type="dxa"/>
        </w:tblCellMar>
      </w:tblPr>
      <w:tr>
        <w:trPr>
          <w:trHeight w:val="207"/>
        </w:trPr>
        <w:tc>
          <w:tcPr>
            <w:tcW w:w="72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4900" w:type="dxa"/>
            <w:vAlign w:val="bottom"/>
            <w:gridSpan w:val="10"/>
          </w:tcPr>
          <w:p>
            <w:pPr>
              <w:jc w:val="center"/>
              <w:ind w:left="70"/>
              <w:spacing w:after="0"/>
              <w:rPr>
                <w:sz w:val="20"/>
                <w:szCs w:val="20"/>
                <w:color w:val="auto"/>
              </w:rPr>
            </w:pPr>
            <w:r>
              <w:rPr>
                <w:rFonts w:ascii="Arial" w:cs="Arial" w:eastAsia="Arial" w:hAnsi="Arial"/>
                <w:sz w:val="18"/>
                <w:szCs w:val="18"/>
                <w:color w:val="auto"/>
                <w:w w:val="90"/>
              </w:rPr>
              <w:t xml:space="preserve">Date of report (Date of earliest event reported): </w:t>
            </w:r>
            <w:r>
              <w:rPr>
                <w:rFonts w:ascii="Arial" w:cs="Arial" w:eastAsia="Arial" w:hAnsi="Arial"/>
                <w:sz w:val="18"/>
                <w:szCs w:val="18"/>
                <w:b w:val="1"/>
                <w:bCs w:val="1"/>
                <w:color w:val="auto"/>
                <w:w w:val="90"/>
              </w:rPr>
              <w:t>July 29, 2015</w:t>
            </w:r>
          </w:p>
        </w:tc>
        <w:tc>
          <w:tcPr>
            <w:tcW w:w="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588"/>
        </w:trPr>
        <w:tc>
          <w:tcPr>
            <w:tcW w:w="72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160" w:type="dxa"/>
            <w:vAlign w:val="bottom"/>
            <w:tcBorders>
              <w:bottom w:val="single" w:sz="8" w:color="auto"/>
            </w:tcBorders>
            <w:gridSpan w:val="3"/>
          </w:tcPr>
          <w:p>
            <w:pPr>
              <w:jc w:val="center"/>
              <w:ind w:right="20"/>
              <w:spacing w:after="0"/>
              <w:rPr>
                <w:sz w:val="20"/>
                <w:szCs w:val="20"/>
                <w:color w:val="auto"/>
              </w:rPr>
            </w:pPr>
            <w:r>
              <w:rPr>
                <w:rFonts w:ascii="Arial" w:cs="Arial" w:eastAsia="Arial" w:hAnsi="Arial"/>
                <w:sz w:val="18"/>
                <w:szCs w:val="18"/>
                <w:b w:val="1"/>
                <w:bCs w:val="1"/>
                <w:color w:val="auto"/>
                <w:w w:val="94"/>
              </w:rPr>
              <w:t>ClearOne, Inc.</w:t>
            </w:r>
          </w:p>
        </w:tc>
        <w:tc>
          <w:tcPr>
            <w:tcW w:w="640" w:type="dxa"/>
            <w:vAlign w:val="bottom"/>
          </w:tcPr>
          <w:p>
            <w:pPr>
              <w:spacing w:after="0"/>
              <w:rPr>
                <w:sz w:val="24"/>
                <w:szCs w:val="24"/>
                <w:color w:val="auto"/>
              </w:rPr>
            </w:pPr>
          </w:p>
        </w:tc>
        <w:tc>
          <w:tcPr>
            <w:tcW w:w="1000" w:type="dxa"/>
            <w:vAlign w:val="bottom"/>
            <w:tcBorders>
              <w:top w:val="single" w:sz="8" w:color="auto"/>
            </w:tcBorders>
            <w:gridSpan w:val="2"/>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237"/>
        </w:trPr>
        <w:tc>
          <w:tcPr>
            <w:tcW w:w="72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4900" w:type="dxa"/>
            <w:vAlign w:val="bottom"/>
            <w:gridSpan w:val="10"/>
          </w:tcPr>
          <w:p>
            <w:pPr>
              <w:jc w:val="center"/>
              <w:ind w:left="90"/>
              <w:spacing w:after="0"/>
              <w:rPr>
                <w:sz w:val="20"/>
                <w:szCs w:val="20"/>
                <w:color w:val="auto"/>
              </w:rPr>
            </w:pPr>
            <w:r>
              <w:rPr>
                <w:rFonts w:ascii="Arial" w:cs="Arial" w:eastAsia="Arial" w:hAnsi="Arial"/>
                <w:sz w:val="18"/>
                <w:szCs w:val="18"/>
                <w:color w:val="auto"/>
                <w:w w:val="90"/>
              </w:rPr>
              <w:t>(Exact name of registrant as specified in its charter)</w:t>
            </w:r>
          </w:p>
        </w:tc>
        <w:tc>
          <w:tcPr>
            <w:tcW w:w="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740" w:type="dxa"/>
            <w:vAlign w:val="bottom"/>
          </w:tcPr>
          <w:p>
            <w:pPr>
              <w:spacing w:after="0"/>
              <w:rPr>
                <w:sz w:val="20"/>
                <w:szCs w:val="20"/>
                <w:color w:val="auto"/>
              </w:rPr>
            </w:pPr>
          </w:p>
        </w:tc>
      </w:tr>
      <w:tr>
        <w:trPr>
          <w:trHeight w:val="810"/>
        </w:trPr>
        <w:tc>
          <w:tcPr>
            <w:tcW w:w="720" w:type="dxa"/>
            <w:vAlign w:val="bottom"/>
          </w:tcPr>
          <w:p>
            <w:pPr>
              <w:spacing w:after="0"/>
              <w:rPr>
                <w:sz w:val="24"/>
                <w:szCs w:val="24"/>
                <w:color w:val="auto"/>
              </w:rPr>
            </w:pPr>
          </w:p>
        </w:tc>
        <w:tc>
          <w:tcPr>
            <w:tcW w:w="2080" w:type="dxa"/>
            <w:vAlign w:val="bottom"/>
          </w:tcPr>
          <w:p>
            <w:pPr>
              <w:jc w:val="center"/>
              <w:ind w:left="10"/>
              <w:spacing w:after="0"/>
              <w:rPr>
                <w:sz w:val="20"/>
                <w:szCs w:val="20"/>
                <w:color w:val="auto"/>
              </w:rPr>
            </w:pPr>
            <w:r>
              <w:rPr>
                <w:rFonts w:ascii="Arial" w:cs="Arial" w:eastAsia="Arial" w:hAnsi="Arial"/>
                <w:sz w:val="18"/>
                <w:szCs w:val="18"/>
                <w:b w:val="1"/>
                <w:bCs w:val="1"/>
                <w:color w:val="auto"/>
                <w:w w:val="94"/>
              </w:rPr>
              <w:t>Utah</w:t>
            </w:r>
          </w:p>
        </w:tc>
        <w:tc>
          <w:tcPr>
            <w:tcW w:w="3760" w:type="dxa"/>
            <w:vAlign w:val="bottom"/>
            <w:gridSpan w:val="7"/>
          </w:tcPr>
          <w:p>
            <w:pPr>
              <w:jc w:val="center"/>
              <w:ind w:left="1770"/>
              <w:spacing w:after="0"/>
              <w:rPr>
                <w:sz w:val="20"/>
                <w:szCs w:val="20"/>
                <w:color w:val="auto"/>
              </w:rPr>
            </w:pPr>
            <w:r>
              <w:rPr>
                <w:rFonts w:ascii="Arial" w:cs="Arial" w:eastAsia="Arial" w:hAnsi="Arial"/>
                <w:sz w:val="18"/>
                <w:szCs w:val="18"/>
                <w:b w:val="1"/>
                <w:bCs w:val="1"/>
                <w:color w:val="auto"/>
                <w:w w:val="90"/>
              </w:rPr>
              <w:t>001-33660</w:t>
            </w: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40" w:type="dxa"/>
            <w:vAlign w:val="bottom"/>
            <w:gridSpan w:val="3"/>
          </w:tcPr>
          <w:p>
            <w:pPr>
              <w:jc w:val="right"/>
              <w:ind w:right="230"/>
              <w:spacing w:after="0"/>
              <w:rPr>
                <w:sz w:val="20"/>
                <w:szCs w:val="20"/>
                <w:color w:val="auto"/>
              </w:rPr>
            </w:pPr>
            <w:r>
              <w:rPr>
                <w:rFonts w:ascii="Arial" w:cs="Arial" w:eastAsia="Arial" w:hAnsi="Arial"/>
                <w:sz w:val="18"/>
                <w:szCs w:val="18"/>
                <w:b w:val="1"/>
                <w:bCs w:val="1"/>
                <w:color w:val="auto"/>
              </w:rPr>
              <w:t>87-0398877</w:t>
            </w:r>
          </w:p>
        </w:tc>
        <w:tc>
          <w:tcPr>
            <w:tcW w:w="740" w:type="dxa"/>
            <w:vAlign w:val="bottom"/>
          </w:tcPr>
          <w:p>
            <w:pPr>
              <w:spacing w:after="0"/>
              <w:rPr>
                <w:sz w:val="24"/>
                <w:szCs w:val="24"/>
                <w:color w:val="auto"/>
              </w:rPr>
            </w:pPr>
          </w:p>
        </w:tc>
      </w:tr>
      <w:tr>
        <w:trPr>
          <w:trHeight w:val="27"/>
        </w:trPr>
        <w:tc>
          <w:tcPr>
            <w:tcW w:w="72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22"/>
        </w:trPr>
        <w:tc>
          <w:tcPr>
            <w:tcW w:w="720" w:type="dxa"/>
            <w:vAlign w:val="bottom"/>
          </w:tcPr>
          <w:p>
            <w:pPr>
              <w:spacing w:after="0"/>
              <w:rPr>
                <w:sz w:val="19"/>
                <w:szCs w:val="19"/>
                <w:color w:val="auto"/>
              </w:rPr>
            </w:pPr>
          </w:p>
        </w:tc>
        <w:tc>
          <w:tcPr>
            <w:tcW w:w="2080" w:type="dxa"/>
            <w:vAlign w:val="bottom"/>
          </w:tcPr>
          <w:p>
            <w:pPr>
              <w:jc w:val="center"/>
              <w:ind w:left="30"/>
              <w:spacing w:after="0"/>
              <w:rPr>
                <w:sz w:val="20"/>
                <w:szCs w:val="20"/>
                <w:color w:val="auto"/>
              </w:rPr>
            </w:pPr>
            <w:r>
              <w:rPr>
                <w:rFonts w:ascii="Arial" w:cs="Arial" w:eastAsia="Arial" w:hAnsi="Arial"/>
                <w:sz w:val="18"/>
                <w:szCs w:val="18"/>
                <w:color w:val="auto"/>
                <w:w w:val="91"/>
              </w:rPr>
              <w:t>(State or Other Jurisdiction</w:t>
            </w:r>
          </w:p>
        </w:tc>
        <w:tc>
          <w:tcPr>
            <w:tcW w:w="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920" w:type="dxa"/>
            <w:vAlign w:val="bottom"/>
            <w:gridSpan w:val="6"/>
          </w:tcPr>
          <w:p>
            <w:pPr>
              <w:jc w:val="center"/>
              <w:ind w:right="1240"/>
              <w:spacing w:after="0"/>
              <w:rPr>
                <w:sz w:val="20"/>
                <w:szCs w:val="20"/>
                <w:color w:val="auto"/>
              </w:rPr>
            </w:pPr>
            <w:r>
              <w:rPr>
                <w:rFonts w:ascii="Arial" w:cs="Arial" w:eastAsia="Arial" w:hAnsi="Arial"/>
                <w:sz w:val="18"/>
                <w:szCs w:val="18"/>
                <w:color w:val="auto"/>
                <w:w w:val="91"/>
              </w:rPr>
              <w:t>(Commission</w:t>
            </w:r>
          </w:p>
        </w:tc>
        <w:tc>
          <w:tcPr>
            <w:tcW w:w="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740" w:type="dxa"/>
            <w:vAlign w:val="bottom"/>
          </w:tcPr>
          <w:p>
            <w:pPr>
              <w:spacing w:after="0"/>
              <w:rPr>
                <w:sz w:val="19"/>
                <w:szCs w:val="19"/>
                <w:color w:val="auto"/>
              </w:rPr>
            </w:pPr>
          </w:p>
        </w:tc>
      </w:tr>
      <w:tr>
        <w:trPr>
          <w:trHeight w:val="230"/>
        </w:trPr>
        <w:tc>
          <w:tcPr>
            <w:tcW w:w="720" w:type="dxa"/>
            <w:vAlign w:val="bottom"/>
          </w:tcPr>
          <w:p>
            <w:pPr>
              <w:spacing w:after="0"/>
              <w:rPr>
                <w:sz w:val="20"/>
                <w:szCs w:val="20"/>
                <w:color w:val="auto"/>
              </w:rPr>
            </w:pPr>
          </w:p>
        </w:tc>
        <w:tc>
          <w:tcPr>
            <w:tcW w:w="2080" w:type="dxa"/>
            <w:vAlign w:val="bottom"/>
          </w:tcPr>
          <w:p>
            <w:pPr>
              <w:jc w:val="center"/>
              <w:ind w:left="30"/>
              <w:spacing w:after="0"/>
              <w:rPr>
                <w:sz w:val="20"/>
                <w:szCs w:val="20"/>
                <w:color w:val="auto"/>
              </w:rPr>
            </w:pPr>
            <w:r>
              <w:rPr>
                <w:rFonts w:ascii="Arial" w:cs="Arial" w:eastAsia="Arial" w:hAnsi="Arial"/>
                <w:sz w:val="18"/>
                <w:szCs w:val="18"/>
                <w:color w:val="auto"/>
                <w:w w:val="94"/>
              </w:rPr>
              <w:t>of Incorporation)</w:t>
            </w:r>
          </w:p>
        </w:tc>
        <w:tc>
          <w:tcPr>
            <w:tcW w:w="8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920" w:type="dxa"/>
            <w:vAlign w:val="bottom"/>
            <w:gridSpan w:val="6"/>
          </w:tcPr>
          <w:p>
            <w:pPr>
              <w:jc w:val="center"/>
              <w:ind w:right="1220"/>
              <w:spacing w:after="0"/>
              <w:rPr>
                <w:sz w:val="20"/>
                <w:szCs w:val="20"/>
                <w:color w:val="auto"/>
              </w:rPr>
            </w:pPr>
            <w:r>
              <w:rPr>
                <w:rFonts w:ascii="Arial" w:cs="Arial" w:eastAsia="Arial" w:hAnsi="Arial"/>
                <w:sz w:val="18"/>
                <w:szCs w:val="18"/>
                <w:color w:val="auto"/>
                <w:w w:val="94"/>
              </w:rPr>
              <w:t>File Number)</w:t>
            </w:r>
          </w:p>
        </w:tc>
        <w:tc>
          <w:tcPr>
            <w:tcW w:w="40" w:type="dxa"/>
            <w:vAlign w:val="bottom"/>
          </w:tcPr>
          <w:p>
            <w:pPr>
              <w:spacing w:after="0"/>
              <w:rPr>
                <w:sz w:val="20"/>
                <w:szCs w:val="20"/>
                <w:color w:val="auto"/>
              </w:rPr>
            </w:pPr>
          </w:p>
        </w:tc>
        <w:tc>
          <w:tcPr>
            <w:tcW w:w="2940" w:type="dxa"/>
            <w:vAlign w:val="bottom"/>
            <w:gridSpan w:val="3"/>
          </w:tcPr>
          <w:p>
            <w:pPr>
              <w:jc w:val="center"/>
              <w:ind w:right="40"/>
              <w:spacing w:after="0"/>
              <w:rPr>
                <w:sz w:val="20"/>
                <w:szCs w:val="20"/>
                <w:color w:val="auto"/>
              </w:rPr>
            </w:pPr>
            <w:r>
              <w:rPr>
                <w:rFonts w:ascii="Arial" w:cs="Arial" w:eastAsia="Arial" w:hAnsi="Arial"/>
                <w:sz w:val="18"/>
                <w:szCs w:val="18"/>
                <w:color w:val="auto"/>
                <w:w w:val="94"/>
              </w:rPr>
              <w:t>(I.R.S. Employer Identification No.)</w:t>
            </w:r>
          </w:p>
        </w:tc>
      </w:tr>
      <w:tr>
        <w:trPr>
          <w:trHeight w:val="1053"/>
        </w:trPr>
        <w:tc>
          <w:tcPr>
            <w:tcW w:w="720" w:type="dxa"/>
            <w:vAlign w:val="bottom"/>
          </w:tcPr>
          <w:p>
            <w:pPr>
              <w:spacing w:after="0"/>
              <w:rPr>
                <w:sz w:val="24"/>
                <w:szCs w:val="24"/>
                <w:color w:val="auto"/>
              </w:rPr>
            </w:pPr>
          </w:p>
        </w:tc>
        <w:tc>
          <w:tcPr>
            <w:tcW w:w="6980" w:type="dxa"/>
            <w:vAlign w:val="bottom"/>
            <w:gridSpan w:val="11"/>
          </w:tcPr>
          <w:p>
            <w:pPr>
              <w:jc w:val="center"/>
              <w:spacing w:after="0"/>
              <w:rPr>
                <w:sz w:val="20"/>
                <w:szCs w:val="20"/>
                <w:color w:val="auto"/>
              </w:rPr>
            </w:pPr>
            <w:r>
              <w:rPr>
                <w:rFonts w:ascii="Arial" w:cs="Arial" w:eastAsia="Arial" w:hAnsi="Arial"/>
                <w:sz w:val="18"/>
                <w:szCs w:val="18"/>
                <w:b w:val="1"/>
                <w:bCs w:val="1"/>
                <w:color w:val="auto"/>
                <w:w w:val="91"/>
              </w:rPr>
              <w:t>5225 Wiley Post Way, Suite 500, Salt Lake City, Utah</w:t>
            </w:r>
          </w:p>
        </w:tc>
        <w:tc>
          <w:tcPr>
            <w:tcW w:w="2240" w:type="dxa"/>
            <w:vAlign w:val="bottom"/>
            <w:gridSpan w:val="3"/>
          </w:tcPr>
          <w:p>
            <w:pPr>
              <w:jc w:val="right"/>
              <w:ind w:right="610"/>
              <w:spacing w:after="0"/>
              <w:rPr>
                <w:sz w:val="20"/>
                <w:szCs w:val="20"/>
                <w:color w:val="auto"/>
              </w:rPr>
            </w:pPr>
            <w:r>
              <w:rPr>
                <w:rFonts w:ascii="Arial" w:cs="Arial" w:eastAsia="Arial" w:hAnsi="Arial"/>
                <w:sz w:val="18"/>
                <w:szCs w:val="18"/>
                <w:b w:val="1"/>
                <w:bCs w:val="1"/>
                <w:color w:val="auto"/>
              </w:rPr>
              <w:t>84116</w:t>
            </w:r>
          </w:p>
        </w:tc>
        <w:tc>
          <w:tcPr>
            <w:tcW w:w="740" w:type="dxa"/>
            <w:vAlign w:val="bottom"/>
          </w:tcPr>
          <w:p>
            <w:pPr>
              <w:spacing w:after="0"/>
              <w:rPr>
                <w:sz w:val="24"/>
                <w:szCs w:val="24"/>
                <w:color w:val="auto"/>
              </w:rPr>
            </w:pPr>
          </w:p>
        </w:tc>
      </w:tr>
      <w:tr>
        <w:trPr>
          <w:trHeight w:val="27"/>
        </w:trPr>
        <w:tc>
          <w:tcPr>
            <w:tcW w:w="720" w:type="dxa"/>
            <w:vAlign w:val="bottom"/>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gridSpan w:val="3"/>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60" w:type="dxa"/>
            <w:vAlign w:val="bottom"/>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740" w:type="dxa"/>
            <w:vAlign w:val="bottom"/>
          </w:tcPr>
          <w:p>
            <w:pPr>
              <w:spacing w:after="0"/>
              <w:rPr>
                <w:sz w:val="2"/>
                <w:szCs w:val="2"/>
                <w:color w:val="auto"/>
              </w:rPr>
            </w:pPr>
          </w:p>
        </w:tc>
      </w:tr>
      <w:tr>
        <w:trPr>
          <w:trHeight w:val="237"/>
        </w:trPr>
        <w:tc>
          <w:tcPr>
            <w:tcW w:w="72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4900" w:type="dxa"/>
            <w:vAlign w:val="bottom"/>
            <w:gridSpan w:val="10"/>
          </w:tcPr>
          <w:p>
            <w:pPr>
              <w:jc w:val="center"/>
              <w:ind w:right="2040"/>
              <w:spacing w:after="0"/>
              <w:rPr>
                <w:sz w:val="20"/>
                <w:szCs w:val="20"/>
                <w:color w:val="auto"/>
              </w:rPr>
            </w:pPr>
            <w:r>
              <w:rPr>
                <w:rFonts w:ascii="Arial" w:cs="Arial" w:eastAsia="Arial" w:hAnsi="Arial"/>
                <w:sz w:val="18"/>
                <w:szCs w:val="18"/>
                <w:color w:val="auto"/>
                <w:w w:val="92"/>
              </w:rPr>
              <w:t>(Address of principal executive offices)</w:t>
            </w:r>
          </w:p>
        </w:tc>
        <w:tc>
          <w:tcPr>
            <w:tcW w:w="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580" w:type="dxa"/>
            <w:vAlign w:val="bottom"/>
            <w:gridSpan w:val="2"/>
          </w:tcPr>
          <w:p>
            <w:pPr>
              <w:jc w:val="center"/>
              <w:ind w:right="720"/>
              <w:spacing w:after="0"/>
              <w:rPr>
                <w:sz w:val="20"/>
                <w:szCs w:val="20"/>
                <w:color w:val="auto"/>
              </w:rPr>
            </w:pPr>
            <w:r>
              <w:rPr>
                <w:rFonts w:ascii="Arial" w:cs="Arial" w:eastAsia="Arial" w:hAnsi="Arial"/>
                <w:sz w:val="18"/>
                <w:szCs w:val="18"/>
                <w:color w:val="auto"/>
                <w:w w:val="91"/>
              </w:rPr>
              <w:t>(Zip Code)</w:t>
            </w:r>
          </w:p>
        </w:tc>
      </w:tr>
      <w:tr>
        <w:trPr>
          <w:trHeight w:val="635"/>
        </w:trPr>
        <w:tc>
          <w:tcPr>
            <w:tcW w:w="72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3100" w:type="dxa"/>
            <w:vAlign w:val="bottom"/>
            <w:gridSpan w:val="5"/>
          </w:tcPr>
          <w:p>
            <w:pPr>
              <w:jc w:val="center"/>
              <w:ind w:left="1890"/>
              <w:spacing w:after="0"/>
              <w:rPr>
                <w:sz w:val="20"/>
                <w:szCs w:val="20"/>
                <w:color w:val="auto"/>
              </w:rPr>
            </w:pPr>
            <w:r>
              <w:rPr>
                <w:rFonts w:ascii="Arial" w:cs="Arial" w:eastAsia="Arial" w:hAnsi="Arial"/>
                <w:sz w:val="18"/>
                <w:szCs w:val="18"/>
                <w:b w:val="1"/>
                <w:bCs w:val="1"/>
                <w:color w:val="auto"/>
                <w:w w:val="90"/>
              </w:rPr>
              <w:t>(801) 975-7200</w:t>
            </w: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20"/>
        </w:trPr>
        <w:tc>
          <w:tcPr>
            <w:tcW w:w="7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980" w:type="dxa"/>
            <w:vAlign w:val="bottom"/>
            <w:gridSpan w:val="4"/>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80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237"/>
        </w:trPr>
        <w:tc>
          <w:tcPr>
            <w:tcW w:w="72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4900" w:type="dxa"/>
            <w:vAlign w:val="bottom"/>
            <w:gridSpan w:val="10"/>
          </w:tcPr>
          <w:p>
            <w:pPr>
              <w:jc w:val="center"/>
              <w:ind w:left="70"/>
              <w:spacing w:after="0"/>
              <w:rPr>
                <w:sz w:val="20"/>
                <w:szCs w:val="20"/>
                <w:color w:val="auto"/>
              </w:rPr>
            </w:pPr>
            <w:r>
              <w:rPr>
                <w:rFonts w:ascii="Arial" w:cs="Arial" w:eastAsia="Arial" w:hAnsi="Arial"/>
                <w:sz w:val="18"/>
                <w:szCs w:val="18"/>
                <w:color w:val="auto"/>
                <w:w w:val="90"/>
              </w:rPr>
              <w:t>(Registrant’s telephone number, including area code)</w:t>
            </w:r>
          </w:p>
        </w:tc>
        <w:tc>
          <w:tcPr>
            <w:tcW w:w="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740" w:type="dxa"/>
            <w:vAlign w:val="bottom"/>
          </w:tcPr>
          <w:p>
            <w:pPr>
              <w:spacing w:after="0"/>
              <w:rPr>
                <w:sz w:val="20"/>
                <w:szCs w:val="20"/>
                <w:color w:val="auto"/>
              </w:rPr>
            </w:pPr>
          </w:p>
        </w:tc>
      </w:tr>
    </w:tbl>
    <w:p>
      <w:pPr>
        <w:spacing w:after="0" w:line="19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Not applicable</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346"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140" w:type="dxa"/>
            <w:vAlign w:val="bottom"/>
          </w:tcPr>
          <w:p>
            <w:pPr>
              <w:jc w:val="right"/>
              <w:spacing w:after="0"/>
              <w:rPr>
                <w:sz w:val="20"/>
                <w:szCs w:val="20"/>
                <w:color w:val="auto"/>
              </w:rPr>
            </w:pPr>
            <w:r>
              <w:rPr>
                <w:rFonts w:ascii="Arial" w:cs="Arial" w:eastAsia="Arial" w:hAnsi="Arial"/>
                <w:sz w:val="18"/>
                <w:szCs w:val="18"/>
                <w:color w:val="auto"/>
                <w:w w:val="78"/>
              </w:rPr>
              <w:t>[</w:t>
            </w:r>
          </w:p>
        </w:tc>
        <w:tc>
          <w:tcPr>
            <w:tcW w:w="8300" w:type="dxa"/>
            <w:vAlign w:val="bottom"/>
            <w:gridSpan w:val="2"/>
          </w:tcPr>
          <w:p>
            <w:pPr>
              <w:ind w:left="60"/>
              <w:spacing w:after="0"/>
              <w:rPr>
                <w:sz w:val="20"/>
                <w:szCs w:val="20"/>
                <w:color w:val="auto"/>
              </w:rPr>
            </w:pPr>
            <w:r>
              <w:rPr>
                <w:rFonts w:ascii="Arial" w:cs="Arial" w:eastAsia="Arial" w:hAnsi="Arial"/>
                <w:sz w:val="18"/>
                <w:szCs w:val="18"/>
                <w:color w:val="auto"/>
              </w:rPr>
              <w:t>] Written communications pursuant to Rule 425 under the Securities Act (17 CFR 230.425)</w:t>
            </w:r>
          </w:p>
        </w:tc>
      </w:tr>
      <w:tr>
        <w:trPr>
          <w:trHeight w:val="324"/>
        </w:trPr>
        <w:tc>
          <w:tcPr>
            <w:tcW w:w="140" w:type="dxa"/>
            <w:vAlign w:val="bottom"/>
          </w:tcPr>
          <w:p>
            <w:pPr>
              <w:jc w:val="right"/>
              <w:spacing w:after="0"/>
              <w:rPr>
                <w:sz w:val="20"/>
                <w:szCs w:val="20"/>
                <w:color w:val="auto"/>
              </w:rPr>
            </w:pPr>
            <w:r>
              <w:rPr>
                <w:rFonts w:ascii="Arial" w:cs="Arial" w:eastAsia="Arial" w:hAnsi="Arial"/>
                <w:sz w:val="18"/>
                <w:szCs w:val="18"/>
                <w:color w:val="auto"/>
                <w:w w:val="78"/>
              </w:rPr>
              <w:t>[</w:t>
            </w:r>
          </w:p>
        </w:tc>
        <w:tc>
          <w:tcPr>
            <w:tcW w:w="160" w:type="dxa"/>
            <w:vAlign w:val="bottom"/>
          </w:tcPr>
          <w:p>
            <w:pPr>
              <w:ind w:left="60"/>
              <w:spacing w:after="0"/>
              <w:rPr>
                <w:sz w:val="20"/>
                <w:szCs w:val="20"/>
                <w:color w:val="auto"/>
              </w:rPr>
            </w:pPr>
            <w:r>
              <w:rPr>
                <w:rFonts w:ascii="Arial" w:cs="Arial" w:eastAsia="Arial" w:hAnsi="Arial"/>
                <w:sz w:val="18"/>
                <w:szCs w:val="18"/>
                <w:color w:val="auto"/>
              </w:rPr>
              <w:t>]</w:t>
            </w:r>
          </w:p>
        </w:tc>
        <w:tc>
          <w:tcPr>
            <w:tcW w:w="8140" w:type="dxa"/>
            <w:vAlign w:val="bottom"/>
          </w:tcPr>
          <w:p>
            <w:pPr>
              <w:ind w:left="60"/>
              <w:spacing w:after="0"/>
              <w:rPr>
                <w:sz w:val="20"/>
                <w:szCs w:val="20"/>
                <w:color w:val="auto"/>
              </w:rPr>
            </w:pPr>
            <w:r>
              <w:rPr>
                <w:rFonts w:ascii="Arial" w:cs="Arial" w:eastAsia="Arial" w:hAnsi="Arial"/>
                <w:sz w:val="18"/>
                <w:szCs w:val="18"/>
                <w:color w:val="auto"/>
              </w:rPr>
              <w:t>Soliciting material pursuant to Rule 14a-12 under the Exchange Act (17 CFR 240.14a-12)</w:t>
            </w:r>
          </w:p>
        </w:tc>
      </w:tr>
      <w:tr>
        <w:trPr>
          <w:trHeight w:val="324"/>
        </w:trPr>
        <w:tc>
          <w:tcPr>
            <w:tcW w:w="140" w:type="dxa"/>
            <w:vAlign w:val="bottom"/>
          </w:tcPr>
          <w:p>
            <w:pPr>
              <w:jc w:val="right"/>
              <w:spacing w:after="0"/>
              <w:rPr>
                <w:sz w:val="20"/>
                <w:szCs w:val="20"/>
                <w:color w:val="auto"/>
              </w:rPr>
            </w:pPr>
            <w:r>
              <w:rPr>
                <w:rFonts w:ascii="Arial" w:cs="Arial" w:eastAsia="Arial" w:hAnsi="Arial"/>
                <w:sz w:val="18"/>
                <w:szCs w:val="18"/>
                <w:color w:val="auto"/>
                <w:w w:val="78"/>
              </w:rPr>
              <w:t>[</w:t>
            </w:r>
          </w:p>
        </w:tc>
        <w:tc>
          <w:tcPr>
            <w:tcW w:w="8300" w:type="dxa"/>
            <w:vAlign w:val="bottom"/>
            <w:gridSpan w:val="2"/>
          </w:tcPr>
          <w:p>
            <w:pPr>
              <w:ind w:left="60"/>
              <w:spacing w:after="0"/>
              <w:rPr>
                <w:sz w:val="20"/>
                <w:szCs w:val="20"/>
                <w:color w:val="auto"/>
              </w:rPr>
            </w:pPr>
            <w:r>
              <w:rPr>
                <w:rFonts w:ascii="Arial" w:cs="Arial" w:eastAsia="Arial" w:hAnsi="Arial"/>
                <w:sz w:val="18"/>
                <w:szCs w:val="18"/>
                <w:color w:val="auto"/>
                <w:w w:val="91"/>
              </w:rPr>
              <w:t>] Pre-commencement communications pursuant to Rule 14d-2(b) under the Exchange Act (17 CFR 240.14d-2(b))</w:t>
            </w:r>
          </w:p>
        </w:tc>
      </w:tr>
      <w:tr>
        <w:trPr>
          <w:trHeight w:val="324"/>
        </w:trPr>
        <w:tc>
          <w:tcPr>
            <w:tcW w:w="140" w:type="dxa"/>
            <w:vAlign w:val="bottom"/>
          </w:tcPr>
          <w:p>
            <w:pPr>
              <w:jc w:val="right"/>
              <w:spacing w:after="0"/>
              <w:rPr>
                <w:sz w:val="20"/>
                <w:szCs w:val="20"/>
                <w:color w:val="auto"/>
              </w:rPr>
            </w:pPr>
            <w:r>
              <w:rPr>
                <w:rFonts w:ascii="Arial" w:cs="Arial" w:eastAsia="Arial" w:hAnsi="Arial"/>
                <w:sz w:val="18"/>
                <w:szCs w:val="18"/>
                <w:color w:val="auto"/>
                <w:w w:val="78"/>
              </w:rPr>
              <w:t>[</w:t>
            </w:r>
          </w:p>
        </w:tc>
        <w:tc>
          <w:tcPr>
            <w:tcW w:w="160" w:type="dxa"/>
            <w:vAlign w:val="bottom"/>
          </w:tcPr>
          <w:p>
            <w:pPr>
              <w:ind w:left="60"/>
              <w:spacing w:after="0"/>
              <w:rPr>
                <w:sz w:val="20"/>
                <w:szCs w:val="20"/>
                <w:color w:val="auto"/>
              </w:rPr>
            </w:pPr>
            <w:r>
              <w:rPr>
                <w:rFonts w:ascii="Arial" w:cs="Arial" w:eastAsia="Arial" w:hAnsi="Arial"/>
                <w:sz w:val="18"/>
                <w:szCs w:val="18"/>
                <w:color w:val="auto"/>
              </w:rPr>
              <w:t>]</w:t>
            </w:r>
          </w:p>
        </w:tc>
        <w:tc>
          <w:tcPr>
            <w:tcW w:w="8140" w:type="dxa"/>
            <w:vAlign w:val="bottom"/>
          </w:tcPr>
          <w:p>
            <w:pPr>
              <w:ind w:left="60"/>
              <w:spacing w:after="0"/>
              <w:rPr>
                <w:sz w:val="20"/>
                <w:szCs w:val="20"/>
                <w:color w:val="auto"/>
              </w:rPr>
            </w:pPr>
            <w:r>
              <w:rPr>
                <w:rFonts w:ascii="Arial" w:cs="Arial" w:eastAsia="Arial" w:hAnsi="Arial"/>
                <w:sz w:val="18"/>
                <w:szCs w:val="18"/>
                <w:color w:val="auto"/>
                <w:w w:val="91"/>
              </w:rPr>
              <w:t>Pre-commencement communication pursuant to Rule 13e-4(c) under the Exchange Act (17 CFR 240.13e-4(c))</w:t>
            </w:r>
          </w:p>
        </w:tc>
      </w:tr>
    </w:tbl>
    <w:p>
      <w:pPr>
        <w:sectPr>
          <w:pgSz w:w="11900" w:h="16838" w:orient="portrait"/>
          <w:cols w:equalWidth="0" w:num="1">
            <w:col w:w="11400"/>
          </w:cols>
          <w:pgMar w:left="240" w:top="688" w:right="25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5.07 Submission of Matters to a Vote of Security Holders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July 29, 2015, ClearOne, Inc. held its 2015 Annual Meeting of Shareholders at which ClearOne’s shareholders voted on the three proposals listed below. The final voting results with respect to each proposal are also set forth below. As of June 26, 2015, the record date for the meeting, there were 9,125,287 shares of common stock were issued and outstanding.</w:t>
      </w:r>
    </w:p>
    <w:p>
      <w:pPr>
        <w:spacing w:after="0" w:line="181" w:lineRule="exact"/>
        <w:rPr>
          <w:sz w:val="20"/>
          <w:szCs w:val="20"/>
          <w:color w:val="auto"/>
        </w:rPr>
      </w:pPr>
    </w:p>
    <w:p>
      <w:pPr>
        <w:ind w:left="320" w:right="320" w:hanging="312"/>
        <w:spacing w:after="0" w:line="277" w:lineRule="auto"/>
        <w:tabs>
          <w:tab w:leader="none" w:pos="320" w:val="left"/>
        </w:tabs>
        <w:numPr>
          <w:ilvl w:val="0"/>
          <w:numId w:val="1"/>
        </w:numPr>
        <w:rPr>
          <w:rFonts w:ascii="Arial" w:cs="Arial" w:eastAsia="Arial" w:hAnsi="Arial"/>
          <w:sz w:val="18"/>
          <w:szCs w:val="18"/>
          <w:color w:val="auto"/>
        </w:rPr>
      </w:pPr>
      <w:r>
        <w:rPr>
          <w:rFonts w:ascii="Arial" w:cs="Arial" w:eastAsia="Arial" w:hAnsi="Arial"/>
          <w:sz w:val="18"/>
          <w:szCs w:val="18"/>
          <w:color w:val="auto"/>
        </w:rPr>
        <w:t>Election of Directors: All four directors were re-elected to serve a term expiring at the 2016 Annual Meeting of Shareholders of the Company. Eric L. Robinson was elected to serve his first term expiring at the 2016 Annual Meeting of Shareholders of the Company.</w:t>
      </w:r>
    </w:p>
    <w:p>
      <w:pPr>
        <w:spacing w:after="0" w:line="302" w:lineRule="exact"/>
        <w:rPr>
          <w:sz w:val="20"/>
          <w:szCs w:val="20"/>
          <w:color w:val="auto"/>
        </w:rPr>
      </w:pPr>
    </w:p>
    <w:tbl>
      <w:tblPr>
        <w:tblLayout w:type="fixed"/>
        <w:tblInd w:w="320" w:type="dxa"/>
        <w:tblCellMar>
          <w:top w:w="0" w:type="dxa"/>
          <w:left w:w="0" w:type="dxa"/>
          <w:bottom w:w="0" w:type="dxa"/>
          <w:right w:w="0" w:type="dxa"/>
        </w:tblCellMar>
      </w:tblPr>
      <w:tr>
        <w:trPr>
          <w:trHeight w:val="287"/>
        </w:trPr>
        <w:tc>
          <w:tcPr>
            <w:tcW w:w="51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Nominee</w:t>
            </w:r>
          </w:p>
        </w:tc>
        <w:tc>
          <w:tcPr>
            <w:tcW w:w="320" w:type="dxa"/>
            <w:vAlign w:val="bottom"/>
          </w:tcPr>
          <w:p>
            <w:pPr>
              <w:spacing w:after="0"/>
              <w:rPr>
                <w:sz w:val="24"/>
                <w:szCs w:val="24"/>
                <w:color w:val="auto"/>
              </w:rPr>
            </w:pPr>
          </w:p>
        </w:tc>
        <w:tc>
          <w:tcPr>
            <w:tcW w:w="25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5"/>
              </w:rPr>
              <w:t>Votes For</w:t>
            </w:r>
            <w:r>
              <w:rPr>
                <w:rFonts w:ascii="Arial" w:cs="Arial" w:eastAsia="Arial" w:hAnsi="Arial"/>
                <w:sz w:val="25"/>
                <w:szCs w:val="25"/>
                <w:color w:val="auto"/>
                <w:w w:val="85"/>
                <w:vertAlign w:val="superscript"/>
              </w:rPr>
              <w:t>(1)</w:t>
            </w:r>
          </w:p>
        </w:tc>
        <w:tc>
          <w:tcPr>
            <w:tcW w:w="320" w:type="dxa"/>
            <w:vAlign w:val="bottom"/>
          </w:tcPr>
          <w:p>
            <w:pPr>
              <w:spacing w:after="0"/>
              <w:rPr>
                <w:sz w:val="24"/>
                <w:szCs w:val="24"/>
                <w:color w:val="auto"/>
              </w:rPr>
            </w:pPr>
          </w:p>
        </w:tc>
        <w:tc>
          <w:tcPr>
            <w:tcW w:w="2480" w:type="dxa"/>
            <w:vAlign w:val="bottom"/>
            <w:tcBorders>
              <w:bottom w:val="single" w:sz="8" w:color="auto"/>
            </w:tcBorders>
          </w:tcPr>
          <w:p>
            <w:pPr>
              <w:ind w:left="700"/>
              <w:spacing w:after="0"/>
              <w:rPr>
                <w:sz w:val="20"/>
                <w:szCs w:val="20"/>
                <w:color w:val="auto"/>
              </w:rPr>
            </w:pPr>
            <w:r>
              <w:rPr>
                <w:rFonts w:ascii="Arial" w:cs="Arial" w:eastAsia="Arial" w:hAnsi="Arial"/>
                <w:sz w:val="18"/>
                <w:szCs w:val="18"/>
                <w:color w:val="auto"/>
              </w:rPr>
              <w:t>Votes withheld</w:t>
            </w:r>
          </w:p>
        </w:tc>
      </w:tr>
      <w:tr>
        <w:trPr>
          <w:trHeight w:val="237"/>
        </w:trPr>
        <w:tc>
          <w:tcPr>
            <w:tcW w:w="5500" w:type="dxa"/>
            <w:vAlign w:val="bottom"/>
            <w:gridSpan w:val="2"/>
          </w:tcPr>
          <w:p>
            <w:pPr>
              <w:jc w:val="center"/>
              <w:ind w:right="320"/>
              <w:spacing w:after="0"/>
              <w:rPr>
                <w:sz w:val="20"/>
                <w:szCs w:val="20"/>
                <w:color w:val="auto"/>
              </w:rPr>
            </w:pPr>
            <w:r>
              <w:rPr>
                <w:rFonts w:ascii="Arial" w:cs="Arial" w:eastAsia="Arial" w:hAnsi="Arial"/>
                <w:sz w:val="18"/>
                <w:szCs w:val="18"/>
                <w:color w:val="auto"/>
                <w:w w:val="94"/>
              </w:rPr>
              <w:t>Brad R. Baldwin</w:t>
            </w:r>
          </w:p>
        </w:tc>
        <w:tc>
          <w:tcPr>
            <w:tcW w:w="2500" w:type="dxa"/>
            <w:vAlign w:val="bottom"/>
          </w:tcPr>
          <w:p>
            <w:pPr>
              <w:jc w:val="center"/>
              <w:spacing w:after="0"/>
              <w:rPr>
                <w:sz w:val="20"/>
                <w:szCs w:val="20"/>
                <w:color w:val="auto"/>
              </w:rPr>
            </w:pPr>
            <w:r>
              <w:rPr>
                <w:rFonts w:ascii="Arial" w:cs="Arial" w:eastAsia="Arial" w:hAnsi="Arial"/>
                <w:sz w:val="18"/>
                <w:szCs w:val="18"/>
                <w:color w:val="auto"/>
                <w:w w:val="89"/>
              </w:rPr>
              <w:t>3,461,720</w:t>
            </w:r>
          </w:p>
        </w:tc>
        <w:tc>
          <w:tcPr>
            <w:tcW w:w="320" w:type="dxa"/>
            <w:vAlign w:val="bottom"/>
          </w:tcPr>
          <w:p>
            <w:pPr>
              <w:spacing w:after="0"/>
              <w:rPr>
                <w:sz w:val="20"/>
                <w:szCs w:val="20"/>
                <w:color w:val="auto"/>
              </w:rPr>
            </w:pPr>
          </w:p>
        </w:tc>
        <w:tc>
          <w:tcPr>
            <w:tcW w:w="2480" w:type="dxa"/>
            <w:vAlign w:val="bottom"/>
          </w:tcPr>
          <w:p>
            <w:pPr>
              <w:jc w:val="center"/>
              <w:spacing w:after="0"/>
              <w:rPr>
                <w:sz w:val="20"/>
                <w:szCs w:val="20"/>
                <w:color w:val="auto"/>
              </w:rPr>
            </w:pPr>
            <w:r>
              <w:rPr>
                <w:rFonts w:ascii="Arial" w:cs="Arial" w:eastAsia="Arial" w:hAnsi="Arial"/>
                <w:sz w:val="18"/>
                <w:szCs w:val="18"/>
                <w:color w:val="auto"/>
                <w:w w:val="90"/>
              </w:rPr>
              <w:t>63,984</w:t>
            </w:r>
          </w:p>
        </w:tc>
      </w:tr>
      <w:tr>
        <w:trPr>
          <w:trHeight w:val="270"/>
        </w:trPr>
        <w:tc>
          <w:tcPr>
            <w:tcW w:w="5500" w:type="dxa"/>
            <w:vAlign w:val="bottom"/>
            <w:gridSpan w:val="2"/>
          </w:tcPr>
          <w:p>
            <w:pPr>
              <w:jc w:val="center"/>
              <w:ind w:right="340"/>
              <w:spacing w:after="0"/>
              <w:rPr>
                <w:sz w:val="20"/>
                <w:szCs w:val="20"/>
                <w:color w:val="auto"/>
              </w:rPr>
            </w:pPr>
            <w:r>
              <w:rPr>
                <w:rFonts w:ascii="Arial" w:cs="Arial" w:eastAsia="Arial" w:hAnsi="Arial"/>
                <w:sz w:val="18"/>
                <w:szCs w:val="18"/>
                <w:color w:val="auto"/>
                <w:w w:val="93"/>
              </w:rPr>
              <w:t>Zeynep Hakimoglu</w:t>
            </w:r>
          </w:p>
        </w:tc>
        <w:tc>
          <w:tcPr>
            <w:tcW w:w="2500" w:type="dxa"/>
            <w:vAlign w:val="bottom"/>
          </w:tcPr>
          <w:p>
            <w:pPr>
              <w:jc w:val="center"/>
              <w:spacing w:after="0"/>
              <w:rPr>
                <w:sz w:val="20"/>
                <w:szCs w:val="20"/>
                <w:color w:val="auto"/>
              </w:rPr>
            </w:pPr>
            <w:r>
              <w:rPr>
                <w:rFonts w:ascii="Arial" w:cs="Arial" w:eastAsia="Arial" w:hAnsi="Arial"/>
                <w:sz w:val="18"/>
                <w:szCs w:val="18"/>
                <w:color w:val="auto"/>
                <w:w w:val="87"/>
              </w:rPr>
              <w:t>3,469,111</w:t>
            </w:r>
          </w:p>
        </w:tc>
        <w:tc>
          <w:tcPr>
            <w:tcW w:w="320" w:type="dxa"/>
            <w:vAlign w:val="bottom"/>
          </w:tcPr>
          <w:p>
            <w:pPr>
              <w:spacing w:after="0"/>
              <w:rPr>
                <w:sz w:val="23"/>
                <w:szCs w:val="23"/>
                <w:color w:val="auto"/>
              </w:rPr>
            </w:pPr>
          </w:p>
        </w:tc>
        <w:tc>
          <w:tcPr>
            <w:tcW w:w="2480" w:type="dxa"/>
            <w:vAlign w:val="bottom"/>
          </w:tcPr>
          <w:p>
            <w:pPr>
              <w:jc w:val="center"/>
              <w:spacing w:after="0"/>
              <w:rPr>
                <w:sz w:val="20"/>
                <w:szCs w:val="20"/>
                <w:color w:val="auto"/>
              </w:rPr>
            </w:pPr>
            <w:r>
              <w:rPr>
                <w:rFonts w:ascii="Arial" w:cs="Arial" w:eastAsia="Arial" w:hAnsi="Arial"/>
                <w:sz w:val="18"/>
                <w:szCs w:val="18"/>
                <w:color w:val="auto"/>
                <w:w w:val="90"/>
              </w:rPr>
              <w:t>56,593</w:t>
            </w:r>
          </w:p>
        </w:tc>
      </w:tr>
      <w:tr>
        <w:trPr>
          <w:trHeight w:val="270"/>
        </w:trPr>
        <w:tc>
          <w:tcPr>
            <w:tcW w:w="5500" w:type="dxa"/>
            <w:vAlign w:val="bottom"/>
            <w:gridSpan w:val="2"/>
          </w:tcPr>
          <w:p>
            <w:pPr>
              <w:jc w:val="center"/>
              <w:ind w:right="340"/>
              <w:spacing w:after="0"/>
              <w:rPr>
                <w:sz w:val="20"/>
                <w:szCs w:val="20"/>
                <w:color w:val="auto"/>
              </w:rPr>
            </w:pPr>
            <w:r>
              <w:rPr>
                <w:rFonts w:ascii="Arial" w:cs="Arial" w:eastAsia="Arial" w:hAnsi="Arial"/>
                <w:sz w:val="18"/>
                <w:szCs w:val="18"/>
                <w:color w:val="auto"/>
                <w:w w:val="93"/>
              </w:rPr>
              <w:t>Larry R. Hendricks</w:t>
            </w:r>
          </w:p>
        </w:tc>
        <w:tc>
          <w:tcPr>
            <w:tcW w:w="2500" w:type="dxa"/>
            <w:vAlign w:val="bottom"/>
          </w:tcPr>
          <w:p>
            <w:pPr>
              <w:jc w:val="center"/>
              <w:spacing w:after="0"/>
              <w:rPr>
                <w:sz w:val="20"/>
                <w:szCs w:val="20"/>
                <w:color w:val="auto"/>
              </w:rPr>
            </w:pPr>
            <w:r>
              <w:rPr>
                <w:rFonts w:ascii="Arial" w:cs="Arial" w:eastAsia="Arial" w:hAnsi="Arial"/>
                <w:sz w:val="18"/>
                <w:szCs w:val="18"/>
                <w:color w:val="auto"/>
                <w:w w:val="89"/>
              </w:rPr>
              <w:t>3,473,423</w:t>
            </w:r>
          </w:p>
        </w:tc>
        <w:tc>
          <w:tcPr>
            <w:tcW w:w="320" w:type="dxa"/>
            <w:vAlign w:val="bottom"/>
          </w:tcPr>
          <w:p>
            <w:pPr>
              <w:spacing w:after="0"/>
              <w:rPr>
                <w:sz w:val="23"/>
                <w:szCs w:val="23"/>
                <w:color w:val="auto"/>
              </w:rPr>
            </w:pPr>
          </w:p>
        </w:tc>
        <w:tc>
          <w:tcPr>
            <w:tcW w:w="2480" w:type="dxa"/>
            <w:vAlign w:val="bottom"/>
          </w:tcPr>
          <w:p>
            <w:pPr>
              <w:jc w:val="center"/>
              <w:spacing w:after="0"/>
              <w:rPr>
                <w:sz w:val="20"/>
                <w:szCs w:val="20"/>
                <w:color w:val="auto"/>
              </w:rPr>
            </w:pPr>
            <w:r>
              <w:rPr>
                <w:rFonts w:ascii="Arial" w:cs="Arial" w:eastAsia="Arial" w:hAnsi="Arial"/>
                <w:sz w:val="18"/>
                <w:szCs w:val="18"/>
                <w:color w:val="auto"/>
                <w:w w:val="90"/>
              </w:rPr>
              <w:t>52,281</w:t>
            </w:r>
          </w:p>
        </w:tc>
      </w:tr>
      <w:tr>
        <w:trPr>
          <w:trHeight w:val="270"/>
        </w:trPr>
        <w:tc>
          <w:tcPr>
            <w:tcW w:w="5500" w:type="dxa"/>
            <w:vAlign w:val="bottom"/>
            <w:gridSpan w:val="2"/>
          </w:tcPr>
          <w:p>
            <w:pPr>
              <w:jc w:val="center"/>
              <w:ind w:right="340"/>
              <w:spacing w:after="0"/>
              <w:rPr>
                <w:sz w:val="20"/>
                <w:szCs w:val="20"/>
                <w:color w:val="auto"/>
              </w:rPr>
            </w:pPr>
            <w:r>
              <w:rPr>
                <w:rFonts w:ascii="Arial" w:cs="Arial" w:eastAsia="Arial" w:hAnsi="Arial"/>
                <w:sz w:val="18"/>
                <w:szCs w:val="18"/>
                <w:color w:val="auto"/>
                <w:w w:val="91"/>
              </w:rPr>
              <w:t>Scott M. Huntsman</w:t>
            </w:r>
          </w:p>
        </w:tc>
        <w:tc>
          <w:tcPr>
            <w:tcW w:w="2500" w:type="dxa"/>
            <w:vAlign w:val="bottom"/>
          </w:tcPr>
          <w:p>
            <w:pPr>
              <w:jc w:val="center"/>
              <w:spacing w:after="0"/>
              <w:rPr>
                <w:sz w:val="20"/>
                <w:szCs w:val="20"/>
                <w:color w:val="auto"/>
              </w:rPr>
            </w:pPr>
            <w:r>
              <w:rPr>
                <w:rFonts w:ascii="Arial" w:cs="Arial" w:eastAsia="Arial" w:hAnsi="Arial"/>
                <w:sz w:val="18"/>
                <w:szCs w:val="18"/>
                <w:color w:val="auto"/>
                <w:w w:val="89"/>
              </w:rPr>
              <w:t>3,342,942</w:t>
            </w:r>
          </w:p>
        </w:tc>
        <w:tc>
          <w:tcPr>
            <w:tcW w:w="320" w:type="dxa"/>
            <w:vAlign w:val="bottom"/>
          </w:tcPr>
          <w:p>
            <w:pPr>
              <w:spacing w:after="0"/>
              <w:rPr>
                <w:sz w:val="23"/>
                <w:szCs w:val="23"/>
                <w:color w:val="auto"/>
              </w:rPr>
            </w:pPr>
          </w:p>
        </w:tc>
        <w:tc>
          <w:tcPr>
            <w:tcW w:w="2480" w:type="dxa"/>
            <w:vAlign w:val="bottom"/>
          </w:tcPr>
          <w:p>
            <w:pPr>
              <w:jc w:val="center"/>
              <w:spacing w:after="0"/>
              <w:rPr>
                <w:sz w:val="20"/>
                <w:szCs w:val="20"/>
                <w:color w:val="auto"/>
              </w:rPr>
            </w:pPr>
            <w:r>
              <w:rPr>
                <w:rFonts w:ascii="Arial" w:cs="Arial" w:eastAsia="Arial" w:hAnsi="Arial"/>
                <w:sz w:val="18"/>
                <w:szCs w:val="18"/>
                <w:color w:val="auto"/>
                <w:w w:val="89"/>
              </w:rPr>
              <w:t>182,762</w:t>
            </w:r>
          </w:p>
        </w:tc>
      </w:tr>
      <w:tr>
        <w:trPr>
          <w:trHeight w:val="270"/>
        </w:trPr>
        <w:tc>
          <w:tcPr>
            <w:tcW w:w="5500" w:type="dxa"/>
            <w:vAlign w:val="bottom"/>
            <w:gridSpan w:val="2"/>
          </w:tcPr>
          <w:p>
            <w:pPr>
              <w:jc w:val="center"/>
              <w:ind w:right="340"/>
              <w:spacing w:after="0"/>
              <w:rPr>
                <w:sz w:val="20"/>
                <w:szCs w:val="20"/>
                <w:color w:val="auto"/>
              </w:rPr>
            </w:pPr>
            <w:r>
              <w:rPr>
                <w:rFonts w:ascii="Arial" w:cs="Arial" w:eastAsia="Arial" w:hAnsi="Arial"/>
                <w:sz w:val="18"/>
                <w:szCs w:val="18"/>
                <w:color w:val="auto"/>
                <w:w w:val="93"/>
              </w:rPr>
              <w:t>Eric L. Robinson</w:t>
            </w:r>
          </w:p>
        </w:tc>
        <w:tc>
          <w:tcPr>
            <w:tcW w:w="2500" w:type="dxa"/>
            <w:vAlign w:val="bottom"/>
          </w:tcPr>
          <w:p>
            <w:pPr>
              <w:jc w:val="center"/>
              <w:spacing w:after="0"/>
              <w:rPr>
                <w:sz w:val="20"/>
                <w:szCs w:val="20"/>
                <w:color w:val="auto"/>
              </w:rPr>
            </w:pPr>
            <w:r>
              <w:rPr>
                <w:rFonts w:ascii="Arial" w:cs="Arial" w:eastAsia="Arial" w:hAnsi="Arial"/>
                <w:sz w:val="18"/>
                <w:szCs w:val="18"/>
                <w:color w:val="auto"/>
                <w:w w:val="89"/>
              </w:rPr>
              <w:t>3,258,584</w:t>
            </w:r>
          </w:p>
        </w:tc>
        <w:tc>
          <w:tcPr>
            <w:tcW w:w="320" w:type="dxa"/>
            <w:vAlign w:val="bottom"/>
          </w:tcPr>
          <w:p>
            <w:pPr>
              <w:spacing w:after="0"/>
              <w:rPr>
                <w:sz w:val="23"/>
                <w:szCs w:val="23"/>
                <w:color w:val="auto"/>
              </w:rPr>
            </w:pPr>
          </w:p>
        </w:tc>
        <w:tc>
          <w:tcPr>
            <w:tcW w:w="2480" w:type="dxa"/>
            <w:vAlign w:val="bottom"/>
          </w:tcPr>
          <w:p>
            <w:pPr>
              <w:jc w:val="center"/>
              <w:spacing w:after="0"/>
              <w:rPr>
                <w:sz w:val="20"/>
                <w:szCs w:val="20"/>
                <w:color w:val="auto"/>
              </w:rPr>
            </w:pPr>
            <w:r>
              <w:rPr>
                <w:rFonts w:ascii="Arial" w:cs="Arial" w:eastAsia="Arial" w:hAnsi="Arial"/>
                <w:sz w:val="18"/>
                <w:szCs w:val="18"/>
                <w:color w:val="auto"/>
                <w:w w:val="89"/>
              </w:rPr>
              <w:t>267,120</w:t>
            </w:r>
          </w:p>
        </w:tc>
      </w:tr>
    </w:tbl>
    <w:p>
      <w:pPr>
        <w:spacing w:after="0" w:line="200" w:lineRule="exact"/>
        <w:rPr>
          <w:sz w:val="20"/>
          <w:szCs w:val="20"/>
          <w:color w:val="auto"/>
        </w:rPr>
      </w:pPr>
    </w:p>
    <w:p>
      <w:pPr>
        <w:spacing w:after="0" w:line="245" w:lineRule="exact"/>
        <w:rPr>
          <w:sz w:val="20"/>
          <w:szCs w:val="20"/>
          <w:color w:val="auto"/>
        </w:rPr>
      </w:pPr>
    </w:p>
    <w:p>
      <w:pPr>
        <w:ind w:left="320" w:right="720" w:hanging="312"/>
        <w:spacing w:after="0" w:line="277" w:lineRule="auto"/>
        <w:tabs>
          <w:tab w:leader="none" w:pos="320" w:val="left"/>
        </w:tabs>
        <w:numPr>
          <w:ilvl w:val="0"/>
          <w:numId w:val="2"/>
        </w:numPr>
        <w:rPr>
          <w:rFonts w:ascii="Arial" w:cs="Arial" w:eastAsia="Arial" w:hAnsi="Arial"/>
          <w:sz w:val="18"/>
          <w:szCs w:val="18"/>
          <w:color w:val="auto"/>
        </w:rPr>
      </w:pPr>
      <w:r>
        <w:rPr>
          <w:rFonts w:ascii="Arial" w:cs="Arial" w:eastAsia="Arial" w:hAnsi="Arial"/>
          <w:sz w:val="18"/>
          <w:szCs w:val="18"/>
          <w:color w:val="auto"/>
        </w:rPr>
        <w:t>Ratification of the appointment of McGladrey, LLP as ClearOne’s independent public accountants: Our shareholders ratified the appointment of McGladrey, LLP as our independent public accountants.</w:t>
      </w:r>
    </w:p>
    <w:p>
      <w:pPr>
        <w:spacing w:after="0" w:line="302" w:lineRule="exact"/>
        <w:rPr>
          <w:sz w:val="20"/>
          <w:szCs w:val="20"/>
          <w:color w:val="auto"/>
        </w:rPr>
      </w:pPr>
    </w:p>
    <w:tbl>
      <w:tblPr>
        <w:tblLayout w:type="fixed"/>
        <w:tblInd w:w="320" w:type="dxa"/>
        <w:tblCellMar>
          <w:top w:w="0" w:type="dxa"/>
          <w:left w:w="0" w:type="dxa"/>
          <w:bottom w:w="0" w:type="dxa"/>
          <w:right w:w="0" w:type="dxa"/>
        </w:tblCellMar>
      </w:tblPr>
      <w:tr>
        <w:trPr>
          <w:trHeight w:val="287"/>
        </w:trPr>
        <w:tc>
          <w:tcPr>
            <w:tcW w:w="2700" w:type="dxa"/>
            <w:vAlign w:val="bottom"/>
            <w:gridSpan w:val="2"/>
          </w:tcPr>
          <w:p>
            <w:pPr>
              <w:jc w:val="center"/>
              <w:ind w:right="340"/>
              <w:spacing w:after="0"/>
              <w:rPr>
                <w:sz w:val="20"/>
                <w:szCs w:val="20"/>
                <w:color w:val="auto"/>
              </w:rPr>
            </w:pPr>
            <w:r>
              <w:rPr>
                <w:rFonts w:ascii="Arial" w:cs="Arial" w:eastAsia="Arial" w:hAnsi="Arial"/>
                <w:sz w:val="18"/>
                <w:szCs w:val="18"/>
                <w:color w:val="auto"/>
                <w:w w:val="85"/>
              </w:rPr>
              <w:t>Votes For</w:t>
            </w:r>
            <w:r>
              <w:rPr>
                <w:rFonts w:ascii="Arial" w:cs="Arial" w:eastAsia="Arial" w:hAnsi="Arial"/>
                <w:sz w:val="25"/>
                <w:szCs w:val="25"/>
                <w:color w:val="auto"/>
                <w:w w:val="85"/>
                <w:vertAlign w:val="superscript"/>
              </w:rPr>
              <w:t>(1)</w:t>
            </w:r>
          </w:p>
        </w:tc>
        <w:tc>
          <w:tcPr>
            <w:tcW w:w="2800" w:type="dxa"/>
            <w:vAlign w:val="bottom"/>
            <w:gridSpan w:val="2"/>
          </w:tcPr>
          <w:p>
            <w:pPr>
              <w:jc w:val="center"/>
              <w:ind w:right="320"/>
              <w:spacing w:after="0"/>
              <w:rPr>
                <w:sz w:val="20"/>
                <w:szCs w:val="20"/>
                <w:color w:val="auto"/>
              </w:rPr>
            </w:pPr>
            <w:r>
              <w:rPr>
                <w:rFonts w:ascii="Arial" w:cs="Arial" w:eastAsia="Arial" w:hAnsi="Arial"/>
                <w:sz w:val="18"/>
                <w:szCs w:val="18"/>
                <w:color w:val="auto"/>
                <w:w w:val="87"/>
              </w:rPr>
              <w:t>Votes against</w:t>
            </w:r>
          </w:p>
        </w:tc>
        <w:tc>
          <w:tcPr>
            <w:tcW w:w="2820" w:type="dxa"/>
            <w:vAlign w:val="bottom"/>
            <w:gridSpan w:val="2"/>
          </w:tcPr>
          <w:p>
            <w:pPr>
              <w:jc w:val="center"/>
              <w:ind w:right="340"/>
              <w:spacing w:after="0"/>
              <w:rPr>
                <w:sz w:val="20"/>
                <w:szCs w:val="20"/>
                <w:color w:val="auto"/>
              </w:rPr>
            </w:pPr>
            <w:r>
              <w:rPr>
                <w:rFonts w:ascii="Arial" w:cs="Arial" w:eastAsia="Arial" w:hAnsi="Arial"/>
                <w:sz w:val="18"/>
                <w:szCs w:val="18"/>
                <w:color w:val="auto"/>
                <w:w w:val="86"/>
              </w:rPr>
              <w:t>Votes abstained</w:t>
            </w:r>
          </w:p>
        </w:tc>
        <w:tc>
          <w:tcPr>
            <w:tcW w:w="2480" w:type="dxa"/>
            <w:vAlign w:val="bottom"/>
          </w:tcPr>
          <w:p>
            <w:pPr>
              <w:jc w:val="center"/>
              <w:spacing w:after="0"/>
              <w:rPr>
                <w:sz w:val="20"/>
                <w:szCs w:val="20"/>
                <w:color w:val="auto"/>
              </w:rPr>
            </w:pPr>
            <w:r>
              <w:rPr>
                <w:rFonts w:ascii="Arial" w:cs="Arial" w:eastAsia="Arial" w:hAnsi="Arial"/>
                <w:sz w:val="18"/>
                <w:szCs w:val="18"/>
                <w:color w:val="auto"/>
                <w:w w:val="92"/>
              </w:rPr>
              <w:t>Broker Non-votes</w:t>
            </w:r>
          </w:p>
        </w:tc>
      </w:tr>
      <w:tr>
        <w:trPr>
          <w:trHeight w:val="237"/>
        </w:trPr>
        <w:tc>
          <w:tcPr>
            <w:tcW w:w="2380" w:type="dxa"/>
            <w:vAlign w:val="bottom"/>
            <w:tcBorders>
              <w:top w:val="single" w:sz="8" w:color="auto"/>
            </w:tcBorders>
          </w:tcPr>
          <w:p>
            <w:pPr>
              <w:jc w:val="right"/>
              <w:ind w:right="750"/>
              <w:spacing w:after="0"/>
              <w:rPr>
                <w:sz w:val="20"/>
                <w:szCs w:val="20"/>
                <w:color w:val="auto"/>
              </w:rPr>
            </w:pPr>
            <w:r>
              <w:rPr>
                <w:rFonts w:ascii="Arial" w:cs="Arial" w:eastAsia="Arial" w:hAnsi="Arial"/>
                <w:sz w:val="18"/>
                <w:szCs w:val="18"/>
                <w:color w:val="auto"/>
              </w:rPr>
              <w:t>6,419,160</w:t>
            </w:r>
          </w:p>
        </w:tc>
        <w:tc>
          <w:tcPr>
            <w:tcW w:w="320" w:type="dxa"/>
            <w:vAlign w:val="bottom"/>
          </w:tcPr>
          <w:p>
            <w:pPr>
              <w:spacing w:after="0"/>
              <w:rPr>
                <w:sz w:val="20"/>
                <w:szCs w:val="20"/>
                <w:color w:val="auto"/>
              </w:rPr>
            </w:pPr>
          </w:p>
        </w:tc>
        <w:tc>
          <w:tcPr>
            <w:tcW w:w="2480" w:type="dxa"/>
            <w:vAlign w:val="bottom"/>
            <w:tcBorders>
              <w:top w:val="single" w:sz="8" w:color="auto"/>
            </w:tcBorders>
          </w:tcPr>
          <w:p>
            <w:pPr>
              <w:jc w:val="right"/>
              <w:ind w:right="910"/>
              <w:spacing w:after="0"/>
              <w:rPr>
                <w:sz w:val="20"/>
                <w:szCs w:val="20"/>
                <w:color w:val="auto"/>
              </w:rPr>
            </w:pPr>
            <w:r>
              <w:rPr>
                <w:rFonts w:ascii="Arial" w:cs="Arial" w:eastAsia="Arial" w:hAnsi="Arial"/>
                <w:sz w:val="18"/>
                <w:szCs w:val="18"/>
                <w:color w:val="auto"/>
              </w:rPr>
              <w:t>41,468</w:t>
            </w:r>
          </w:p>
        </w:tc>
        <w:tc>
          <w:tcPr>
            <w:tcW w:w="320" w:type="dxa"/>
            <w:vAlign w:val="bottom"/>
          </w:tcPr>
          <w:p>
            <w:pPr>
              <w:spacing w:after="0"/>
              <w:rPr>
                <w:sz w:val="20"/>
                <w:szCs w:val="20"/>
                <w:color w:val="auto"/>
              </w:rPr>
            </w:pPr>
          </w:p>
        </w:tc>
        <w:tc>
          <w:tcPr>
            <w:tcW w:w="2500" w:type="dxa"/>
            <w:vAlign w:val="bottom"/>
            <w:tcBorders>
              <w:top w:val="single" w:sz="8" w:color="auto"/>
            </w:tcBorders>
          </w:tcPr>
          <w:p>
            <w:pPr>
              <w:jc w:val="right"/>
              <w:ind w:right="870"/>
              <w:spacing w:after="0"/>
              <w:rPr>
                <w:sz w:val="20"/>
                <w:szCs w:val="20"/>
                <w:color w:val="auto"/>
              </w:rPr>
            </w:pPr>
            <w:r>
              <w:rPr>
                <w:rFonts w:ascii="Arial" w:cs="Arial" w:eastAsia="Arial" w:hAnsi="Arial"/>
                <w:sz w:val="18"/>
                <w:szCs w:val="18"/>
                <w:color w:val="auto"/>
              </w:rPr>
              <w:t>109,513</w:t>
            </w:r>
          </w:p>
        </w:tc>
        <w:tc>
          <w:tcPr>
            <w:tcW w:w="320" w:type="dxa"/>
            <w:vAlign w:val="bottom"/>
          </w:tcPr>
          <w:p>
            <w:pPr>
              <w:spacing w:after="0"/>
              <w:rPr>
                <w:sz w:val="20"/>
                <w:szCs w:val="20"/>
                <w:color w:val="auto"/>
              </w:rPr>
            </w:pPr>
          </w:p>
        </w:tc>
        <w:tc>
          <w:tcPr>
            <w:tcW w:w="24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w:t>
            </w:r>
          </w:p>
        </w:tc>
      </w:tr>
    </w:tbl>
    <w:p>
      <w:pPr>
        <w:spacing w:after="0" w:line="200" w:lineRule="exact"/>
        <w:rPr>
          <w:sz w:val="20"/>
          <w:szCs w:val="20"/>
          <w:color w:val="auto"/>
        </w:rPr>
      </w:pPr>
    </w:p>
    <w:p>
      <w:pPr>
        <w:spacing w:after="0" w:line="245"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color w:val="auto"/>
        </w:rPr>
        <w:t>3.</w:t>
      </w:r>
      <w:r>
        <w:rPr>
          <w:sz w:val="20"/>
          <w:szCs w:val="20"/>
          <w:color w:val="auto"/>
        </w:rPr>
        <w:tab/>
      </w:r>
      <w:r>
        <w:rPr>
          <w:rFonts w:ascii="Arial" w:cs="Arial" w:eastAsia="Arial" w:hAnsi="Arial"/>
          <w:sz w:val="16"/>
          <w:szCs w:val="16"/>
          <w:color w:val="auto"/>
        </w:rPr>
        <w:t>Advisory vote on the compensation of our named executive officers: Our shareholders approved the compensation of our named executive officers.</w:t>
      </w:r>
    </w:p>
    <w:p>
      <w:pPr>
        <w:spacing w:after="0" w:line="357" w:lineRule="exact"/>
        <w:rPr>
          <w:sz w:val="20"/>
          <w:szCs w:val="20"/>
          <w:color w:val="auto"/>
        </w:rPr>
      </w:pPr>
    </w:p>
    <w:tbl>
      <w:tblPr>
        <w:tblLayout w:type="fixed"/>
        <w:tblInd w:w="320" w:type="dxa"/>
        <w:tblCellMar>
          <w:top w:w="0" w:type="dxa"/>
          <w:left w:w="0" w:type="dxa"/>
          <w:bottom w:w="0" w:type="dxa"/>
          <w:right w:w="0" w:type="dxa"/>
        </w:tblCellMar>
      </w:tblPr>
      <w:tr>
        <w:trPr>
          <w:trHeight w:val="287"/>
        </w:trPr>
        <w:tc>
          <w:tcPr>
            <w:tcW w:w="2700" w:type="dxa"/>
            <w:vAlign w:val="bottom"/>
            <w:gridSpan w:val="2"/>
          </w:tcPr>
          <w:p>
            <w:pPr>
              <w:jc w:val="center"/>
              <w:ind w:right="340"/>
              <w:spacing w:after="0"/>
              <w:rPr>
                <w:sz w:val="20"/>
                <w:szCs w:val="20"/>
                <w:color w:val="auto"/>
              </w:rPr>
            </w:pPr>
            <w:r>
              <w:rPr>
                <w:rFonts w:ascii="Arial" w:cs="Arial" w:eastAsia="Arial" w:hAnsi="Arial"/>
                <w:sz w:val="18"/>
                <w:szCs w:val="18"/>
                <w:color w:val="auto"/>
                <w:w w:val="85"/>
              </w:rPr>
              <w:t>Votes For</w:t>
            </w:r>
            <w:r>
              <w:rPr>
                <w:rFonts w:ascii="Arial" w:cs="Arial" w:eastAsia="Arial" w:hAnsi="Arial"/>
                <w:sz w:val="25"/>
                <w:szCs w:val="25"/>
                <w:color w:val="auto"/>
                <w:w w:val="85"/>
                <w:vertAlign w:val="superscript"/>
              </w:rPr>
              <w:t>(1)</w:t>
            </w:r>
          </w:p>
        </w:tc>
        <w:tc>
          <w:tcPr>
            <w:tcW w:w="2800" w:type="dxa"/>
            <w:vAlign w:val="bottom"/>
            <w:gridSpan w:val="2"/>
          </w:tcPr>
          <w:p>
            <w:pPr>
              <w:jc w:val="center"/>
              <w:ind w:right="320"/>
              <w:spacing w:after="0"/>
              <w:rPr>
                <w:sz w:val="20"/>
                <w:szCs w:val="20"/>
                <w:color w:val="auto"/>
              </w:rPr>
            </w:pPr>
            <w:r>
              <w:rPr>
                <w:rFonts w:ascii="Arial" w:cs="Arial" w:eastAsia="Arial" w:hAnsi="Arial"/>
                <w:sz w:val="18"/>
                <w:szCs w:val="18"/>
                <w:color w:val="auto"/>
                <w:w w:val="87"/>
              </w:rPr>
              <w:t>Votes against</w:t>
            </w:r>
          </w:p>
        </w:tc>
        <w:tc>
          <w:tcPr>
            <w:tcW w:w="2820" w:type="dxa"/>
            <w:vAlign w:val="bottom"/>
            <w:gridSpan w:val="2"/>
          </w:tcPr>
          <w:p>
            <w:pPr>
              <w:jc w:val="center"/>
              <w:ind w:right="340"/>
              <w:spacing w:after="0"/>
              <w:rPr>
                <w:sz w:val="20"/>
                <w:szCs w:val="20"/>
                <w:color w:val="auto"/>
              </w:rPr>
            </w:pPr>
            <w:r>
              <w:rPr>
                <w:rFonts w:ascii="Arial" w:cs="Arial" w:eastAsia="Arial" w:hAnsi="Arial"/>
                <w:sz w:val="18"/>
                <w:szCs w:val="18"/>
                <w:color w:val="auto"/>
                <w:w w:val="86"/>
              </w:rPr>
              <w:t>Votes abstained</w:t>
            </w:r>
          </w:p>
        </w:tc>
        <w:tc>
          <w:tcPr>
            <w:tcW w:w="2480" w:type="dxa"/>
            <w:vAlign w:val="bottom"/>
          </w:tcPr>
          <w:p>
            <w:pPr>
              <w:jc w:val="center"/>
              <w:spacing w:after="0"/>
              <w:rPr>
                <w:sz w:val="20"/>
                <w:szCs w:val="20"/>
                <w:color w:val="auto"/>
              </w:rPr>
            </w:pPr>
            <w:r>
              <w:rPr>
                <w:rFonts w:ascii="Arial" w:cs="Arial" w:eastAsia="Arial" w:hAnsi="Arial"/>
                <w:sz w:val="18"/>
                <w:szCs w:val="18"/>
                <w:color w:val="auto"/>
                <w:w w:val="92"/>
              </w:rPr>
              <w:t>Broker Non-votes</w:t>
            </w:r>
          </w:p>
        </w:tc>
      </w:tr>
      <w:tr>
        <w:trPr>
          <w:trHeight w:val="237"/>
        </w:trPr>
        <w:tc>
          <w:tcPr>
            <w:tcW w:w="2380" w:type="dxa"/>
            <w:vAlign w:val="bottom"/>
            <w:tcBorders>
              <w:top w:val="single" w:sz="8" w:color="auto"/>
            </w:tcBorders>
          </w:tcPr>
          <w:p>
            <w:pPr>
              <w:jc w:val="right"/>
              <w:ind w:right="750"/>
              <w:spacing w:after="0"/>
              <w:rPr>
                <w:sz w:val="20"/>
                <w:szCs w:val="20"/>
                <w:color w:val="auto"/>
              </w:rPr>
            </w:pPr>
            <w:r>
              <w:rPr>
                <w:rFonts w:ascii="Arial" w:cs="Arial" w:eastAsia="Arial" w:hAnsi="Arial"/>
                <w:sz w:val="18"/>
                <w:szCs w:val="18"/>
                <w:color w:val="auto"/>
              </w:rPr>
              <w:t>3,020,807</w:t>
            </w:r>
          </w:p>
        </w:tc>
        <w:tc>
          <w:tcPr>
            <w:tcW w:w="320" w:type="dxa"/>
            <w:vAlign w:val="bottom"/>
          </w:tcPr>
          <w:p>
            <w:pPr>
              <w:spacing w:after="0"/>
              <w:rPr>
                <w:sz w:val="20"/>
                <w:szCs w:val="20"/>
                <w:color w:val="auto"/>
              </w:rPr>
            </w:pPr>
          </w:p>
        </w:tc>
        <w:tc>
          <w:tcPr>
            <w:tcW w:w="2480" w:type="dxa"/>
            <w:vAlign w:val="bottom"/>
            <w:tcBorders>
              <w:top w:val="single" w:sz="8" w:color="auto"/>
            </w:tcBorders>
          </w:tcPr>
          <w:p>
            <w:pPr>
              <w:jc w:val="right"/>
              <w:ind w:right="870"/>
              <w:spacing w:after="0"/>
              <w:rPr>
                <w:sz w:val="20"/>
                <w:szCs w:val="20"/>
                <w:color w:val="auto"/>
              </w:rPr>
            </w:pPr>
            <w:r>
              <w:rPr>
                <w:rFonts w:ascii="Arial" w:cs="Arial" w:eastAsia="Arial" w:hAnsi="Arial"/>
                <w:sz w:val="18"/>
                <w:szCs w:val="18"/>
                <w:color w:val="auto"/>
              </w:rPr>
              <w:t>491,039</w:t>
            </w:r>
          </w:p>
        </w:tc>
        <w:tc>
          <w:tcPr>
            <w:tcW w:w="320" w:type="dxa"/>
            <w:vAlign w:val="bottom"/>
          </w:tcPr>
          <w:p>
            <w:pPr>
              <w:spacing w:after="0"/>
              <w:rPr>
                <w:sz w:val="20"/>
                <w:szCs w:val="20"/>
                <w:color w:val="auto"/>
              </w:rPr>
            </w:pPr>
          </w:p>
        </w:tc>
        <w:tc>
          <w:tcPr>
            <w:tcW w:w="2500" w:type="dxa"/>
            <w:vAlign w:val="bottom"/>
            <w:tcBorders>
              <w:top w:val="single" w:sz="8" w:color="auto"/>
            </w:tcBorders>
          </w:tcPr>
          <w:p>
            <w:pPr>
              <w:jc w:val="right"/>
              <w:ind w:right="910"/>
              <w:spacing w:after="0"/>
              <w:rPr>
                <w:sz w:val="20"/>
                <w:szCs w:val="20"/>
                <w:color w:val="auto"/>
              </w:rPr>
            </w:pPr>
            <w:r>
              <w:rPr>
                <w:rFonts w:ascii="Arial" w:cs="Arial" w:eastAsia="Arial" w:hAnsi="Arial"/>
                <w:sz w:val="18"/>
                <w:szCs w:val="18"/>
                <w:color w:val="auto"/>
              </w:rPr>
              <w:t>13,858</w:t>
            </w:r>
          </w:p>
        </w:tc>
        <w:tc>
          <w:tcPr>
            <w:tcW w:w="320" w:type="dxa"/>
            <w:vAlign w:val="bottom"/>
          </w:tcPr>
          <w:p>
            <w:pPr>
              <w:spacing w:after="0"/>
              <w:rPr>
                <w:sz w:val="20"/>
                <w:szCs w:val="20"/>
                <w:color w:val="auto"/>
              </w:rPr>
            </w:pPr>
          </w:p>
        </w:tc>
        <w:tc>
          <w:tcPr>
            <w:tcW w:w="2480" w:type="dxa"/>
            <w:vAlign w:val="bottom"/>
            <w:tcBorders>
              <w:top w:val="single" w:sz="8" w:color="auto"/>
            </w:tcBorders>
          </w:tcPr>
          <w:p>
            <w:pPr>
              <w:jc w:val="right"/>
              <w:ind w:right="790"/>
              <w:spacing w:after="0"/>
              <w:rPr>
                <w:sz w:val="20"/>
                <w:szCs w:val="20"/>
                <w:color w:val="auto"/>
              </w:rPr>
            </w:pPr>
            <w:r>
              <w:rPr>
                <w:rFonts w:ascii="Arial" w:cs="Arial" w:eastAsia="Arial" w:hAnsi="Arial"/>
                <w:sz w:val="18"/>
                <w:szCs w:val="18"/>
                <w:color w:val="auto"/>
              </w:rPr>
              <w:t>3,539,437</w:t>
            </w:r>
          </w:p>
        </w:tc>
      </w:tr>
    </w:tbl>
    <w:p>
      <w:pPr>
        <w:spacing w:after="0" w:line="200" w:lineRule="exact"/>
        <w:rPr>
          <w:sz w:val="20"/>
          <w:szCs w:val="20"/>
          <w:color w:val="auto"/>
        </w:rPr>
      </w:pPr>
    </w:p>
    <w:p>
      <w:pPr>
        <w:spacing w:after="0" w:line="241" w:lineRule="exact"/>
        <w:rPr>
          <w:sz w:val="20"/>
          <w:szCs w:val="20"/>
          <w:color w:val="auto"/>
        </w:rPr>
      </w:pPr>
    </w:p>
    <w:p>
      <w:pPr>
        <w:ind w:right="20"/>
        <w:spacing w:after="0" w:line="282" w:lineRule="auto"/>
        <w:rPr>
          <w:sz w:val="20"/>
          <w:szCs w:val="20"/>
          <w:color w:val="auto"/>
        </w:rPr>
      </w:pPr>
      <w:r>
        <w:rPr>
          <w:rFonts w:ascii="Arial" w:cs="Arial" w:eastAsia="Arial" w:hAnsi="Arial"/>
          <w:sz w:val="18"/>
          <w:szCs w:val="18"/>
          <w:b w:val="1"/>
          <w:bCs w:val="1"/>
          <w:u w:val="single" w:color="auto"/>
          <w:color w:val="auto"/>
        </w:rPr>
        <w:t>Note (1)</w:t>
      </w:r>
      <w:r>
        <w:rPr>
          <w:rFonts w:ascii="Arial" w:cs="Arial" w:eastAsia="Arial" w:hAnsi="Arial"/>
          <w:sz w:val="18"/>
          <w:szCs w:val="18"/>
          <w:b w:val="1"/>
          <w:bCs w:val="1"/>
          <w:color w:val="auto"/>
        </w:rPr>
        <w:t xml:space="preserve"> </w:t>
      </w:r>
      <w:r>
        <w:rPr>
          <w:rFonts w:ascii="Arial" w:cs="Arial" w:eastAsia="Arial" w:hAnsi="Arial"/>
          <w:sz w:val="18"/>
          <w:szCs w:val="18"/>
          <w:color w:val="auto"/>
        </w:rPr>
        <w:t>: Votes reported as adjusted pursuant to the provisions of Utah Control Shares Acquisitions Act, as approved by ClearOne shareholders on December</w:t>
      </w:r>
      <w:r>
        <w:rPr>
          <w:rFonts w:ascii="Arial" w:cs="Arial" w:eastAsia="Arial" w:hAnsi="Arial"/>
          <w:sz w:val="18"/>
          <w:szCs w:val="18"/>
          <w:b w:val="1"/>
          <w:bCs w:val="1"/>
          <w:color w:val="auto"/>
        </w:rPr>
        <w:t xml:space="preserve"> </w:t>
      </w:r>
      <w:r>
        <w:rPr>
          <w:rFonts w:ascii="Arial" w:cs="Arial" w:eastAsia="Arial" w:hAnsi="Arial"/>
          <w:sz w:val="18"/>
          <w:szCs w:val="18"/>
          <w:color w:val="auto"/>
        </w:rPr>
        <w:t>3, 2013.</w:t>
      </w:r>
    </w:p>
    <w:p>
      <w:pPr>
        <w:sectPr>
          <w:pgSz w:w="11900" w:h="16838" w:orient="portrait"/>
          <w:cols w:equalWidth="0" w:num="1">
            <w:col w:w="11420"/>
          </w:cols>
          <w:pgMar w:left="240" w:top="756" w:right="2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18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349" w:lineRule="exact"/>
        <w:rPr>
          <w:sz w:val="20"/>
          <w:szCs w:val="20"/>
          <w:color w:val="auto"/>
        </w:rPr>
      </w:pPr>
    </w:p>
    <w:p>
      <w:pPr>
        <w:ind w:left="4660"/>
        <w:spacing w:after="0"/>
        <w:rPr>
          <w:sz w:val="20"/>
          <w:szCs w:val="20"/>
          <w:color w:val="auto"/>
        </w:rPr>
      </w:pPr>
      <w:r>
        <w:rPr>
          <w:rFonts w:ascii="Arial" w:cs="Arial" w:eastAsia="Arial" w:hAnsi="Arial"/>
          <w:sz w:val="18"/>
          <w:szCs w:val="18"/>
          <w:color w:val="auto"/>
        </w:rPr>
        <w:t>CLEARONE, INC.</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540"/>
        <w:spacing w:after="0"/>
        <w:tabs>
          <w:tab w:leader="none" w:pos="4640" w:val="left"/>
          <w:tab w:leader="none" w:pos="5280" w:val="left"/>
        </w:tabs>
        <w:rPr>
          <w:sz w:val="20"/>
          <w:szCs w:val="20"/>
          <w:color w:val="auto"/>
        </w:rPr>
      </w:pPr>
      <w:r>
        <w:rPr>
          <w:rFonts w:ascii="Arial" w:cs="Arial" w:eastAsia="Arial" w:hAnsi="Arial"/>
          <w:sz w:val="18"/>
          <w:szCs w:val="18"/>
          <w:color w:val="auto"/>
        </w:rPr>
        <w:t>Date: August 4, 2015</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u w:val="single" w:color="auto"/>
          <w:color w:val="auto"/>
        </w:rPr>
        <w:t>/s/ Zeynep Hakimoglu</w:t>
      </w:r>
    </w:p>
    <w:p>
      <w:pPr>
        <w:spacing w:after="0" w:line="63"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Zeynep Hakimoglu</w:t>
      </w:r>
    </w:p>
    <w:p>
      <w:pPr>
        <w:spacing w:after="0" w:line="63"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Chief Executive Officer</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1."/>
      <w:numFmt w:val="decimal"/>
      <w:start w:val="2"/>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2019-12-06T04:48:59Z</dcterms:created>
  <dcterms:modified xsi:type="dcterms:W3CDTF">2019-12-06T04:48:59Z</dcterms:modified>
</cp:coreProperties>
</file>