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5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10-QSB</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581" w:right="3299" w:hanging="581"/>
        <w:spacing w:after="0" w:line="242" w:lineRule="auto"/>
        <w:tabs>
          <w:tab w:leader="none" w:pos="5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7"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For the quarterly period ended March 31, 1999</w:t>
      </w:r>
    </w:p>
    <w:p>
      <w:pPr>
        <w:spacing w:after="0" w:line="188"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581" w:right="3199" w:hanging="581"/>
        <w:spacing w:after="0" w:line="242" w:lineRule="auto"/>
        <w:tabs>
          <w:tab w:leader="none" w:pos="19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7"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For the transition period from _______________ to _______________</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Commission file number: 0-17219</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(Exact name of small business issuer as specified in its charter)</w:t>
      </w:r>
    </w:p>
    <w:p>
      <w:pPr>
        <w:spacing w:after="0" w:line="373"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5520" w:type="dxa"/>
            <w:vAlign w:val="bottom"/>
          </w:tcPr>
          <w:p>
            <w:pPr>
              <w:jc w:val="center"/>
              <w:ind w:right="1600"/>
              <w:spacing w:after="0"/>
              <w:rPr>
                <w:sz w:val="20"/>
                <w:szCs w:val="20"/>
                <w:color w:val="auto"/>
              </w:rPr>
            </w:pPr>
            <w:r>
              <w:rPr>
                <w:rFonts w:ascii="Courier New" w:cs="Courier New" w:eastAsia="Courier New" w:hAnsi="Courier New"/>
                <w:sz w:val="16"/>
                <w:szCs w:val="16"/>
                <w:color w:val="auto"/>
              </w:rPr>
              <w:t>UTAH</w:t>
            </w:r>
          </w:p>
        </w:tc>
        <w:tc>
          <w:tcPr>
            <w:tcW w:w="2160" w:type="dxa"/>
            <w:vAlign w:val="bottom"/>
          </w:tcPr>
          <w:p>
            <w:pPr>
              <w:ind w:left="720"/>
              <w:spacing w:after="0"/>
              <w:rPr>
                <w:sz w:val="20"/>
                <w:szCs w:val="20"/>
                <w:color w:val="auto"/>
              </w:rPr>
            </w:pPr>
            <w:r>
              <w:rPr>
                <w:rFonts w:ascii="Courier New" w:cs="Courier New" w:eastAsia="Courier New" w:hAnsi="Courier New"/>
                <w:sz w:val="16"/>
                <w:szCs w:val="16"/>
                <w:color w:val="auto"/>
              </w:rPr>
              <w:t>87-0398877</w:t>
            </w:r>
          </w:p>
        </w:tc>
      </w:tr>
      <w:tr>
        <w:trPr>
          <w:trHeight w:val="185"/>
        </w:trPr>
        <w:tc>
          <w:tcPr>
            <w:tcW w:w="5520" w:type="dxa"/>
            <w:vAlign w:val="bottom"/>
          </w:tcPr>
          <w:p>
            <w:pPr>
              <w:jc w:val="center"/>
              <w:ind w:right="1500"/>
              <w:spacing w:after="0"/>
              <w:rPr>
                <w:sz w:val="20"/>
                <w:szCs w:val="20"/>
                <w:color w:val="auto"/>
              </w:rPr>
            </w:pPr>
            <w:r>
              <w:rPr>
                <w:rFonts w:ascii="Courier New" w:cs="Courier New" w:eastAsia="Courier New" w:hAnsi="Courier New"/>
                <w:sz w:val="16"/>
                <w:szCs w:val="16"/>
                <w:color w:val="auto"/>
              </w:rPr>
              <w:t>(State or other jurisdiction of</w:t>
            </w:r>
          </w:p>
        </w:tc>
        <w:tc>
          <w:tcPr>
            <w:tcW w:w="2160" w:type="dxa"/>
            <w:vAlign w:val="bottom"/>
          </w:tcPr>
          <w:p>
            <w:pPr>
              <w:jc w:val="center"/>
              <w:ind w:left="26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5520" w:type="dxa"/>
            <w:vAlign w:val="bottom"/>
          </w:tcPr>
          <w:p>
            <w:pPr>
              <w:jc w:val="center"/>
              <w:ind w:right="1600"/>
              <w:spacing w:after="0"/>
              <w:rPr>
                <w:sz w:val="20"/>
                <w:szCs w:val="20"/>
                <w:color w:val="auto"/>
              </w:rPr>
            </w:pPr>
            <w:r>
              <w:rPr>
                <w:rFonts w:ascii="Courier New" w:cs="Courier New" w:eastAsia="Courier New" w:hAnsi="Courier New"/>
                <w:sz w:val="16"/>
                <w:szCs w:val="16"/>
                <w:color w:val="auto"/>
                <w:w w:val="99"/>
              </w:rPr>
              <w:t>incorporation or organization)</w:t>
            </w:r>
          </w:p>
        </w:tc>
        <w:tc>
          <w:tcPr>
            <w:tcW w:w="216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9"/>
              </w:rPr>
              <w:t>Identification No.)</w:t>
            </w:r>
          </w:p>
        </w:tc>
      </w:tr>
      <w:tr>
        <w:trPr>
          <w:trHeight w:val="370"/>
        </w:trPr>
        <w:tc>
          <w:tcPr>
            <w:tcW w:w="5520" w:type="dxa"/>
            <w:vAlign w:val="bottom"/>
          </w:tcPr>
          <w:p>
            <w:pPr>
              <w:jc w:val="center"/>
              <w:ind w:right="1500"/>
              <w:spacing w:after="0"/>
              <w:rPr>
                <w:sz w:val="20"/>
                <w:szCs w:val="20"/>
                <w:color w:val="auto"/>
              </w:rPr>
            </w:pPr>
            <w:r>
              <w:rPr>
                <w:rFonts w:ascii="Courier New" w:cs="Courier New" w:eastAsia="Courier New" w:hAnsi="Courier New"/>
                <w:sz w:val="16"/>
                <w:szCs w:val="16"/>
                <w:color w:val="auto"/>
                <w:w w:val="99"/>
              </w:rPr>
              <w:t>1825 RESEARCH WAY, SALT LAKE CITY, UTAH</w:t>
            </w:r>
          </w:p>
        </w:tc>
        <w:tc>
          <w:tcPr>
            <w:tcW w:w="2160" w:type="dxa"/>
            <w:vAlign w:val="bottom"/>
          </w:tcPr>
          <w:p>
            <w:pPr>
              <w:jc w:val="center"/>
              <w:ind w:left="280"/>
              <w:spacing w:after="0"/>
              <w:rPr>
                <w:sz w:val="20"/>
                <w:szCs w:val="20"/>
                <w:color w:val="auto"/>
              </w:rPr>
            </w:pPr>
            <w:r>
              <w:rPr>
                <w:rFonts w:ascii="Courier New" w:cs="Courier New" w:eastAsia="Courier New" w:hAnsi="Courier New"/>
                <w:sz w:val="16"/>
                <w:szCs w:val="16"/>
                <w:color w:val="auto"/>
                <w:w w:val="99"/>
              </w:rPr>
              <w:t>84119</w:t>
            </w:r>
          </w:p>
        </w:tc>
      </w:tr>
      <w:tr>
        <w:trPr>
          <w:trHeight w:val="185"/>
        </w:trPr>
        <w:tc>
          <w:tcPr>
            <w:tcW w:w="5520" w:type="dxa"/>
            <w:vAlign w:val="bottom"/>
          </w:tcPr>
          <w:p>
            <w:pPr>
              <w:jc w:val="center"/>
              <w:ind w:right="1600"/>
              <w:spacing w:after="0"/>
              <w:rPr>
                <w:sz w:val="20"/>
                <w:szCs w:val="20"/>
                <w:color w:val="auto"/>
              </w:rPr>
            </w:pPr>
            <w:r>
              <w:rPr>
                <w:rFonts w:ascii="Courier New" w:cs="Courier New" w:eastAsia="Courier New" w:hAnsi="Courier New"/>
                <w:sz w:val="16"/>
                <w:szCs w:val="16"/>
                <w:color w:val="auto"/>
                <w:w w:val="99"/>
              </w:rPr>
              <w:t>(Address of principal executive offices)</w:t>
            </w:r>
          </w:p>
        </w:tc>
        <w:tc>
          <w:tcPr>
            <w:tcW w:w="2160" w:type="dxa"/>
            <w:vAlign w:val="bottom"/>
          </w:tcPr>
          <w:p>
            <w:pPr>
              <w:ind w:left="720"/>
              <w:spacing w:after="0"/>
              <w:rPr>
                <w:sz w:val="20"/>
                <w:szCs w:val="20"/>
                <w:color w:val="auto"/>
              </w:rPr>
            </w:pPr>
            <w:r>
              <w:rPr>
                <w:rFonts w:ascii="Courier New" w:cs="Courier New" w:eastAsia="Courier New" w:hAnsi="Courier New"/>
                <w:sz w:val="16"/>
                <w:szCs w:val="16"/>
                <w:color w:val="auto"/>
              </w:rPr>
              <w:t>(Zip Code)</w:t>
            </w:r>
          </w:p>
        </w:tc>
      </w:tr>
      <w:tr>
        <w:trPr>
          <w:trHeight w:val="554"/>
        </w:trPr>
        <w:tc>
          <w:tcPr>
            <w:tcW w:w="552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(801) 975-7200</w:t>
            </w:r>
          </w:p>
        </w:tc>
        <w:tc>
          <w:tcPr>
            <w:tcW w:w="2160" w:type="dxa"/>
            <w:vAlign w:val="bottom"/>
          </w:tcPr>
          <w:p>
            <w:pPr>
              <w:spacing w:after="0"/>
              <w:rPr>
                <w:sz w:val="24"/>
                <w:szCs w:val="24"/>
                <w:color w:val="auto"/>
              </w:rPr>
            </w:pPr>
          </w:p>
        </w:tc>
      </w:tr>
      <w:tr>
        <w:trPr>
          <w:trHeight w:val="185"/>
        </w:trPr>
        <w:tc>
          <w:tcPr>
            <w:tcW w:w="55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(Issuer's telephone number)</w:t>
            </w:r>
          </w:p>
        </w:tc>
        <w:tc>
          <w:tcPr>
            <w:tcW w:w="2160" w:type="dxa"/>
            <w:vAlign w:val="bottom"/>
          </w:tcPr>
          <w:p>
            <w:pPr>
              <w:spacing w:after="0"/>
              <w:rPr>
                <w:sz w:val="16"/>
                <w:szCs w:val="16"/>
                <w:color w:val="auto"/>
              </w:rPr>
            </w:pPr>
          </w:p>
        </w:tc>
      </w:tr>
    </w:tbl>
    <w:p>
      <w:pPr>
        <w:spacing w:after="0" w:line="373"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if changed since last report.)</w:t>
      </w:r>
    </w:p>
    <w:p>
      <w:pPr>
        <w:spacing w:after="0" w:line="375" w:lineRule="exact"/>
        <w:rPr>
          <w:sz w:val="24"/>
          <w:szCs w:val="24"/>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[X] Yes [ ] No</w:t>
      </w:r>
    </w:p>
    <w:p>
      <w:pPr>
        <w:spacing w:after="0" w:line="190" w:lineRule="exact"/>
        <w:rPr>
          <w:sz w:val="24"/>
          <w:szCs w:val="24"/>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State the number of shares outstanding of each of the issuer's classes of common stock as of the latest practicable date.</w:t>
      </w:r>
    </w:p>
    <w:p>
      <w:pPr>
        <w:sectPr>
          <w:pgSz w:w="11900" w:h="16838" w:orient="portrait"/>
          <w:cols w:equalWidth="0" w:num="1">
            <w:col w:w="10221"/>
          </w:cols>
          <w:pgMar w:left="239" w:top="238" w:right="1440" w:bottom="1440" w:gutter="0" w:footer="0" w:header="0"/>
        </w:sectPr>
      </w:pPr>
    </w:p>
    <w:p>
      <w:pPr>
        <w:spacing w:after="0" w:line="187"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CLASS OF COMMON STOCK</w:t>
      </w:r>
    </w:p>
    <w:p>
      <w:pPr>
        <w:spacing w:after="0" w:line="4"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$0.001 PAR VALUE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6"/>
          <w:szCs w:val="16"/>
          <w:color w:val="auto"/>
        </w:rPr>
        <w:t>MAY 11, 1999</w:t>
      </w:r>
    </w:p>
    <w:p>
      <w:pPr>
        <w:spacing w:after="0" w:line="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6"/>
          <w:szCs w:val="16"/>
          <w:color w:val="auto"/>
        </w:rPr>
        <w:t>8,127,191 SHARES</w:t>
      </w:r>
    </w:p>
    <w:p>
      <w:pPr>
        <w:spacing w:after="0" w:line="188" w:lineRule="exact"/>
        <w:rPr>
          <w:sz w:val="24"/>
          <w:szCs w:val="24"/>
          <w:color w:val="auto"/>
        </w:rPr>
      </w:pPr>
    </w:p>
    <w:p>
      <w:pPr>
        <w:sectPr>
          <w:pgSz w:w="11900" w:h="16838" w:orient="portrait"/>
          <w:cols w:equalWidth="0" w:num="2">
            <w:col w:w="4561" w:space="720"/>
            <w:col w:w="4939"/>
          </w:cols>
          <w:pgMar w:left="239" w:top="238" w:right="1440" w:bottom="1440" w:gutter="0" w:footer="0" w:header="0"/>
          <w:type w:val="continuous"/>
        </w:sectPr>
      </w:pPr>
    </w:p>
    <w:p>
      <w:pPr>
        <w:jc w:val="center"/>
        <w:ind w:right="2618"/>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188"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 ] Yes [X] No</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6"/>
          <w:szCs w:val="16"/>
          <w:color w:val="auto"/>
        </w:rPr>
        <w:t>PART I - FINANCIAL</w:t>
        <w:tab/>
        <w:t>INFORMATION</w:t>
      </w:r>
    </w:p>
    <w:p>
      <w:pPr>
        <w:spacing w:after="0" w:line="18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Item 1. Financial</w:t>
            </w:r>
          </w:p>
        </w:tc>
        <w:tc>
          <w:tcPr>
            <w:tcW w:w="5340" w:type="dxa"/>
            <w:vAlign w:val="bottom"/>
          </w:tcPr>
          <w:p>
            <w:pPr>
              <w:ind w:left="60"/>
              <w:spacing w:after="0"/>
              <w:rPr>
                <w:sz w:val="20"/>
                <w:szCs w:val="20"/>
                <w:color w:val="auto"/>
              </w:rPr>
            </w:pPr>
            <w:r>
              <w:rPr>
                <w:rFonts w:ascii="Courier New" w:cs="Courier New" w:eastAsia="Courier New" w:hAnsi="Courier New"/>
                <w:sz w:val="16"/>
                <w:szCs w:val="16"/>
                <w:color w:val="auto"/>
              </w:rPr>
              <w:t>Statements</w:t>
            </w:r>
          </w:p>
        </w:tc>
        <w:tc>
          <w:tcPr>
            <w:tcW w:w="180" w:type="dxa"/>
            <w:vAlign w:val="bottom"/>
          </w:tcPr>
          <w:p>
            <w:pPr>
              <w:spacing w:after="0"/>
              <w:rPr>
                <w:sz w:val="15"/>
                <w:szCs w:val="15"/>
                <w:color w:val="auto"/>
              </w:rPr>
            </w:pPr>
          </w:p>
        </w:tc>
      </w:tr>
      <w:tr>
        <w:trPr>
          <w:trHeight w:val="370"/>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Balance Sheets</w:t>
            </w:r>
          </w:p>
        </w:tc>
        <w:tc>
          <w:tcPr>
            <w:tcW w:w="180" w:type="dxa"/>
            <w:vAlign w:val="bottom"/>
          </w:tcPr>
          <w:p>
            <w:pPr>
              <w:spacing w:after="0"/>
              <w:rPr>
                <w:sz w:val="24"/>
                <w:szCs w:val="24"/>
                <w:color w:val="auto"/>
              </w:rPr>
            </w:pPr>
          </w:p>
        </w:tc>
      </w:tr>
      <w:tr>
        <w:trPr>
          <w:trHeight w:val="185"/>
        </w:trPr>
        <w:tc>
          <w:tcPr>
            <w:tcW w:w="702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March 31, 1999 (unaudited) and June 30, 1998...............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554"/>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Statements of Operations</w:t>
            </w:r>
          </w:p>
        </w:tc>
        <w:tc>
          <w:tcPr>
            <w:tcW w:w="180" w:type="dxa"/>
            <w:vAlign w:val="bottom"/>
          </w:tcPr>
          <w:p>
            <w:pPr>
              <w:spacing w:after="0"/>
              <w:rPr>
                <w:sz w:val="24"/>
                <w:szCs w:val="24"/>
                <w:color w:val="auto"/>
              </w:rPr>
            </w:pPr>
          </w:p>
        </w:tc>
      </w:tr>
      <w:tr>
        <w:trPr>
          <w:trHeight w:val="185"/>
        </w:trPr>
        <w:tc>
          <w:tcPr>
            <w:tcW w:w="702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Three Months Ended March 31, 1999 and</w:t>
            </w:r>
          </w:p>
        </w:tc>
        <w:tc>
          <w:tcPr>
            <w:tcW w:w="180" w:type="dxa"/>
            <w:vAlign w:val="bottom"/>
          </w:tcPr>
          <w:p>
            <w:pPr>
              <w:spacing w:after="0"/>
              <w:rPr>
                <w:sz w:val="16"/>
                <w:szCs w:val="16"/>
                <w:color w:val="auto"/>
              </w:rPr>
            </w:pPr>
          </w:p>
        </w:tc>
      </w:tr>
      <w:tr>
        <w:trPr>
          <w:trHeight w:val="185"/>
        </w:trPr>
        <w:tc>
          <w:tcPr>
            <w:tcW w:w="1680" w:type="dxa"/>
            <w:vAlign w:val="bottom"/>
          </w:tcPr>
          <w:p>
            <w:pPr>
              <w:ind w:left="1260"/>
              <w:spacing w:after="0"/>
              <w:rPr>
                <w:sz w:val="20"/>
                <w:szCs w:val="20"/>
                <w:color w:val="auto"/>
              </w:rPr>
            </w:pPr>
            <w:r>
              <w:rPr>
                <w:rFonts w:ascii="Courier New" w:cs="Courier New" w:eastAsia="Courier New" w:hAnsi="Courier New"/>
                <w:sz w:val="16"/>
                <w:szCs w:val="16"/>
                <w:color w:val="auto"/>
              </w:rPr>
              <w:t>1998</w:t>
            </w:r>
          </w:p>
        </w:tc>
        <w:tc>
          <w:tcPr>
            <w:tcW w:w="534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554"/>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Statements of Operations</w:t>
            </w:r>
          </w:p>
        </w:tc>
        <w:tc>
          <w:tcPr>
            <w:tcW w:w="180" w:type="dxa"/>
            <w:vAlign w:val="bottom"/>
          </w:tcPr>
          <w:p>
            <w:pPr>
              <w:spacing w:after="0"/>
              <w:rPr>
                <w:sz w:val="24"/>
                <w:szCs w:val="24"/>
                <w:color w:val="auto"/>
              </w:rPr>
            </w:pPr>
          </w:p>
        </w:tc>
      </w:tr>
      <w:tr>
        <w:trPr>
          <w:trHeight w:val="185"/>
        </w:trPr>
        <w:tc>
          <w:tcPr>
            <w:tcW w:w="702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Nine Months Ended March 31, 1999 and</w:t>
            </w:r>
          </w:p>
        </w:tc>
        <w:tc>
          <w:tcPr>
            <w:tcW w:w="180" w:type="dxa"/>
            <w:vAlign w:val="bottom"/>
          </w:tcPr>
          <w:p>
            <w:pPr>
              <w:spacing w:after="0"/>
              <w:rPr>
                <w:sz w:val="16"/>
                <w:szCs w:val="16"/>
                <w:color w:val="auto"/>
              </w:rPr>
            </w:pPr>
          </w:p>
        </w:tc>
      </w:tr>
      <w:tr>
        <w:trPr>
          <w:trHeight w:val="185"/>
        </w:trPr>
        <w:tc>
          <w:tcPr>
            <w:tcW w:w="1680" w:type="dxa"/>
            <w:vAlign w:val="bottom"/>
          </w:tcPr>
          <w:p>
            <w:pPr>
              <w:ind w:left="1260"/>
              <w:spacing w:after="0"/>
              <w:rPr>
                <w:sz w:val="20"/>
                <w:szCs w:val="20"/>
                <w:color w:val="auto"/>
              </w:rPr>
            </w:pPr>
            <w:r>
              <w:rPr>
                <w:rFonts w:ascii="Courier New" w:cs="Courier New" w:eastAsia="Courier New" w:hAnsi="Courier New"/>
                <w:sz w:val="16"/>
                <w:szCs w:val="16"/>
                <w:color w:val="auto"/>
              </w:rPr>
              <w:t>1998</w:t>
            </w:r>
          </w:p>
        </w:tc>
        <w:tc>
          <w:tcPr>
            <w:tcW w:w="534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554"/>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Statements of Cash Flows</w:t>
            </w:r>
          </w:p>
        </w:tc>
        <w:tc>
          <w:tcPr>
            <w:tcW w:w="180" w:type="dxa"/>
            <w:vAlign w:val="bottom"/>
          </w:tcPr>
          <w:p>
            <w:pPr>
              <w:spacing w:after="0"/>
              <w:rPr>
                <w:sz w:val="24"/>
                <w:szCs w:val="24"/>
                <w:color w:val="auto"/>
              </w:rPr>
            </w:pPr>
          </w:p>
        </w:tc>
      </w:tr>
      <w:tr>
        <w:trPr>
          <w:trHeight w:val="185"/>
        </w:trPr>
        <w:tc>
          <w:tcPr>
            <w:tcW w:w="702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Nine Months Ended March 31, 1999 and</w:t>
            </w:r>
          </w:p>
        </w:tc>
        <w:tc>
          <w:tcPr>
            <w:tcW w:w="180" w:type="dxa"/>
            <w:vAlign w:val="bottom"/>
          </w:tcPr>
          <w:p>
            <w:pPr>
              <w:spacing w:after="0"/>
              <w:rPr>
                <w:sz w:val="16"/>
                <w:szCs w:val="16"/>
                <w:color w:val="auto"/>
              </w:rPr>
            </w:pPr>
          </w:p>
        </w:tc>
      </w:tr>
      <w:tr>
        <w:trPr>
          <w:trHeight w:val="185"/>
        </w:trPr>
        <w:tc>
          <w:tcPr>
            <w:tcW w:w="1680" w:type="dxa"/>
            <w:vAlign w:val="bottom"/>
          </w:tcPr>
          <w:p>
            <w:pPr>
              <w:ind w:left="1260"/>
              <w:spacing w:after="0"/>
              <w:rPr>
                <w:sz w:val="20"/>
                <w:szCs w:val="20"/>
                <w:color w:val="auto"/>
              </w:rPr>
            </w:pPr>
            <w:r>
              <w:rPr>
                <w:rFonts w:ascii="Courier New" w:cs="Courier New" w:eastAsia="Courier New" w:hAnsi="Courier New"/>
                <w:sz w:val="16"/>
                <w:szCs w:val="16"/>
                <w:color w:val="auto"/>
              </w:rPr>
              <w:t>1998</w:t>
            </w:r>
          </w:p>
        </w:tc>
        <w:tc>
          <w:tcPr>
            <w:tcW w:w="534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554"/>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Notes to 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554"/>
        </w:trPr>
        <w:tc>
          <w:tcPr>
            <w:tcW w:w="7020" w:type="dxa"/>
            <w:vAlign w:val="bottom"/>
            <w:gridSpan w:val="2"/>
          </w:tcPr>
          <w:p>
            <w:pPr>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180" w:type="dxa"/>
            <w:vAlign w:val="bottom"/>
          </w:tcPr>
          <w:p>
            <w:pPr>
              <w:spacing w:after="0"/>
              <w:rPr>
                <w:sz w:val="24"/>
                <w:szCs w:val="24"/>
                <w:color w:val="auto"/>
              </w:rPr>
            </w:pPr>
          </w:p>
        </w:tc>
      </w:tr>
      <w:tr>
        <w:trPr>
          <w:trHeight w:val="185"/>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PART II - OTHER</w:t>
      </w:r>
      <w:r>
        <w:rPr>
          <w:sz w:val="20"/>
          <w:szCs w:val="20"/>
          <w:color w:val="auto"/>
        </w:rPr>
        <w:tab/>
      </w:r>
      <w:r>
        <w:rPr>
          <w:rFonts w:ascii="Courier New" w:cs="Courier New" w:eastAsia="Courier New" w:hAnsi="Courier New"/>
          <w:sz w:val="15"/>
          <w:szCs w:val="15"/>
          <w:color w:val="auto"/>
        </w:rPr>
        <w:t>INFORMATION</w:t>
      </w:r>
    </w:p>
    <w:p>
      <w:pPr>
        <w:spacing w:after="0" w:line="188" w:lineRule="exact"/>
        <w:rPr>
          <w:sz w:val="20"/>
          <w:szCs w:val="20"/>
          <w:color w:val="auto"/>
        </w:rPr>
      </w:pPr>
    </w:p>
    <w:p>
      <w:pPr>
        <w:ind w:left="380"/>
        <w:spacing w:after="0"/>
        <w:tabs>
          <w:tab w:leader="none" w:pos="1220" w:val="left"/>
          <w:tab w:leader="dot" w:pos="7380"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73"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0" w:type="dxa"/>
            <w:vAlign w:val="bottom"/>
          </w:tcPr>
          <w:p>
            <w:pPr>
              <w:spacing w:after="0"/>
              <w:rPr>
                <w:sz w:val="15"/>
                <w:szCs w:val="15"/>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(Unaudited)</w:t>
            </w:r>
          </w:p>
        </w:tc>
        <w:tc>
          <w:tcPr>
            <w:tcW w:w="14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(Audited)</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March 31,</w:t>
            </w:r>
          </w:p>
        </w:tc>
        <w:tc>
          <w:tcPr>
            <w:tcW w:w="52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June 30,</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ind w:left="2400"/>
              <w:spacing w:after="0"/>
              <w:rPr>
                <w:sz w:val="20"/>
                <w:szCs w:val="20"/>
                <w:color w:val="auto"/>
              </w:rPr>
            </w:pPr>
            <w:r>
              <w:rPr>
                <w:rFonts w:ascii="Courier New" w:cs="Courier New" w:eastAsia="Courier New" w:hAnsi="Courier New"/>
                <w:sz w:val="16"/>
                <w:szCs w:val="16"/>
                <w:color w:val="auto"/>
              </w:rPr>
              <w:t>ASSETS</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Cash and cash equivalents......................................................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$ 2,133,318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715,325</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2,740,840</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1,743,390</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Inventory......................................................................</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2,877,107</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3,154,983</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Deferred taxes.................................................................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40,000</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Other current assets...........................................................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231,162</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174,667</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current assets......................................................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8,022,427</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5,828,365</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2,197,968</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2,320,336</w:t>
            </w:r>
          </w:p>
        </w:tc>
      </w:tr>
      <w:tr>
        <w:trPr>
          <w:trHeight w:val="185"/>
        </w:trPr>
        <w:tc>
          <w:tcPr>
            <w:tcW w:w="8400" w:type="dxa"/>
            <w:vAlign w:val="bottom"/>
          </w:tcPr>
          <w:p>
            <w:pPr>
              <w:spacing w:after="0"/>
              <w:rPr>
                <w:sz w:val="20"/>
                <w:szCs w:val="20"/>
                <w:color w:val="auto"/>
              </w:rPr>
            </w:pPr>
            <w:r>
              <w:rPr>
                <w:rFonts w:ascii="Courier New" w:cs="Courier New" w:eastAsia="Courier New" w:hAnsi="Courier New"/>
                <w:sz w:val="16"/>
                <w:szCs w:val="16"/>
                <w:color w:val="auto"/>
              </w:rPr>
              <w:t>Related party note receivable........................................................</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109,046</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126,505</w:t>
            </w:r>
          </w:p>
        </w:tc>
      </w:tr>
      <w:tr>
        <w:trPr>
          <w:trHeight w:val="185"/>
        </w:trPr>
        <w:tc>
          <w:tcPr>
            <w:tcW w:w="840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18,408</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36,534</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assets..............................................................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$10,347,849</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$ 8,311,740</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8400" w:type="dxa"/>
            <w:vAlign w:val="bottom"/>
          </w:tcPr>
          <w:p>
            <w:pPr>
              <w:ind w:left="1240"/>
              <w:spacing w:after="0"/>
              <w:rPr>
                <w:sz w:val="20"/>
                <w:szCs w:val="20"/>
                <w:color w:val="auto"/>
              </w:rPr>
            </w:pPr>
            <w:r>
              <w:rPr>
                <w:rFonts w:ascii="Courier New" w:cs="Courier New" w:eastAsia="Courier New" w:hAnsi="Courier New"/>
                <w:sz w:val="16"/>
                <w:szCs w:val="16"/>
                <w:color w:val="auto"/>
              </w:rPr>
              <w:t>LIABILITIES AND SHAREHOLDERS' EQUITY</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960,706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537,202</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Accrued compensation and other benefits.........................................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477,213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486,658</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Accrued income tax..............................................................</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314,089</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45,982</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Other accrued expenses..........................................................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581,953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326,841</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Current portion of long-term debt...............................................</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285,630</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Current portion of capital lease obligations....................................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239,022</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237,109</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current liabilities..................................................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2,572,983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1,919,422</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402,584</w:t>
            </w:r>
          </w:p>
        </w:tc>
      </w:tr>
      <w:tr>
        <w:trPr>
          <w:trHeight w:val="185"/>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Capital lease obligations.............................................................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584,700</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752,728</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liabilities..........................................................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3,157,683</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3,074,734</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Common stock, 50,000,000 shares authorized,</w:t>
            </w: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par value $.001, 8,126,869 and</w:t>
            </w: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7,698,523 shares issued and outstanding</w:t>
            </w: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at March 31, 1999 and June 30, 1998...........................................</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8,123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7,699</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Additional paid-in capital......................................................</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4,774,935</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4,454,407</w:t>
            </w:r>
          </w:p>
        </w:tc>
      </w:tr>
      <w:tr>
        <w:trPr>
          <w:trHeight w:val="185"/>
        </w:trPr>
        <w:tc>
          <w:tcPr>
            <w:tcW w:w="8400" w:type="dxa"/>
            <w:vAlign w:val="bottom"/>
          </w:tcPr>
          <w:p>
            <w:pPr>
              <w:ind w:left="580"/>
              <w:spacing w:after="0"/>
              <w:rPr>
                <w:sz w:val="20"/>
                <w:szCs w:val="20"/>
                <w:color w:val="auto"/>
              </w:rPr>
            </w:pPr>
            <w:r>
              <w:rPr>
                <w:rFonts w:ascii="Courier New" w:cs="Courier New" w:eastAsia="Courier New" w:hAnsi="Courier New"/>
                <w:sz w:val="16"/>
                <w:szCs w:val="16"/>
                <w:color w:val="auto"/>
              </w:rPr>
              <w:t>Retained earnings...............................................................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2,407,108</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774,900</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shareholders' equity.................................................</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7,190,166</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5,237,006</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ind w:left="10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$10,347,849</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$ 8,311,740</w:t>
            </w:r>
          </w:p>
        </w:tc>
      </w:tr>
      <w:tr>
        <w:trPr>
          <w:trHeight w:val="185"/>
        </w:trPr>
        <w:tc>
          <w:tcPr>
            <w:tcW w:w="8400" w:type="dxa"/>
            <w:vAlign w:val="bottom"/>
          </w:tcPr>
          <w:p>
            <w:pPr>
              <w:spacing w:after="0"/>
              <w:rPr>
                <w:sz w:val="16"/>
                <w:szCs w:val="16"/>
                <w:color w:val="auto"/>
              </w:rPr>
            </w:pP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1520"/>
          </w:cols>
          <w:pgMar w:left="240" w:top="300" w:right="139" w:bottom="1440" w:gutter="0" w:footer="0" w:header="0"/>
        </w:sectPr>
      </w:pP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300" w:right="139"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1999</w:t>
            </w:r>
          </w:p>
        </w:tc>
        <w:tc>
          <w:tcPr>
            <w:tcW w:w="16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sales....................................</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$ 5,819,151</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$ 4,208,908</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 of goods sold...........................</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2,437,243</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2,045,970</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Gross profit.................................</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3,381,908</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2,162,938</w:t>
            </w:r>
          </w:p>
        </w:tc>
      </w:tr>
      <w:tr>
        <w:trPr>
          <w:trHeight w:val="370"/>
        </w:trPr>
        <w:tc>
          <w:tcPr>
            <w:tcW w:w="44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and marketing..................</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1,290,077</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846,125</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General and administrative.............</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723,669</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546,045</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Product development....................</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375,850</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352,338</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operating expense...........</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2,389,596</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1,744,508</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Operating income..................</w:t>
            </w:r>
          </w:p>
        </w:tc>
        <w:tc>
          <w:tcPr>
            <w:tcW w:w="34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992,312</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418,430</w:t>
            </w:r>
          </w:p>
        </w:tc>
      </w:tr>
      <w:tr>
        <w:trPr>
          <w:trHeight w:val="370"/>
        </w:trPr>
        <w:tc>
          <w:tcPr>
            <w:tcW w:w="44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Interest income........................</w:t>
            </w:r>
          </w:p>
        </w:tc>
        <w:tc>
          <w:tcPr>
            <w:tcW w:w="34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21,490</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3,257</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Interest expense.......................</w:t>
            </w:r>
          </w:p>
        </w:tc>
        <w:tc>
          <w:tcPr>
            <w:tcW w:w="34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(37,077)</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(62,757)</w:t>
            </w:r>
          </w:p>
        </w:tc>
      </w:tr>
      <w:tr>
        <w:trPr>
          <w:trHeight w:val="185"/>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net.............................</w:t>
            </w:r>
          </w:p>
        </w:tc>
        <w:tc>
          <w:tcPr>
            <w:tcW w:w="34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(9,696)</w:t>
            </w:r>
          </w:p>
        </w:tc>
        <w:tc>
          <w:tcPr>
            <w:tcW w:w="1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1,529</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other income (expense)......</w:t>
            </w:r>
          </w:p>
        </w:tc>
        <w:tc>
          <w:tcPr>
            <w:tcW w:w="340" w:type="dxa"/>
            <w:vAlign w:val="bottom"/>
          </w:tcPr>
          <w:p>
            <w:pPr>
              <w:spacing w:after="0"/>
              <w:rPr>
                <w:sz w:val="24"/>
                <w:szCs w:val="24"/>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(25,283)</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(57,971)</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before income taxes...................</w:t>
            </w:r>
          </w:p>
        </w:tc>
        <w:tc>
          <w:tcPr>
            <w:tcW w:w="34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967,029</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360,459</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Provision for income taxes...................</w:t>
            </w:r>
          </w:p>
        </w:tc>
        <w:tc>
          <w:tcPr>
            <w:tcW w:w="34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360,700</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606,329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360,459</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Basic earnings per common share..............</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0.07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0.05</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Diluted earnings per common share............</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0.07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0.05</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tcPr>
          <w:p>
            <w:pPr>
              <w:jc w:val="center"/>
              <w:ind w:left="680"/>
              <w:spacing w:after="0"/>
              <w:rPr>
                <w:sz w:val="20"/>
                <w:szCs w:val="20"/>
                <w:color w:val="auto"/>
              </w:rPr>
            </w:pPr>
            <w:r>
              <w:rPr>
                <w:rFonts w:ascii="Courier New" w:cs="Courier New" w:eastAsia="Courier New" w:hAnsi="Courier New"/>
                <w:sz w:val="16"/>
                <w:szCs w:val="16"/>
                <w:color w:val="auto"/>
              </w:rPr>
              <w:t>(Unaudited)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2"/>
          </w:tcPr>
          <w:p>
            <w:pPr>
              <w:jc w:val="center"/>
              <w:ind w:left="400"/>
              <w:spacing w:after="0"/>
              <w:rPr>
                <w:sz w:val="20"/>
                <w:szCs w:val="20"/>
                <w:color w:val="auto"/>
              </w:rPr>
            </w:pPr>
            <w:r>
              <w:rPr>
                <w:rFonts w:ascii="Courier New" w:cs="Courier New" w:eastAsia="Courier New" w:hAnsi="Courier New"/>
                <w:sz w:val="16"/>
                <w:szCs w:val="16"/>
                <w:color w:val="auto"/>
              </w:rPr>
              <w:t>Nine Months Ended</w:t>
            </w:r>
          </w:p>
        </w:tc>
        <w:tc>
          <w:tcPr>
            <w:tcW w:w="9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jc w:val="center"/>
              <w:ind w:left="680"/>
              <w:spacing w:after="0"/>
              <w:rPr>
                <w:sz w:val="20"/>
                <w:szCs w:val="20"/>
                <w:color w:val="auto"/>
              </w:rPr>
            </w:pPr>
            <w:r>
              <w:rPr>
                <w:rFonts w:ascii="Courier New" w:cs="Courier New" w:eastAsia="Courier New" w:hAnsi="Courier New"/>
                <w:sz w:val="16"/>
                <w:szCs w:val="16"/>
                <w:color w:val="auto"/>
                <w:w w:val="99"/>
              </w:rPr>
              <w:t>March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346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1999</w:t>
            </w:r>
          </w:p>
        </w:tc>
        <w:tc>
          <w:tcPr>
            <w:tcW w:w="30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Net sales.....................................</w:t>
            </w: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$ 16,570,569</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$ 11,934,700</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Cost of goods sold............................</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7,316,768</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5,672,251</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Gross profit..................................</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9,253,801</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6,262,449</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Selling and marketing...................</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3,509,366</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2,352,336</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1,912,388</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1,891,539</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Product development.....................</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1,146,785</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996,658</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operating expense............</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6,568,539</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5,240,533</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 income...................</w:t>
            </w:r>
          </w:p>
        </w:tc>
        <w:tc>
          <w:tcPr>
            <w:tcW w:w="38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2,685,262</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1,021,916</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3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65,926</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10,469</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expense........................</w:t>
            </w:r>
          </w:p>
        </w:tc>
        <w:tc>
          <w:tcPr>
            <w:tcW w:w="3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(127,367)</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(187,108)</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net..............................</w:t>
            </w:r>
          </w:p>
        </w:tc>
        <w:tc>
          <w:tcPr>
            <w:tcW w:w="3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(14,913)</w:t>
            </w:r>
          </w:p>
        </w:tc>
        <w:tc>
          <w:tcPr>
            <w:tcW w:w="3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10,883</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other income (expense).......</w:t>
            </w:r>
          </w:p>
        </w:tc>
        <w:tc>
          <w:tcPr>
            <w:tcW w:w="380" w:type="dxa"/>
            <w:vAlign w:val="bottom"/>
          </w:tcPr>
          <w:p>
            <w:pPr>
              <w:spacing w:after="0"/>
              <w:rPr>
                <w:sz w:val="24"/>
                <w:szCs w:val="24"/>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(76,354)</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(165,756)</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income taxes....................</w:t>
            </w:r>
          </w:p>
        </w:tc>
        <w:tc>
          <w:tcPr>
            <w:tcW w:w="38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2,608,908</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856,160</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income taxes....................</w:t>
            </w:r>
          </w:p>
        </w:tc>
        <w:tc>
          <w:tcPr>
            <w:tcW w:w="38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976,700</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1,632,208</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856,160</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Basic earnings per common share...............</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0.20</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0.11</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Diluted earnings per common share.............</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0.19</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0.11</w:t>
            </w:r>
          </w:p>
        </w:tc>
      </w:tr>
      <w:tr>
        <w:trPr>
          <w:trHeight w:val="185"/>
        </w:trPr>
        <w:tc>
          <w:tcPr>
            <w:tcW w:w="4520" w:type="dxa"/>
            <w:vAlign w:val="bottom"/>
          </w:tcPr>
          <w:p>
            <w:pPr>
              <w:spacing w:after="0"/>
              <w:rPr>
                <w:sz w:val="16"/>
                <w:szCs w:val="16"/>
                <w:color w:val="auto"/>
              </w:rPr>
            </w:pPr>
          </w:p>
        </w:tc>
        <w:tc>
          <w:tcPr>
            <w:tcW w:w="22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7020" w:type="dxa"/>
            <w:vAlign w:val="bottom"/>
          </w:tcPr>
          <w:p>
            <w:pPr>
              <w:jc w:val="right"/>
              <w:ind w:right="6560"/>
              <w:spacing w:after="0"/>
              <w:rPr>
                <w:sz w:val="20"/>
                <w:szCs w:val="20"/>
                <w:color w:val="auto"/>
              </w:rPr>
            </w:pPr>
            <w:r>
              <w:rPr>
                <w:rFonts w:ascii="Courier New" w:cs="Courier New" w:eastAsia="Courier New" w:hAnsi="Courier New"/>
                <w:sz w:val="16"/>
                <w:szCs w:val="16"/>
                <w:color w:val="auto"/>
              </w:rPr>
              <w:t>6</w:t>
            </w: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9"/>
        </w:trPr>
        <w:tc>
          <w:tcPr>
            <w:tcW w:w="7020" w:type="dxa"/>
            <w:vAlign w:val="bottom"/>
          </w:tcPr>
          <w:p>
            <w:pPr>
              <w:jc w:val="right"/>
              <w:ind w:right="1460"/>
              <w:spacing w:after="0"/>
              <w:rPr>
                <w:sz w:val="20"/>
                <w:szCs w:val="20"/>
                <w:color w:val="auto"/>
              </w:rPr>
            </w:pPr>
            <w:r>
              <w:rPr>
                <w:rFonts w:ascii="Courier New" w:cs="Courier New" w:eastAsia="Courier New" w:hAnsi="Courier New"/>
                <w:sz w:val="16"/>
                <w:szCs w:val="16"/>
                <w:color w:val="auto"/>
              </w:rPr>
              <w:t>GENTNER COMMUNICATIONS CORPORATION</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0"/>
        </w:trPr>
        <w:tc>
          <w:tcPr>
            <w:tcW w:w="7020" w:type="dxa"/>
            <w:vAlign w:val="bottom"/>
          </w:tcPr>
          <w:p>
            <w:pPr>
              <w:jc w:val="right"/>
              <w:ind w:right="1940"/>
              <w:spacing w:after="0"/>
              <w:rPr>
                <w:sz w:val="20"/>
                <w:szCs w:val="20"/>
                <w:color w:val="auto"/>
              </w:rPr>
            </w:pPr>
            <w:r>
              <w:rPr>
                <w:rFonts w:ascii="Courier New" w:cs="Courier New" w:eastAsia="Courier New" w:hAnsi="Courier New"/>
                <w:sz w:val="16"/>
                <w:szCs w:val="16"/>
                <w:color w:val="auto"/>
              </w:rPr>
              <w:t>STATEMENTS OF CASH FLOWS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39"/>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center"/>
              <w:ind w:left="680"/>
              <w:spacing w:after="0"/>
              <w:rPr>
                <w:sz w:val="20"/>
                <w:szCs w:val="20"/>
                <w:color w:val="auto"/>
              </w:rPr>
            </w:pPr>
            <w:r>
              <w:rPr>
                <w:rFonts w:ascii="Courier New" w:cs="Courier New" w:eastAsia="Courier New" w:hAnsi="Courier New"/>
                <w:sz w:val="16"/>
                <w:szCs w:val="16"/>
                <w:color w:val="auto"/>
              </w:rPr>
              <w:t>(Unaudited)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center"/>
              <w:ind w:left="400"/>
              <w:spacing w:after="0"/>
              <w:rPr>
                <w:sz w:val="20"/>
                <w:szCs w:val="20"/>
                <w:color w:val="auto"/>
              </w:rPr>
            </w:pPr>
            <w:r>
              <w:rPr>
                <w:rFonts w:ascii="Courier New" w:cs="Courier New" w:eastAsia="Courier New" w:hAnsi="Courier New"/>
                <w:sz w:val="16"/>
                <w:szCs w:val="16"/>
                <w:color w:val="auto"/>
              </w:rPr>
              <w:t>Nine Months Ended</w:t>
            </w:r>
          </w:p>
        </w:tc>
        <w:tc>
          <w:tcPr>
            <w:tcW w:w="860" w:type="dxa"/>
            <w:vAlign w:val="bottom"/>
          </w:tcPr>
          <w:p>
            <w:pPr>
              <w:spacing w:after="0"/>
              <w:rPr>
                <w:sz w:val="16"/>
                <w:szCs w:val="16"/>
                <w:color w:val="auto"/>
              </w:rPr>
            </w:pPr>
          </w:p>
        </w:tc>
      </w:t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March 31,</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1999</w:t>
            </w:r>
          </w:p>
        </w:tc>
        <w:tc>
          <w:tcPr>
            <w:tcW w:w="300" w:type="dxa"/>
            <w:vAlign w:val="bottom"/>
          </w:tcPr>
          <w:p>
            <w:pPr>
              <w:spacing w:after="0"/>
              <w:rPr>
                <w:sz w:val="16"/>
                <w:szCs w:val="16"/>
                <w:color w:val="auto"/>
              </w:rPr>
            </w:pPr>
          </w:p>
        </w:tc>
        <w:tc>
          <w:tcPr>
            <w:tcW w:w="8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3"/>
              </w:rPr>
              <w:t>1998</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70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income........................................................</w:t>
            </w: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$ 1,632,208</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856,160</w:t>
            </w:r>
          </w:p>
        </w:tc>
      </w:tr>
      <w:tr>
        <w:trPr>
          <w:trHeight w:val="185"/>
        </w:trPr>
        <w:tc>
          <w:tcPr>
            <w:tcW w:w="7020" w:type="dxa"/>
            <w:vAlign w:val="bottom"/>
          </w:tcPr>
          <w:p>
            <w:pPr>
              <w:jc w:val="right"/>
              <w:ind w:right="184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020" w:type="dxa"/>
            <w:vAlign w:val="bottom"/>
          </w:tcPr>
          <w:p>
            <w:pPr>
              <w:jc w:val="right"/>
              <w:ind w:right="3000"/>
              <w:spacing w:after="0"/>
              <w:rPr>
                <w:sz w:val="20"/>
                <w:szCs w:val="20"/>
                <w:color w:val="auto"/>
              </w:rPr>
            </w:pPr>
            <w:r>
              <w:rPr>
                <w:rFonts w:ascii="Courier New" w:cs="Courier New" w:eastAsia="Courier New" w:hAnsi="Courier New"/>
                <w:sz w:val="16"/>
                <w:szCs w:val="16"/>
                <w:color w:val="auto"/>
              </w:rPr>
              <w:t>provided by operating activities:</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020" w:type="dxa"/>
            <w:vAlign w:val="bottom"/>
          </w:tcPr>
          <w:p>
            <w:pPr>
              <w:ind w:left="1060"/>
              <w:spacing w:after="0"/>
              <w:rPr>
                <w:sz w:val="20"/>
                <w:szCs w:val="20"/>
                <w:color w:val="auto"/>
              </w:rPr>
            </w:pPr>
            <w:r>
              <w:rPr>
                <w:rFonts w:ascii="Courier New" w:cs="Courier New" w:eastAsia="Courier New" w:hAnsi="Courier New"/>
                <w:sz w:val="16"/>
                <w:szCs w:val="16"/>
                <w:color w:val="auto"/>
              </w:rPr>
              <w:t>Depreciation and amortization of property and</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equipment..................................................</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535,633</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504,679</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Amortization of other assets.................................</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16,374</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41,470</w:t>
            </w:r>
          </w:p>
        </w:tc>
      </w:tr>
      <w:tr>
        <w:trPr>
          <w:trHeight w:val="185"/>
        </w:trPr>
        <w:tc>
          <w:tcPr>
            <w:tcW w:w="7020" w:type="dxa"/>
            <w:vAlign w:val="bottom"/>
          </w:tcPr>
          <w:p>
            <w:pPr>
              <w:ind w:left="106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w:t>
            </w:r>
          </w:p>
        </w:tc>
        <w:tc>
          <w:tcPr>
            <w:tcW w:w="2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(997,450)</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(21,207)</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Inventory...............................................</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277,876</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(968,359)</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assets....................................</w:t>
            </w:r>
          </w:p>
        </w:tc>
        <w:tc>
          <w:tcPr>
            <w:tcW w:w="2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(56,495)</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(104,303)</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 and other accrued expenses.............</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937,278</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439,177</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8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2,345,424</w:t>
            </w:r>
          </w:p>
        </w:tc>
        <w:tc>
          <w:tcPr>
            <w:tcW w:w="30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747,617</w:t>
            </w:r>
          </w:p>
        </w:tc>
      </w:tr>
      <w:tr>
        <w:trPr>
          <w:trHeight w:val="370"/>
        </w:trPr>
        <w:tc>
          <w:tcPr>
            <w:tcW w:w="70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Purchases of property and equipment...............................</w:t>
            </w:r>
          </w:p>
        </w:tc>
        <w:tc>
          <w:tcPr>
            <w:tcW w:w="2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(413,265)</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(243,730)</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Repayment of note receivable......................................</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17,459</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Decrease (increase) in other assets...............................</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1,752</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(17,987)</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24"/>
                <w:szCs w:val="24"/>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(394,054)</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(225,743)</w:t>
            </w:r>
          </w:p>
        </w:tc>
      </w:tr>
      <w:tr>
        <w:trPr>
          <w:trHeight w:val="370"/>
        </w:trPr>
        <w:tc>
          <w:tcPr>
            <w:tcW w:w="70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issuance of common stock............................</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2,902</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 of employee stock options................................</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318,050</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25,611</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repayments under line of credit...............................</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(162,655)</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Principal payments of capital lease obligations...................</w:t>
            </w:r>
          </w:p>
        </w:tc>
        <w:tc>
          <w:tcPr>
            <w:tcW w:w="2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(166,115)</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(199,586)</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Principal payments of long-term debt..............................</w:t>
            </w:r>
          </w:p>
        </w:tc>
        <w:tc>
          <w:tcPr>
            <w:tcW w:w="280" w:type="dxa"/>
            <w:vAlign w:val="bottom"/>
          </w:tcPr>
          <w:p>
            <w:pPr>
              <w:spacing w:after="0"/>
              <w:rPr>
                <w:sz w:val="16"/>
                <w:szCs w:val="16"/>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(688,214)</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(189,322)</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cash used in financing activities...................</w:t>
            </w:r>
          </w:p>
        </w:tc>
        <w:tc>
          <w:tcPr>
            <w:tcW w:w="280" w:type="dxa"/>
            <w:vAlign w:val="bottom"/>
          </w:tcPr>
          <w:p>
            <w:pPr>
              <w:spacing w:after="0"/>
              <w:rPr>
                <w:sz w:val="24"/>
                <w:szCs w:val="24"/>
                <w:color w:val="auto"/>
              </w:rPr>
            </w:pP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(533,377)</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(525,962)</w:t>
            </w:r>
          </w:p>
        </w:tc>
      </w:tr>
      <w:tr>
        <w:trPr>
          <w:trHeight w:val="370"/>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Net increase (decrease) in cash.........................................</w:t>
            </w:r>
          </w:p>
        </w:tc>
        <w:tc>
          <w:tcPr>
            <w:tcW w:w="280" w:type="dxa"/>
            <w:vAlign w:val="bottom"/>
          </w:tcPr>
          <w:p>
            <w:pPr>
              <w:spacing w:after="0"/>
              <w:rPr>
                <w:sz w:val="24"/>
                <w:szCs w:val="24"/>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7"/>
              </w:rPr>
              <w:t>1,417,993</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(4,088)</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Cash at the beginning of the year.......................................</w:t>
            </w:r>
          </w:p>
        </w:tc>
        <w:tc>
          <w:tcPr>
            <w:tcW w:w="280" w:type="dxa"/>
            <w:vAlign w:val="bottom"/>
          </w:tcPr>
          <w:p>
            <w:pPr>
              <w:spacing w:after="0"/>
              <w:rPr>
                <w:sz w:val="16"/>
                <w:szCs w:val="16"/>
                <w:color w:val="auto"/>
              </w:rPr>
            </w:pP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715,325</w:t>
            </w:r>
          </w:p>
        </w:tc>
        <w:tc>
          <w:tcPr>
            <w:tcW w:w="3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63,992</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Cash at the end of the period...........................................</w:t>
            </w: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$ 2,133,318</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59,904</w:t>
            </w:r>
          </w:p>
        </w:tc>
      </w:tr>
      <w:tr>
        <w:trPr>
          <w:trHeight w:val="185"/>
        </w:trPr>
        <w:tc>
          <w:tcPr>
            <w:tcW w:w="7020" w:type="dxa"/>
            <w:vAlign w:val="bottom"/>
          </w:tcPr>
          <w:p>
            <w:pPr>
              <w:spacing w:after="0"/>
              <w:rPr>
                <w:sz w:val="16"/>
                <w:szCs w:val="16"/>
                <w:color w:val="auto"/>
              </w:rPr>
            </w:pPr>
          </w:p>
        </w:tc>
        <w:tc>
          <w:tcPr>
            <w:tcW w:w="21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2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outflow information:</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Income taxes paid.......................................</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(708,593)</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paid...........................................</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(129,857)</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(188,755)</w:t>
            </w:r>
          </w:p>
        </w:tc>
      </w:tr>
      <w:tr>
        <w:trPr>
          <w:trHeight w:val="370"/>
        </w:trPr>
        <w:tc>
          <w:tcPr>
            <w:tcW w:w="7020" w:type="dxa"/>
            <w:vAlign w:val="bottom"/>
          </w:tcPr>
          <w:p>
            <w:pPr>
              <w:spacing w:after="0"/>
              <w:rPr>
                <w:sz w:val="20"/>
                <w:szCs w:val="20"/>
                <w:color w:val="auto"/>
              </w:rPr>
            </w:pPr>
            <w:r>
              <w:rPr>
                <w:rFonts w:ascii="Courier New" w:cs="Courier New" w:eastAsia="Courier New" w:hAnsi="Courier New"/>
                <w:sz w:val="16"/>
                <w:szCs w:val="16"/>
                <w:color w:val="auto"/>
              </w:rPr>
              <w:t>Supplemental disclosure of other information:</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Property and equipment financed by capital leases.......</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212,945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80"/>
          </w:cols>
          <w:pgMar w:left="240" w:top="300" w:right="1379" w:bottom="1440" w:gutter="0" w:footer="0" w:header="0"/>
        </w:sectPr>
      </w:pP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80"/>
          </w:cols>
          <w:pgMar w:left="240" w:top="300" w:right="1379" w:bottom="1440" w:gutter="0" w:footer="0" w:header="0"/>
          <w:type w:val="continuous"/>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7</w:t>
      </w:r>
    </w:p>
    <w:p>
      <w:pPr>
        <w:spacing w:after="0" w:line="373"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MARCH 31, 1999</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381" w:hanging="381"/>
        <w:spacing w:after="0"/>
        <w:tabs>
          <w:tab w:leader="none" w:pos="3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left="1" w:right="3080" w:firstLine="1057"/>
        <w:spacing w:after="0" w:line="263" w:lineRule="auto"/>
        <w:rPr>
          <w:sz w:val="20"/>
          <w:szCs w:val="20"/>
          <w:color w:val="auto"/>
        </w:rPr>
      </w:pPr>
      <w:r>
        <w:rPr>
          <w:rFonts w:ascii="Courier New" w:cs="Courier New" w:eastAsia="Courier New" w:hAnsi="Courier New"/>
          <w:sz w:val="15"/>
          <w:szCs w:val="15"/>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1998 Annual Report and Form 10-KSB.</w:t>
      </w:r>
    </w:p>
    <w:p>
      <w:pPr>
        <w:spacing w:after="0" w:line="175" w:lineRule="exact"/>
        <w:rPr>
          <w:sz w:val="20"/>
          <w:szCs w:val="20"/>
          <w:color w:val="auto"/>
        </w:rPr>
      </w:pPr>
    </w:p>
    <w:p>
      <w:pPr>
        <w:ind w:left="1" w:right="3260" w:firstLine="1057"/>
        <w:spacing w:after="0" w:line="243"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88" w:lineRule="exact"/>
        <w:rPr>
          <w:sz w:val="20"/>
          <w:szCs w:val="20"/>
          <w:color w:val="auto"/>
        </w:rPr>
      </w:pPr>
    </w:p>
    <w:p>
      <w:pPr>
        <w:ind w:left="381" w:hanging="381"/>
        <w:spacing w:after="0"/>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90" w:lineRule="exact"/>
        <w:rPr>
          <w:sz w:val="20"/>
          <w:szCs w:val="20"/>
          <w:color w:val="auto"/>
        </w:rPr>
      </w:pPr>
    </w:p>
    <w:p>
      <w:pPr>
        <w:ind w:left="1" w:right="3260" w:firstLine="1057"/>
        <w:spacing w:after="0" w:line="242" w:lineRule="auto"/>
        <w:rPr>
          <w:sz w:val="20"/>
          <w:szCs w:val="20"/>
          <w:color w:val="auto"/>
        </w:rPr>
      </w:pPr>
      <w:r>
        <w:rPr>
          <w:rFonts w:ascii="Courier New" w:cs="Courier New" w:eastAsia="Courier New" w:hAnsi="Courier New"/>
          <w:sz w:val="16"/>
          <w:szCs w:val="16"/>
          <w:color w:val="auto"/>
        </w:rPr>
        <w:t>The following tables set forth the computation of basic and diluted net income per share:</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1999</w:t>
            </w:r>
          </w:p>
        </w:tc>
        <w:tc>
          <w:tcPr>
            <w:tcW w:w="10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606,329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360,459</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Denominator for basic net income per share - weighted average shares......</w:t>
            </w: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9"/>
              </w:rPr>
              <w:t>8,123,953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7,678,964</w:t>
            </w: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Effect of dilutive securities using treasury stock method.................</w:t>
            </w: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418,191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240,773</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9"/>
              </w:rPr>
              <w:t>8,542,144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7,919,737</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Net income per share - basic....................................................</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Net income per share - dilutive.................................................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924"/>
        </w:trPr>
        <w:tc>
          <w:tcPr>
            <w:tcW w:w="2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March 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1999</w:t>
            </w:r>
          </w:p>
        </w:tc>
        <w:tc>
          <w:tcPr>
            <w:tcW w:w="10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$1,632,208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856,160</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Denominator for basic net income per share - weighted average shares......</w:t>
            </w: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9"/>
              </w:rPr>
              <w:t>8,064,981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7,673,652</w:t>
            </w:r>
          </w:p>
        </w:tc>
      </w:tr>
      <w:tr>
        <w:trPr>
          <w:trHeight w:val="185"/>
        </w:trPr>
        <w:tc>
          <w:tcPr>
            <w:tcW w:w="28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Courier New" w:cs="Courier New" w:eastAsia="Courier New" w:hAnsi="Courier New"/>
                <w:sz w:val="16"/>
                <w:szCs w:val="16"/>
                <w:color w:val="auto"/>
              </w:rPr>
              <w:t>Effect of dilutive securities using treasury stock method.................</w:t>
            </w: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319,380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222,257</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9"/>
              </w:rPr>
              <w:t>8,384,361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7,895,909</w:t>
            </w:r>
          </w:p>
        </w:tc>
      </w:tr>
      <w:tr>
        <w:trPr>
          <w:trHeight w:val="185"/>
        </w:trPr>
        <w:tc>
          <w:tcPr>
            <w:tcW w:w="2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9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Net income per share - basic....................................................</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0.20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Net income per share - dilutive.................................................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0.19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554"/>
        </w:trPr>
        <w:tc>
          <w:tcPr>
            <w:tcW w:w="28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754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7540" w:type="dxa"/>
            <w:vAlign w:val="bottom"/>
          </w:tcPr>
          <w:p>
            <w:pPr>
              <w:ind w:left="780"/>
              <w:spacing w:after="0"/>
              <w:rPr>
                <w:sz w:val="20"/>
                <w:szCs w:val="20"/>
                <w:color w:val="auto"/>
              </w:rPr>
            </w:pPr>
            <w:r>
              <w:rPr>
                <w:rFonts w:ascii="Courier New" w:cs="Courier New" w:eastAsia="Courier New" w:hAnsi="Courier New"/>
                <w:sz w:val="16"/>
                <w:szCs w:val="16"/>
                <w:color w:val="auto"/>
              </w:rPr>
              <w:t>As of July 1, 1998, the Company adopted Statement of Financial</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Accounting Standards No. 130, "Reporting Comprehensive Income." Comprehensive</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income for the nine-month periods ended March 31, 1999 and 1998 was equal to net</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income.</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0"/>
        </w:trPr>
        <w:tc>
          <w:tcPr>
            <w:tcW w:w="2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7540" w:type="dxa"/>
            <w:vAlign w:val="bottom"/>
          </w:tcPr>
          <w:p>
            <w:pPr>
              <w:ind w:left="100"/>
              <w:spacing w:after="0"/>
              <w:rPr>
                <w:sz w:val="20"/>
                <w:szCs w:val="20"/>
                <w:color w:val="auto"/>
              </w:rPr>
            </w:pPr>
            <w:r>
              <w:rPr>
                <w:rFonts w:ascii="Courier New" w:cs="Courier New" w:eastAsia="Courier New" w:hAnsi="Courier New"/>
                <w:sz w:val="16"/>
                <w:szCs w:val="16"/>
                <w:color w:val="auto"/>
              </w:rPr>
              <w:t>USE OF ESTIMATES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7540" w:type="dxa"/>
            <w:vAlign w:val="bottom"/>
          </w:tcPr>
          <w:p>
            <w:pPr>
              <w:ind w:left="780"/>
              <w:spacing w:after="0"/>
              <w:rPr>
                <w:sz w:val="20"/>
                <w:szCs w:val="20"/>
                <w:color w:val="auto"/>
              </w:rPr>
            </w:pPr>
            <w:r>
              <w:rPr>
                <w:rFonts w:ascii="Courier New" w:cs="Courier New" w:eastAsia="Courier New" w:hAnsi="Courier New"/>
                <w:sz w:val="16"/>
                <w:szCs w:val="16"/>
                <w:color w:val="auto"/>
              </w:rPr>
              <w:t>The preparation of financial statements in conformity with generally</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accepted accounting principles requires management to make estimates and</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assumptions that affect the reported amounts in the financial statements and</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these accompanying notes. Actual results could differ from those estimates.</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ectPr>
          <w:pgSz w:w="11900" w:h="16838" w:orient="portrait"/>
          <w:cols w:equalWidth="0" w:num="1">
            <w:col w:w="10761"/>
          </w:cols>
          <w:pgMar w:left="239" w:top="300" w:right="899" w:bottom="87"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25" w:right="1440" w:bottom="1440" w:gutter="0" w:footer="0" w:header="0"/>
        </w:sectPr>
      </w:pPr>
    </w:p>
    <w:bookmarkStart w:id="8" w:name="page9"/>
    <w:bookmarkEnd w:id="8"/>
    <w:p>
      <w:pPr>
        <w:ind w:left="281"/>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58"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373" w:lineRule="exact"/>
        <w:rPr>
          <w:sz w:val="20"/>
          <w:szCs w:val="20"/>
          <w:color w:val="auto"/>
        </w:rPr>
      </w:pPr>
    </w:p>
    <w:p>
      <w:pPr>
        <w:ind w:left="381" w:hanging="381"/>
        <w:spacing w:after="0"/>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Inventory is summarized as follows: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(Unaudited)</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(Audited)</w:t>
            </w:r>
          </w:p>
        </w:tc>
      </w:tr>
      <w:tr>
        <w:trPr>
          <w:trHeight w:val="185"/>
        </w:trPr>
        <w:tc>
          <w:tcPr>
            <w:tcW w:w="3160" w:type="dxa"/>
            <w:vAlign w:val="bottom"/>
          </w:tcPr>
          <w:p>
            <w:pPr>
              <w:spacing w:after="0"/>
              <w:rPr>
                <w:sz w:val="16"/>
                <w:szCs w:val="16"/>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March 31,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3160" w:type="dxa"/>
            <w:vAlign w:val="bottom"/>
          </w:tcPr>
          <w:p>
            <w:pPr>
              <w:spacing w:after="0"/>
              <w:rPr>
                <w:sz w:val="16"/>
                <w:szCs w:val="16"/>
                <w:color w:val="auto"/>
              </w:rPr>
            </w:pPr>
          </w:p>
        </w:tc>
        <w:tc>
          <w:tcPr>
            <w:tcW w:w="15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3160" w:type="dxa"/>
            <w:vAlign w:val="bottom"/>
          </w:tcPr>
          <w:p>
            <w:pPr>
              <w:spacing w:after="0"/>
              <w:rPr>
                <w:sz w:val="16"/>
                <w:szCs w:val="16"/>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99"/>
              </w:rPr>
              <w:t>Raw Materials...................</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$1,084,965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$1,014,732</w:t>
            </w:r>
          </w:p>
        </w:tc>
      </w:tr>
      <w:tr>
        <w:trPr>
          <w:trHeight w:val="185"/>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99"/>
              </w:rPr>
              <w:t>Work in progress................</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537,075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524,313</w:t>
            </w:r>
          </w:p>
        </w:tc>
      </w:tr>
      <w:tr>
        <w:trPr>
          <w:trHeight w:val="185"/>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99"/>
              </w:rPr>
              <w:t>Finished Goods..................</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1,255,067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1,615,938</w:t>
            </w:r>
          </w:p>
        </w:tc>
      </w:tr>
      <w:tr>
        <w:trPr>
          <w:trHeight w:val="185"/>
        </w:trPr>
        <w:tc>
          <w:tcPr>
            <w:tcW w:w="3160" w:type="dxa"/>
            <w:vAlign w:val="bottom"/>
          </w:tcPr>
          <w:p>
            <w:pPr>
              <w:spacing w:after="0"/>
              <w:rPr>
                <w:sz w:val="16"/>
                <w:szCs w:val="16"/>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Total inventory.......</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$2,877,107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$3,154,983</w:t>
            </w:r>
          </w:p>
        </w:tc>
      </w:tr>
      <w:tr>
        <w:trPr>
          <w:trHeight w:val="185"/>
        </w:trPr>
        <w:tc>
          <w:tcPr>
            <w:tcW w:w="3160" w:type="dxa"/>
            <w:vAlign w:val="bottom"/>
          </w:tcPr>
          <w:p>
            <w:pPr>
              <w:spacing w:after="0"/>
              <w:rPr>
                <w:sz w:val="16"/>
                <w:szCs w:val="16"/>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381" w:hanging="381"/>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EXERCISE</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The following table shows the changes in stock options outstanding.</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Number</w:t>
            </w:r>
          </w:p>
        </w:tc>
        <w:tc>
          <w:tcPr>
            <w:tcW w:w="16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Average</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of Shares</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w w:val="99"/>
              </w:rPr>
              <w:t>Exercise Price</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554"/>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outstanding as of June 30, 1998............</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1,853,000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$1.61</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$0.75</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(423,202)</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$0.75</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outstanding as of September 30, 1998.......</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1,425,298</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$1.86</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issued.....................................</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55,000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$2.88</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(92,000)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$2.42</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outstanding as of December 31, 1998........</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1,388,298</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$1.86</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expired &amp; canceled.........................</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$2.49</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(4,000)</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$0.79</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Options outstanding as of March 31, 1999...........</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1,378,798</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$1.86</w:t>
            </w:r>
          </w:p>
        </w:tc>
      </w:tr>
      <w:tr>
        <w:trPr>
          <w:trHeight w:val="185"/>
        </w:trPr>
        <w:tc>
          <w:tcPr>
            <w:tcW w:w="500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58" w:lineRule="exact"/>
        <w:rPr>
          <w:sz w:val="20"/>
          <w:szCs w:val="20"/>
          <w:color w:val="auto"/>
        </w:rPr>
      </w:pPr>
    </w:p>
    <w:p>
      <w:pPr>
        <w:ind w:left="381" w:hanging="381"/>
        <w:spacing w:after="0"/>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375" w:lineRule="exact"/>
        <w:rPr>
          <w:sz w:val="20"/>
          <w:szCs w:val="20"/>
          <w:color w:val="auto"/>
        </w:rPr>
      </w:pPr>
    </w:p>
    <w:p>
      <w:pPr>
        <w:ind w:left="1" w:right="2639" w:firstLine="1057"/>
        <w:spacing w:after="0" w:line="243" w:lineRule="auto"/>
        <w:rPr>
          <w:sz w:val="20"/>
          <w:szCs w:val="20"/>
          <w:color w:val="auto"/>
        </w:rPr>
      </w:pPr>
      <w:r>
        <w:rPr>
          <w:rFonts w:ascii="Courier New" w:cs="Courier New" w:eastAsia="Courier New" w:hAnsi="Courier New"/>
          <w:sz w:val="16"/>
          <w:szCs w:val="16"/>
          <w:color w:val="auto"/>
        </w:rPr>
        <w:t>The Company has entered into an agreement to purchase 300 videoconference engines. Currently, the remaining cost of this commitment is approximately $500,000. The Company has entered into this agreement in order to secure parts for the new video product line.</w:t>
      </w:r>
    </w:p>
    <w:p>
      <w:pPr>
        <w:sectPr>
          <w:pgSz w:w="11900" w:h="16838" w:orient="portrait"/>
          <w:cols w:equalWidth="0" w:num="1">
            <w:col w:w="10221"/>
          </w:cols>
          <w:pgMar w:left="239"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719" w:firstLine="1057"/>
        <w:spacing w:after="0" w:line="244" w:lineRule="auto"/>
        <w:rPr>
          <w:sz w:val="20"/>
          <w:szCs w:val="20"/>
          <w:color w:val="auto"/>
        </w:rPr>
      </w:pPr>
      <w:r>
        <w:rPr>
          <w:rFonts w:ascii="Courier New" w:cs="Courier New" w:eastAsia="Courier New" w:hAnsi="Courier New"/>
          <w:sz w:val="16"/>
          <w:szCs w:val="16"/>
          <w:color w:val="auto"/>
        </w:rPr>
        <w:t>Sales for the three months ended March 31, 1999 increased 38% compared to the same three-month period last year. Sales for the nine months ended March 31, 1999 increased 39% compared to the same nine-month period last year. In both cases, growth is primarily due to increased Teleconferencing sales.</w:t>
      </w:r>
    </w:p>
    <w:p>
      <w:pPr>
        <w:spacing w:after="0" w:line="187"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Sales in Teleconferencing operations increased 78% comparing the third quarter of this fiscal year to the same quarter last year. This increase is due to increased sales of the Company's Teleconferencing products. Teleconferencing products experienced a 89% sales growth comparing the third quarter of this fiscal year to the same quarter last year, driven by the Audio Perfect(TM) product line. The Audio Perfect(TM) product line began shipping in April of 1998. These products use a new digital technology called Distributed Echo Cancellation(TM) and incorporate several functional devices including automatic microphone mixing, echo cancellation, audio routing, audio equalization and audio processing into a single device. Instead of only receiving the revenue from the sale of an echo cancellation unit, the Company will receive more of the revenue associated with a room installation as a result of the expanded applications. Continuing strong sales in Teleconferencing services also contributed to Teleconferencing growth. The Company's conference calling service experienced a 39% sales growth over the same quarter last fiscal year. Sales in Teleconferencing operations increased 79% for this fiscal year to date as compared to the same period in fiscal 1998. This is also due to the strong sales of the Audio Perfect(TM) product line and the continued growth of Teleconferencing services.</w:t>
      </w:r>
    </w:p>
    <w:p>
      <w:pPr>
        <w:spacing w:after="0" w:line="194"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Broadcast sales increased 12% in the third quarter of this fiscal year compared to the third quarter of last fiscal year. Broadcast sales increased 11% for the nine months ended March 31, 1999 compared to the nine months ended March 31, 1998. In this market, Remote Facilities Management (RFM, formerly known as Remote Site Control) grew 25%, comparing third quarters, and 27%, comparing year to date, mainly due to increased sales of the GSC3000 and its predecessor, the VRC-2000. The GSC3000 allows broadcasters to monitor and control many transmitter sites from one location. Sales to the television and non-broadcast markets also contributed to the increased sales of the GSC3000. The RFM products are also being used in applications that are not broadcast related. This means the potential market for these products is much larger than previously believed. The Telephone Interface line of products also contributed to the broadcast sales growth, primarily due to the Company's line of new telephone hybrids. Telephone hybrids are used to connect telephone line audio to professional audio equipment.</w:t>
      </w:r>
    </w:p>
    <w:p>
      <w:pPr>
        <w:spacing w:after="0" w:line="192" w:lineRule="exact"/>
        <w:rPr>
          <w:sz w:val="20"/>
          <w:szCs w:val="20"/>
          <w:color w:val="auto"/>
        </w:rPr>
      </w:pPr>
    </w:p>
    <w:p>
      <w:pPr>
        <w:ind w:right="2639" w:firstLine="1057"/>
        <w:spacing w:after="0" w:line="263" w:lineRule="auto"/>
        <w:rPr>
          <w:sz w:val="20"/>
          <w:szCs w:val="20"/>
          <w:color w:val="auto"/>
        </w:rPr>
      </w:pPr>
      <w:r>
        <w:rPr>
          <w:rFonts w:ascii="Courier New" w:cs="Courier New" w:eastAsia="Courier New" w:hAnsi="Courier New"/>
          <w:sz w:val="15"/>
          <w:szCs w:val="15"/>
          <w:color w:val="auto"/>
        </w:rPr>
        <w:t>All other sales decreased 25% in the third quarter of this fiscal year compared to the third quarter of last fiscal year, and 15% for the nine months ending March 31, 1999 compared to the same period in 1998. Assistive Listening System products continue to be the largest source of revenue for this group. The Company believes that most of the other products in this category take focus and resources away from its core business. These other products are not being promoted, and the Company expects their sales to continue to decline.</w:t>
      </w:r>
    </w:p>
    <w:p>
      <w:pPr>
        <w:spacing w:after="0" w:line="175" w:lineRule="exact"/>
        <w:rPr>
          <w:sz w:val="20"/>
          <w:szCs w:val="20"/>
          <w:color w:val="auto"/>
        </w:rPr>
      </w:pPr>
    </w:p>
    <w:p>
      <w:pPr>
        <w:jc w:val="both"/>
        <w:ind w:right="2719" w:firstLine="1057"/>
        <w:spacing w:after="0" w:line="244" w:lineRule="auto"/>
        <w:rPr>
          <w:sz w:val="20"/>
          <w:szCs w:val="20"/>
          <w:color w:val="auto"/>
        </w:rPr>
      </w:pPr>
      <w:r>
        <w:rPr>
          <w:rFonts w:ascii="Courier New" w:cs="Courier New" w:eastAsia="Courier New" w:hAnsi="Courier New"/>
          <w:sz w:val="16"/>
          <w:szCs w:val="16"/>
          <w:color w:val="auto"/>
        </w:rPr>
        <w:t>The Company's gross profit margin percentage was 58% for the third quarter of this year, significantly higher than the 51% for the same quarter last year. The Company's gross profit margin percentage was 56% for the first nine months of this year, compared to 52% for the same period last year. This improved margin is due to increased efficiencies in many areas of the Company, especially the production and services labor. New products with better margins are also a contributing factor. OEM products have a lower gross profit margin.</w:t>
      </w:r>
    </w:p>
    <w:p>
      <w:pPr>
        <w:spacing w:after="0" w:line="3"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Company anticipates that gross margins will not remain at this high level as the Company sells more OEM products from other manufacturers.</w:t>
      </w:r>
    </w:p>
    <w:p>
      <w:pPr>
        <w:spacing w:after="0" w:line="189" w:lineRule="exact"/>
        <w:rPr>
          <w:sz w:val="20"/>
          <w:szCs w:val="20"/>
          <w:color w:val="auto"/>
        </w:rPr>
      </w:pPr>
    </w:p>
    <w:p>
      <w:pPr>
        <w:ind w:right="2639" w:firstLine="1057"/>
        <w:spacing w:after="0" w:line="243" w:lineRule="auto"/>
        <w:rPr>
          <w:sz w:val="20"/>
          <w:szCs w:val="20"/>
          <w:color w:val="auto"/>
        </w:rPr>
      </w:pPr>
      <w:r>
        <w:rPr>
          <w:rFonts w:ascii="Courier New" w:cs="Courier New" w:eastAsia="Courier New" w:hAnsi="Courier New"/>
          <w:sz w:val="16"/>
          <w:szCs w:val="16"/>
          <w:color w:val="auto"/>
        </w:rPr>
        <w:t>Operating expenses for the quarter increased 37% when comparing the third quarters of this fiscal year and last fiscal year. Operating expenses for the year to date increased 25% over last year. The most significant portion of these increases came in Sales and Marketing expenses.</w:t>
      </w:r>
    </w:p>
    <w:p>
      <w:pPr>
        <w:spacing w:after="0" w:line="190"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Sales and Marketing expenses increased 52% for the third quarter as compared to last year. This was due to increased advertising expenses and the hiring of additional personnel to more aggressively market the Company's products and services. Also contributing to this increase was higher commission expense resulting from the increase in sales. Sales and Marketing expenses increased 49% for the year-to-date as compared to last year-to-date. This was also the result of the hiring of additional personnel, increased advertising expenses and increased commission expense.</w:t>
      </w:r>
    </w:p>
    <w:p>
      <w:pPr>
        <w:spacing w:after="0" w:line="189"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Product Development expenses increased 7% in the third quarter of this year compared to last year. Product Development expenses increased 15% for the year-to-date as compared to the same period last year. The Product Development team is aggressively working on new product development. Part of this product development requires hiring additional personnel and investing in</w:t>
      </w:r>
    </w:p>
    <w:p>
      <w:pPr>
        <w:sectPr>
          <w:pgSz w:w="11900" w:h="16838" w:orient="portrait"/>
          <w:cols w:equalWidth="0" w:num="1">
            <w:col w:w="10219"/>
          </w:cols>
          <w:pgMar w:left="240" w:top="30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technical research.</w:t>
      </w:r>
    </w:p>
    <w:p>
      <w:pPr>
        <w:spacing w:after="0" w:line="373"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4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CONDITION AND RESULTS OF OPERATIONS - (CONTINUED)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(continued)</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Third quarter General and Administrative expenses are up 33% compared to the same period last year. This is due to increased collection expense, increased personnel and equipment in the information systems department, and fees associated with the early payment of long-term debt. Year-to-date expenses are up 1% as compared to the same period last year.</w:t>
      </w:r>
    </w:p>
    <w:p>
      <w:pPr>
        <w:spacing w:after="0" w:line="187"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Interest expense for the quarter is down 41% compared to the same quarter last year. In the past nine months, the Company has not used its line of credit. Since there was no outstanding balance, there was no interest expense associated with the line of credit. Also contributing to this decrease in interest expense was the maturing of some of the Company's leases, and the pay off of several notes. Interest expense for the year is down 32% for the same reasons.</w:t>
      </w:r>
    </w:p>
    <w:p>
      <w:pPr>
        <w:spacing w:after="0" w:line="188"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Due to tax loss carryforwards, the Company paid no income taxes in the first three quarters of fiscal 1998. During the third quarter of fiscal 1999, income tax expense was calculated at a combined federal and state tax rate of approximately 37%. This results in a tax expense of $360,700 for the third quarter and $976,700 for the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and Liquidity</w:t>
      </w:r>
    </w:p>
    <w:p>
      <w:pPr>
        <w:spacing w:after="0" w:line="190" w:lineRule="exact"/>
        <w:rPr>
          <w:sz w:val="20"/>
          <w:szCs w:val="20"/>
          <w:color w:val="auto"/>
        </w:rPr>
      </w:pPr>
    </w:p>
    <w:p>
      <w:pPr>
        <w:ind w:right="2539" w:firstLine="1057"/>
        <w:spacing w:after="0" w:line="243" w:lineRule="auto"/>
        <w:rPr>
          <w:sz w:val="20"/>
          <w:szCs w:val="20"/>
          <w:color w:val="auto"/>
        </w:rPr>
      </w:pPr>
      <w:r>
        <w:rPr>
          <w:rFonts w:ascii="Courier New" w:cs="Courier New" w:eastAsia="Courier New" w:hAnsi="Courier New"/>
          <w:sz w:val="16"/>
          <w:szCs w:val="16"/>
          <w:color w:val="auto"/>
        </w:rPr>
        <w:t>The Company's current ratio increased from 3.04:1 on June 30, 1998 to 3.12:1 on March 31, 1999. This increase in current ratio was caused primarily by an increase in the amount of cash on hand and accounts receivable. Accounts receivable increased due to increased sales.</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continues to experience strong operating cash flows. Increasing sales and profitability are the main reasons for positive operating cash flows. The reduction of inventory and increases in accounts payable and accrued expenses also were significant factors in improved operating cash flows. The Company did consume cash by building up the accounts receivable balance, but overall operating cash flows remain strong.</w:t>
      </w:r>
    </w:p>
    <w:p>
      <w:pPr>
        <w:spacing w:after="0" w:line="188" w:lineRule="exact"/>
        <w:rPr>
          <w:sz w:val="20"/>
          <w:szCs w:val="20"/>
          <w:color w:val="auto"/>
        </w:rPr>
      </w:pPr>
    </w:p>
    <w:p>
      <w:pPr>
        <w:ind w:right="2719" w:firstLine="1057"/>
        <w:spacing w:after="0" w:line="244" w:lineRule="auto"/>
        <w:rPr>
          <w:sz w:val="20"/>
          <w:szCs w:val="20"/>
          <w:color w:val="auto"/>
        </w:rPr>
      </w:pPr>
      <w:r>
        <w:rPr>
          <w:rFonts w:ascii="Courier New" w:cs="Courier New" w:eastAsia="Courier New" w:hAnsi="Courier New"/>
          <w:sz w:val="16"/>
          <w:szCs w:val="16"/>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March 31, 1999. The line of credit expires on December 22, 2000.</w:t>
      </w:r>
    </w:p>
    <w:p>
      <w:pPr>
        <w:spacing w:after="0" w:line="188" w:lineRule="exact"/>
        <w:rPr>
          <w:sz w:val="20"/>
          <w:szCs w:val="20"/>
          <w:color w:val="auto"/>
        </w:rPr>
      </w:pPr>
    </w:p>
    <w:p>
      <w:pPr>
        <w:ind w:right="2539" w:firstLine="1057"/>
        <w:spacing w:after="0" w:line="243" w:lineRule="auto"/>
        <w:rPr>
          <w:sz w:val="20"/>
          <w:szCs w:val="20"/>
          <w:color w:val="auto"/>
        </w:rPr>
      </w:pPr>
      <w:r>
        <w:rPr>
          <w:rFonts w:ascii="Courier New" w:cs="Courier New" w:eastAsia="Courier New" w:hAnsi="Courier New"/>
          <w:sz w:val="16"/>
          <w:szCs w:val="16"/>
          <w:color w:val="auto"/>
        </w:rPr>
        <w:t>As sales continue to increase, the Company expects to achieve its business plan through a combination of internally generated funds and short-term or long-term borrowings, if necessary.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 and Risk Factors</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 looking. As such, it is subject to occurrence of many events outside of the Company's control that could cause the Company's results to differ materially from predicted results. Please see a detailed list of the risk factors that are outlined in the Company's Form 10-KSB for the fiscal year ended June 30, 1998, incorporated herein by reference.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 - Rapid Technological Change</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Broadcast and Teleconferencing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188"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187" w:lineRule="exact"/>
        <w:rPr>
          <w:sz w:val="20"/>
          <w:szCs w:val="20"/>
          <w:color w:val="auto"/>
        </w:rPr>
      </w:pPr>
    </w:p>
    <w:p>
      <w:pPr>
        <w:ind w:right="2639" w:firstLine="1057"/>
        <w:spacing w:after="0" w:line="243" w:lineRule="auto"/>
        <w:rPr>
          <w:sz w:val="20"/>
          <w:szCs w:val="20"/>
          <w:color w:val="auto"/>
        </w:rPr>
      </w:pPr>
      <w:r>
        <w:rPr>
          <w:rFonts w:ascii="Courier New" w:cs="Courier New" w:eastAsia="Courier New" w:hAnsi="Courier New"/>
          <w:sz w:val="16"/>
          <w:szCs w:val="16"/>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ectPr>
          <w:pgSz w:w="11900" w:h="16838" w:orient="portrait"/>
          <w:cols w:equalWidth="0" w:num="1">
            <w:col w:w="10219"/>
          </w:cols>
          <w:pgMar w:left="240" w:top="300" w:right="1440"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CONDITION AND RESULTS OF OPERATIONS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 and Risk Factors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has experience in marketing its products. However, it is subject to all of the risks inherent in the sale and marketing of current and new products and services in an evolving marketplace. The Company must effectively allocate its resources to the marketing and sale of these products through diverse channels of distribution. The Company's strategy is to establish distribution channels and direct selling efforts in markets where it believes there is a growing need for its products and services. There can be no assurance that this strategy will prove successful.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Distribution Network</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pacing w:after="0" w:line="188"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Price discounts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a majority or all representatives or dealers could have a material adverse effect on the Company's business.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Capitalization</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As of March 31, 1999, the Company had $2,133,318 in cash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$5,449,444 in working capital. The Company may be required to seek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if anticipated levels of revenue are not realized, if higher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costs are incurred in the development, manufacture or marketing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products, or if product demand exceeds expected levels. There can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no assurance that any additional financing thereby necessitated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on acceptable terms, or at all.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28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 addition, the Company's</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revolving $5</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million line</w:t>
            </w:r>
          </w:p>
        </w:tc>
        <w:tc>
          <w:tcPr>
            <w:tcW w:w="1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credit</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matures</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in December</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2000, and there can</w:t>
            </w:r>
          </w:p>
        </w:tc>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be no assurance that the</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w w:val="97"/>
              </w:rPr>
              <w:t>Company will</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be able</w:t>
            </w:r>
          </w:p>
        </w:tc>
        <w:tc>
          <w:tcPr>
            <w:tcW w:w="33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 extend the maturity date of the</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line of</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credit or</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obtain</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r>
      <w:tr>
        <w:trPr>
          <w:trHeight w:val="185"/>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replacement line of</w:t>
            </w:r>
          </w:p>
        </w:tc>
        <w:tc>
          <w:tcPr>
            <w:tcW w:w="2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credit from another commercial</w:t>
            </w:r>
          </w:p>
        </w:tc>
        <w:tc>
          <w:tcPr>
            <w:tcW w:w="28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institution. To the extent</w:t>
            </w:r>
          </w:p>
        </w:tc>
      </w:tr>
      <w:tr>
        <w:trPr>
          <w:trHeight w:val="185"/>
        </w:trPr>
        <w:tc>
          <w:tcPr>
            <w:tcW w:w="3600" w:type="dxa"/>
            <w:vAlign w:val="bottom"/>
            <w:gridSpan w:val="3"/>
          </w:tcPr>
          <w:p>
            <w:pPr>
              <w:spacing w:after="0"/>
              <w:rPr>
                <w:sz w:val="20"/>
                <w:szCs w:val="20"/>
                <w:color w:val="auto"/>
              </w:rPr>
            </w:pPr>
            <w:r>
              <w:rPr>
                <w:rFonts w:ascii="Courier New" w:cs="Courier New" w:eastAsia="Courier New" w:hAnsi="Courier New"/>
                <w:sz w:val="16"/>
                <w:szCs w:val="16"/>
                <w:color w:val="auto"/>
              </w:rPr>
              <w:t>the line of credit is not extended or</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replaced and</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cash from</w:t>
            </w:r>
          </w:p>
        </w:tc>
        <w:tc>
          <w:tcPr>
            <w:tcW w:w="1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operations is</w:t>
            </w:r>
          </w:p>
        </w:tc>
      </w:tr>
    </w:tbl>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unavailable to pay the indebtedness then outstanding under the line of credit, the Company may be required to seek additional financing. The Company had no outstanding balance payable on the line of credit as of March 31,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and Information Systems (Network)</w:t>
      </w:r>
    </w:p>
    <w:p>
      <w:pPr>
        <w:spacing w:after="0" w:line="190"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short-term interruption of its network, its ongoing customers may choose a different provider.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Upon Key Employees</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is substantially dependent upon certain of its employees, including Frances M. Flood, a Director, President and Chief Executive Officer and a stockholder of the Company. The loss of Ms. Flood by the Company could have a material adverse effect on the Company. The Company currently has in place a key person life insurance policy on the life of Ms. Flood in the amount of $1,000,000.</w:t>
      </w:r>
    </w:p>
    <w:p>
      <w:pPr>
        <w:spacing w:after="0" w:line="188"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is also dependent upon Brooks Gibbs, Director of Technology. Due to his technological expertise and product familiarity, the loss of Mr. Gibbs by the Company could have a material adverse effect on the Company. The Company currently has in place a key person life insurance policy on the life of Mr. Gibbs in the amount of $1,000,000.</w:t>
      </w:r>
    </w:p>
    <w:p>
      <w:pPr>
        <w:sectPr>
          <w:pgSz w:w="11900" w:h="16838" w:orient="portrait"/>
          <w:cols w:equalWidth="0" w:num="1">
            <w:col w:w="10219"/>
          </w:cols>
          <w:pgMar w:left="240" w:top="300" w:right="1440" w:bottom="84" w:gutter="0" w:footer="0" w:header="0"/>
        </w:sectPr>
      </w:pPr>
    </w:p>
    <w:bookmarkStart w:id="13" w:name="page14"/>
    <w:bookmarkEnd w:id="13"/>
    <w:p>
      <w:pPr>
        <w:ind w:left="2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32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CONDITION AND RESULTS OF OPERATIONS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 and Risk Factors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Supplier and Single Source of Supply</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does not have written agreements with most of its suppliers. Furthermore, certain digital microprocessor chips used in connection with the Company's products can only be obtained from a single manufacturer and the Company is dependent upon the ability of this manufacturer to deliver such chips to the Company's suppliers so that they can meet the Company's delivery schedules. The Company does not have a written commitment from such suppliers to fulfill the Company's future requirements. The Company's suppliers maintain an inventory of such chips, but there can be no assurance that such chips will always be readily available, available at reasonable prices, available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193"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Lack of Patent Protection</w:t>
      </w:r>
    </w:p>
    <w:p>
      <w:pPr>
        <w:spacing w:after="0" w:line="190"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Funding and Regulation</w:t>
      </w:r>
    </w:p>
    <w:p>
      <w:pPr>
        <w:spacing w:after="0" w:line="190" w:lineRule="exact"/>
        <w:rPr>
          <w:sz w:val="20"/>
          <w:szCs w:val="20"/>
          <w:color w:val="auto"/>
        </w:rPr>
      </w:pPr>
    </w:p>
    <w:p>
      <w:pPr>
        <w:ind w:right="2639" w:firstLine="1057"/>
        <w:spacing w:after="0" w:line="264" w:lineRule="auto"/>
        <w:rPr>
          <w:sz w:val="20"/>
          <w:szCs w:val="20"/>
          <w:color w:val="auto"/>
        </w:rPr>
      </w:pPr>
      <w:r>
        <w:rPr>
          <w:rFonts w:ascii="Courier New" w:cs="Courier New" w:eastAsia="Courier New" w:hAnsi="Courier New"/>
          <w:sz w:val="15"/>
          <w:szCs w:val="15"/>
          <w:color w:val="auto"/>
        </w:rPr>
        <w:t>In the teleconferencing market, the Company is dependent on government funding to place its distance learning sales and courtroom equipment sales. In the event government funding was stopped, these sales would be negatively impacted. Additionally, many of the Company's products are regulated by governmental regulations. New regulations could significantly impact sales.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90" w:lineRule="exact"/>
        <w:rPr>
          <w:sz w:val="20"/>
          <w:szCs w:val="20"/>
          <w:color w:val="auto"/>
        </w:rPr>
      </w:pPr>
    </w:p>
    <w:p>
      <w:pPr>
        <w:ind w:right="2539" w:firstLine="1057"/>
        <w:spacing w:after="0" w:line="263" w:lineRule="auto"/>
        <w:rPr>
          <w:sz w:val="20"/>
          <w:szCs w:val="20"/>
          <w:color w:val="auto"/>
        </w:rPr>
      </w:pPr>
      <w:r>
        <w:rPr>
          <w:rFonts w:ascii="Courier New" w:cs="Courier New" w:eastAsia="Courier New" w:hAnsi="Courier New"/>
          <w:sz w:val="15"/>
          <w:szCs w:val="15"/>
          <w:color w:val="auto"/>
        </w:rPr>
        <w:t>The Company has assessed the impact of the Year 2000 issue* on its information technology ("IT") and non-IT systems. $53,354 has been incurred to upgrade existing systems so that they are Year 2000 compatible. To date, the Company has identified two of its systems and some personal computers that have been upgraded. There were no significant interruptions to the business caused by the upgrade process. The Company financed the upgrades with operating income.</w:t>
      </w:r>
    </w:p>
    <w:p>
      <w:pPr>
        <w:spacing w:after="0" w:line="176"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The Company purchased the software and hardware to upgrade its internal phone system, including the voice mail system. The system was upgraded, and associates were trained how to use the new system. The cost of this software and hardware was $49,860. Also identified as needing an upgrade is the conference calling bridge. This system is essential to the Company's conference calling service. The manufacturer furnished the software to the Company at no cost, and internal costs during the upgrade process were minimal. The personal computers were upgraded by the end of April of 1999, at a cost of approximately $3,494.</w:t>
      </w:r>
    </w:p>
    <w:p>
      <w:pPr>
        <w:spacing w:after="0" w:line="189"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The Company is in the process of determining through direct contacts whether its material vendors and suppliers, and its larger customers are Year 2000 compliant. To date, no major customer or supplier that the Company contacted has stated any Year 2000 compliance problems that would significantly impact the operations of the Company.</w:t>
      </w:r>
    </w:p>
    <w:p>
      <w:pPr>
        <w:sectPr>
          <w:pgSz w:w="11900" w:h="16838" w:orient="portrait"/>
          <w:cols w:equalWidth="0" w:num="1">
            <w:col w:w="10219"/>
          </w:cols>
          <w:pgMar w:left="240" w:top="300" w:right="1440" w:bottom="0" w:gutter="0" w:footer="0" w:header="0"/>
        </w:sectPr>
      </w:pP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0" w:gutter="0" w:footer="0" w:header="0"/>
          <w:type w:val="continuous"/>
        </w:sectPr>
      </w:pPr>
    </w:p>
    <w:bookmarkStart w:id="15" w:name="page16"/>
    <w:bookmarkEnd w:id="15"/>
    <w:p>
      <w:pPr>
        <w:ind w:left="281"/>
        <w:spacing w:after="0"/>
        <w:rPr>
          <w:sz w:val="20"/>
          <w:szCs w:val="20"/>
          <w:color w:val="auto"/>
        </w:rPr>
      </w:pPr>
      <w:r>
        <w:rPr>
          <w:rFonts w:ascii="Courier New" w:cs="Courier New" w:eastAsia="Courier New" w:hAnsi="Courier New"/>
          <w:sz w:val="16"/>
          <w:szCs w:val="16"/>
          <w:color w:val="auto"/>
        </w:rPr>
        <w:t>13</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CONDITION AND RESULTS OF OPERATIONS - (CONTINUED)</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Forward Looking Statements and Risk Factors - (continued)</w:t>
      </w:r>
    </w:p>
    <w:p>
      <w:pPr>
        <w:spacing w:after="0" w:line="190" w:lineRule="exact"/>
        <w:rPr>
          <w:sz w:val="20"/>
          <w:szCs w:val="20"/>
          <w:color w:val="auto"/>
        </w:rPr>
      </w:pPr>
    </w:p>
    <w:p>
      <w:pPr>
        <w:ind w:left="1" w:right="2539" w:firstLine="1057"/>
        <w:spacing w:after="0" w:line="244" w:lineRule="auto"/>
        <w:rPr>
          <w:sz w:val="20"/>
          <w:szCs w:val="20"/>
          <w:color w:val="auto"/>
        </w:rPr>
      </w:pPr>
      <w:r>
        <w:rPr>
          <w:rFonts w:ascii="Courier New" w:cs="Courier New" w:eastAsia="Courier New" w:hAnsi="Courier New"/>
          <w:sz w:val="16"/>
          <w:szCs w:val="16"/>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188" w:lineRule="exact"/>
        <w:rPr>
          <w:sz w:val="20"/>
          <w:szCs w:val="20"/>
          <w:color w:val="auto"/>
        </w:rPr>
      </w:pPr>
    </w:p>
    <w:p>
      <w:pPr>
        <w:ind w:left="1" w:right="2639" w:firstLine="1057"/>
        <w:spacing w:after="0" w:line="243" w:lineRule="auto"/>
        <w:rPr>
          <w:sz w:val="20"/>
          <w:szCs w:val="20"/>
          <w:color w:val="auto"/>
        </w:rPr>
      </w:pPr>
      <w:r>
        <w:rPr>
          <w:rFonts w:ascii="Courier New" w:cs="Courier New" w:eastAsia="Courier New" w:hAnsi="Courier New"/>
          <w:sz w:val="16"/>
          <w:szCs w:val="16"/>
          <w:color w:val="auto"/>
        </w:rPr>
        <w:t>The Company currently is in the process of developing contingency plans for dealing with Year 2000 issues, including the worst case scenario just described. Those plans are scheduled to be complete and in place by the end of fiscal 1999.</w:t>
      </w:r>
    </w:p>
    <w:p>
      <w:pPr>
        <w:spacing w:after="0" w:line="190" w:lineRule="exact"/>
        <w:rPr>
          <w:sz w:val="20"/>
          <w:szCs w:val="20"/>
          <w:color w:val="auto"/>
        </w:rPr>
      </w:pPr>
    </w:p>
    <w:p>
      <w:pPr>
        <w:ind w:left="1" w:right="3199" w:firstLine="1057"/>
        <w:spacing w:after="0" w:line="243" w:lineRule="auto"/>
        <w:rPr>
          <w:sz w:val="20"/>
          <w:szCs w:val="20"/>
          <w:color w:val="auto"/>
        </w:rPr>
      </w:pPr>
      <w:r>
        <w:rPr>
          <w:rFonts w:ascii="Courier New" w:cs="Courier New" w:eastAsia="Courier New" w:hAnsi="Courier New"/>
          <w:sz w:val="16"/>
          <w:szCs w:val="16"/>
          <w:color w:val="auto"/>
        </w:rPr>
        <w:t>The Company has performed a Year 2000 compliance review of its product line. To date, the Company has addressed all existing Year 2000 compliance issues on products.</w:t>
      </w:r>
    </w:p>
    <w:p>
      <w:pPr>
        <w:spacing w:after="0" w:line="189" w:lineRule="exact"/>
        <w:rPr>
          <w:sz w:val="20"/>
          <w:szCs w:val="20"/>
          <w:color w:val="auto"/>
        </w:rPr>
      </w:pPr>
    </w:p>
    <w:p>
      <w:pPr>
        <w:ind w:left="1" w:right="2539" w:firstLine="1057"/>
        <w:spacing w:after="0" w:line="244" w:lineRule="auto"/>
        <w:rPr>
          <w:sz w:val="20"/>
          <w:szCs w:val="20"/>
          <w:color w:val="auto"/>
        </w:rPr>
      </w:pPr>
      <w:r>
        <w:rPr>
          <w:rFonts w:ascii="Courier New" w:cs="Courier New" w:eastAsia="Courier New" w:hAnsi="Courier New"/>
          <w:sz w:val="16"/>
          <w:szCs w:val="16"/>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189" w:lineRule="exact"/>
        <w:rPr>
          <w:sz w:val="20"/>
          <w:szCs w:val="20"/>
          <w:color w:val="auto"/>
        </w:rPr>
      </w:pPr>
    </w:p>
    <w:p>
      <w:pPr>
        <w:ind w:left="381" w:right="2539" w:hanging="381"/>
        <w:spacing w:after="0" w:line="244"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 2000 Problem" has arisen because many computer programs were written using only the last two digits to refer to a year (i.e. "98" for 1998). Therefore, these computer programs may not properly recognize the year 2000. If not corrected, many computer applications could fail or create erroneous results.</w:t>
      </w:r>
    </w:p>
    <w:p>
      <w:pPr>
        <w:spacing w:after="0" w:line="200" w:lineRule="exact"/>
        <w:rPr>
          <w:sz w:val="20"/>
          <w:szCs w:val="20"/>
          <w:color w:val="auto"/>
        </w:rPr>
      </w:pPr>
    </w:p>
    <w:p>
      <w:pPr>
        <w:spacing w:after="0" w:line="35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5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1540" w:hanging="485"/>
        <w:spacing w:after="0"/>
        <w:tabs>
          <w:tab w:leader="none" w:pos="1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Exhibits Required by Item 601 of Regulation S-B</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3.1 (1),(2)</w:t>
        <w:tab/>
        <w:t>Articles of Incorporation and all amendments thereto through March 1,</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1988. (Page 10)</w:t>
      </w:r>
    </w:p>
    <w:p>
      <w:pPr>
        <w:spacing w:after="0" w:line="190" w:lineRule="exact"/>
        <w:rPr>
          <w:sz w:val="20"/>
          <w:szCs w:val="20"/>
          <w:color w:val="auto"/>
        </w:rPr>
      </w:pPr>
    </w:p>
    <w:p>
      <w:pPr>
        <w:ind w:left="1060" w:right="2639" w:hanging="1056"/>
        <w:spacing w:after="0" w:line="267" w:lineRule="auto"/>
        <w:rPr>
          <w:sz w:val="20"/>
          <w:szCs w:val="20"/>
          <w:color w:val="auto"/>
        </w:rPr>
      </w:pPr>
      <w:r>
        <w:rPr>
          <w:rFonts w:ascii="Courier New" w:cs="Courier New" w:eastAsia="Courier New" w:hAnsi="Courier New"/>
          <w:sz w:val="15"/>
          <w:szCs w:val="15"/>
          <w:color w:val="auto"/>
        </w:rPr>
        <w:t>10.4 (1),(2) VRC-1000 Purchase Agreement between Gentner Engineering Company, Inc. (a former subsidiary of the Company which was merged into the Company) and Gentner Research Ltd., dated January 1, 1987. (Page 71)</w:t>
      </w:r>
    </w:p>
    <w:p>
      <w:pPr>
        <w:spacing w:after="0" w:line="200" w:lineRule="exact"/>
        <w:rPr>
          <w:sz w:val="20"/>
          <w:szCs w:val="20"/>
          <w:color w:val="auto"/>
        </w:rPr>
      </w:pPr>
    </w:p>
    <w:p>
      <w:pPr>
        <w:spacing w:after="0" w:line="342"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3.1 (1),(2)</w:t>
        <w:tab/>
        <w:t>Amendment to Articles of Incorporation, dated July 1, 1991. (Page 65)</w:t>
      </w:r>
    </w:p>
    <w:p>
      <w:pPr>
        <w:spacing w:after="0" w:line="190" w:lineRule="exact"/>
        <w:rPr>
          <w:sz w:val="20"/>
          <w:szCs w:val="20"/>
          <w:color w:val="auto"/>
        </w:rPr>
      </w:pPr>
    </w:p>
    <w:p>
      <w:pPr>
        <w:ind w:left="1240" w:right="2719" w:hanging="1248"/>
        <w:spacing w:after="0" w:line="243" w:lineRule="auto"/>
        <w:rPr>
          <w:sz w:val="20"/>
          <w:szCs w:val="20"/>
          <w:color w:val="auto"/>
        </w:rPr>
      </w:pPr>
      <w:r>
        <w:rPr>
          <w:rFonts w:ascii="Courier New" w:cs="Courier New" w:eastAsia="Courier New" w:hAnsi="Courier New"/>
          <w:sz w:val="16"/>
          <w:szCs w:val="16"/>
          <w:color w:val="auto"/>
        </w:rPr>
        <w:t>10.1 (1),(2) Internal Modem Purchase Agreement between Gentner Engineering Company, Inc. and Gentner Research, Ltd., dated October 12, 1987. (Page 69)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 (1),(2) Digital Hybrid Purchase Agreement between Gentner Engineering, Inc.</w:t>
      </w:r>
    </w:p>
    <w:p>
      <w:pPr>
        <w:spacing w:after="0" w:line="4" w:lineRule="exact"/>
        <w:rPr>
          <w:sz w:val="20"/>
          <w:szCs w:val="20"/>
          <w:color w:val="auto"/>
        </w:rPr>
      </w:pPr>
    </w:p>
    <w:p>
      <w:pPr>
        <w:ind w:left="1240"/>
        <w:spacing w:after="0"/>
        <w:tabs>
          <w:tab w:leader="none" w:pos="6420" w:val="left"/>
        </w:tabs>
        <w:rPr>
          <w:sz w:val="20"/>
          <w:szCs w:val="20"/>
          <w:color w:val="auto"/>
        </w:rPr>
      </w:pPr>
      <w:r>
        <w:rPr>
          <w:rFonts w:ascii="Courier New" w:cs="Courier New" w:eastAsia="Courier New" w:hAnsi="Courier New"/>
          <w:sz w:val="16"/>
          <w:szCs w:val="16"/>
          <w:color w:val="auto"/>
        </w:rPr>
        <w:t>and Gentner Research, Ltd., dated September 8, 1988.</w:t>
      </w:r>
      <w:r>
        <w:rPr>
          <w:sz w:val="20"/>
          <w:szCs w:val="20"/>
          <w:color w:val="auto"/>
        </w:rPr>
        <w:tab/>
      </w:r>
      <w:r>
        <w:rPr>
          <w:rFonts w:ascii="Courier New" w:cs="Courier New" w:eastAsia="Courier New" w:hAnsi="Courier New"/>
          <w:sz w:val="15"/>
          <w:szCs w:val="15"/>
          <w:color w:val="auto"/>
        </w:rPr>
        <w:t>(Page 74)</w:t>
      </w:r>
    </w:p>
    <w:p>
      <w:pPr>
        <w:spacing w:after="0" w:line="200" w:lineRule="exact"/>
        <w:rPr>
          <w:sz w:val="20"/>
          <w:szCs w:val="20"/>
          <w:color w:val="auto"/>
        </w:rPr>
      </w:pPr>
    </w:p>
    <w:p>
      <w:pPr>
        <w:spacing w:after="0" w:line="36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1993. The exhibit numbers shown are those in the 1993 Form 10-KSB as originally filed.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3 (1),(2)</w:t>
      </w:r>
      <w:r>
        <w:rPr>
          <w:sz w:val="20"/>
          <w:szCs w:val="20"/>
          <w:color w:val="auto"/>
        </w:rPr>
        <w:tab/>
      </w:r>
      <w:r>
        <w:rPr>
          <w:rFonts w:ascii="Courier New" w:cs="Courier New" w:eastAsia="Courier New" w:hAnsi="Courier New"/>
          <w:sz w:val="16"/>
          <w:szCs w:val="16"/>
          <w:color w:val="auto"/>
        </w:rPr>
        <w:t>Bylaws, as amended on August 24, 1993. (Page 16)</w:t>
      </w:r>
    </w:p>
    <w:p>
      <w:pPr>
        <w:spacing w:after="0" w:line="200" w:lineRule="exact"/>
        <w:rPr>
          <w:sz w:val="20"/>
          <w:szCs w:val="20"/>
          <w:color w:val="auto"/>
        </w:rPr>
      </w:pPr>
    </w:p>
    <w:p>
      <w:pPr>
        <w:spacing w:after="0" w:line="36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1996. The exhibit numbers shown are those in the 1996 Form 10-KSB as originally filed.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10 (1),(2),(3)</w:t>
        <w:tab/>
        <w:t>1990 Incentive Plan, as amended August 7, 1996 (Page 40)</w:t>
      </w:r>
    </w:p>
    <w:p>
      <w:pPr>
        <w:spacing w:after="0" w:line="200" w:lineRule="exact"/>
        <w:rPr>
          <w:sz w:val="20"/>
          <w:szCs w:val="20"/>
          <w:color w:val="auto"/>
        </w:rPr>
      </w:pPr>
    </w:p>
    <w:p>
      <w:pPr>
        <w:spacing w:after="0" w:line="36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1997. The exhibit numbers shown are those in the 1997 Form 10-KSB as originally filed.</w:t>
      </w:r>
    </w:p>
    <w:p>
      <w:pPr>
        <w:sectPr>
          <w:pgSz w:w="11900" w:h="16838" w:orient="portrait"/>
          <w:cols w:equalWidth="0" w:num="1">
            <w:col w:w="10219"/>
          </w:cols>
          <w:pgMar w:left="240" w:top="300" w:right="1440" w:bottom="0" w:gutter="0" w:footer="0" w:header="0"/>
        </w:sectPr>
      </w:pP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0" w:gutter="0" w:footer="0" w:header="0"/>
          <w:type w:val="continuous"/>
        </w:sectPr>
      </w:pPr>
    </w:p>
    <w:bookmarkStart w:id="17" w:name="page18"/>
    <w:bookmarkEnd w:id="17"/>
    <w:p>
      <w:pPr>
        <w:ind w:left="281"/>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5" w:lineRule="exact"/>
        <w:rPr>
          <w:sz w:val="20"/>
          <w:szCs w:val="20"/>
          <w:color w:val="auto"/>
        </w:rPr>
      </w:pPr>
    </w:p>
    <w:p>
      <w:pPr>
        <w:ind w:left="1641" w:right="1859" w:hanging="1632"/>
        <w:spacing w:after="0" w:line="260" w:lineRule="auto"/>
        <w:tabs>
          <w:tab w:leader="none" w:pos="1621" w:val="left"/>
        </w:tabs>
        <w:rPr>
          <w:sz w:val="20"/>
          <w:szCs w:val="20"/>
          <w:color w:val="auto"/>
        </w:rPr>
      </w:pPr>
      <w:r>
        <w:rPr>
          <w:rFonts w:ascii="Courier New" w:cs="Courier New" w:eastAsia="Courier New" w:hAnsi="Courier New"/>
          <w:sz w:val="16"/>
          <w:szCs w:val="16"/>
          <w:color w:val="auto"/>
        </w:rPr>
        <w:t>10.1 (1),(2)</w:t>
      </w:r>
      <w:r>
        <w:rPr>
          <w:sz w:val="20"/>
          <w:szCs w:val="20"/>
          <w:color w:val="auto"/>
        </w:rPr>
        <w:tab/>
      </w:r>
      <w:r>
        <w:rPr>
          <w:rFonts w:ascii="Courier New" w:cs="Courier New" w:eastAsia="Courier New" w:hAnsi="Courier New"/>
          <w:sz w:val="15"/>
          <w:szCs w:val="15"/>
          <w:color w:val="auto"/>
        </w:rPr>
        <w:t>Commercial Credit and Security Agreement, and Promissory Note, between Company and First Security Bank, N.A. (original aggregate amount</w:t>
      </w:r>
    </w:p>
    <w:p>
      <w:pPr>
        <w:ind w:left="1641"/>
        <w:spacing w:after="0"/>
        <w:rPr>
          <w:sz w:val="20"/>
          <w:szCs w:val="20"/>
          <w:color w:val="auto"/>
        </w:rPr>
      </w:pPr>
      <w:r>
        <w:rPr>
          <w:rFonts w:ascii="Courier New" w:cs="Courier New" w:eastAsia="Courier New" w:hAnsi="Courier New"/>
          <w:sz w:val="16"/>
          <w:szCs w:val="16"/>
          <w:color w:val="auto"/>
        </w:rPr>
        <w:t>of $2,500,000) (Page 7)</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10.2 (1),(2),(3) 1997 Employee Stock Purchase Plan (Page 37)</w:t>
      </w:r>
    </w:p>
    <w:p>
      <w:pPr>
        <w:spacing w:after="0" w:line="188" w:lineRule="exact"/>
        <w:rPr>
          <w:sz w:val="20"/>
          <w:szCs w:val="20"/>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10.3 (1),(2)</w:t>
      </w:r>
      <w:r>
        <w:rPr>
          <w:sz w:val="20"/>
          <w:szCs w:val="20"/>
          <w:color w:val="auto"/>
        </w:rPr>
        <w:tab/>
      </w:r>
      <w:r>
        <w:rPr>
          <w:rFonts w:ascii="Courier New" w:cs="Courier New" w:eastAsia="Courier New" w:hAnsi="Courier New"/>
          <w:sz w:val="15"/>
          <w:szCs w:val="15"/>
          <w:color w:val="auto"/>
        </w:rPr>
        <w:t>Promissory Note in favor of Safeco Credit Company ($419,000) (Page 52)</w:t>
      </w:r>
    </w:p>
    <w:p>
      <w:pPr>
        <w:spacing w:after="0" w:line="190" w:lineRule="exact"/>
        <w:rPr>
          <w:sz w:val="20"/>
          <w:szCs w:val="20"/>
          <w:color w:val="auto"/>
        </w:rPr>
      </w:pPr>
    </w:p>
    <w:p>
      <w:pPr>
        <w:ind w:left="1641" w:right="1859" w:hanging="1632"/>
        <w:spacing w:after="0" w:line="242" w:lineRule="auto"/>
        <w:tabs>
          <w:tab w:leader="none" w:pos="1621" w:val="left"/>
        </w:tabs>
        <w:rPr>
          <w:sz w:val="20"/>
          <w:szCs w:val="20"/>
          <w:color w:val="auto"/>
        </w:rPr>
      </w:pPr>
      <w:r>
        <w:rPr>
          <w:rFonts w:ascii="Courier New" w:cs="Courier New" w:eastAsia="Courier New" w:hAnsi="Courier New"/>
          <w:sz w:val="16"/>
          <w:szCs w:val="16"/>
          <w:color w:val="auto"/>
        </w:rPr>
        <w:t>10.4 (1),(2)</w:t>
      </w:r>
      <w:r>
        <w:rPr>
          <w:sz w:val="20"/>
          <w:szCs w:val="20"/>
          <w:color w:val="auto"/>
        </w:rPr>
        <w:tab/>
      </w:r>
      <w:r>
        <w:rPr>
          <w:rFonts w:ascii="Courier New" w:cs="Courier New" w:eastAsia="Courier New" w:hAnsi="Courier New"/>
          <w:sz w:val="16"/>
          <w:szCs w:val="16"/>
          <w:color w:val="auto"/>
        </w:rPr>
        <w:t>Commercial Credit and Security Agreement, and Promissory Note, between Company and First Security Bank ($322,716.55) (Page 53)</w:t>
      </w:r>
    </w:p>
    <w:p>
      <w:pPr>
        <w:spacing w:after="0" w:line="187" w:lineRule="exact"/>
        <w:rPr>
          <w:sz w:val="20"/>
          <w:szCs w:val="20"/>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10.5 (1),(2)</w:t>
      </w:r>
      <w:r>
        <w:rPr>
          <w:sz w:val="20"/>
          <w:szCs w:val="20"/>
          <w:color w:val="auto"/>
        </w:rPr>
        <w:tab/>
      </w:r>
      <w:r>
        <w:rPr>
          <w:rFonts w:ascii="Courier New" w:cs="Courier New" w:eastAsia="Courier New" w:hAnsi="Courier New"/>
          <w:sz w:val="15"/>
          <w:szCs w:val="15"/>
          <w:color w:val="auto"/>
        </w:rPr>
        <w:t>Lease between Company and Valley American Investment Company (Page 71)</w:t>
      </w:r>
    </w:p>
    <w:p>
      <w:pPr>
        <w:spacing w:after="0" w:line="200" w:lineRule="exact"/>
        <w:rPr>
          <w:sz w:val="20"/>
          <w:szCs w:val="20"/>
          <w:color w:val="auto"/>
        </w:rPr>
      </w:pPr>
    </w:p>
    <w:p>
      <w:pPr>
        <w:spacing w:after="0" w:line="36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1998. The exhibit numbers shown are those in the 1998 Form 10-KSB as originally filed.</w:t>
      </w: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152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ind w:left="1"/>
        <w:spacing w:after="0"/>
        <w:tabs>
          <w:tab w:leader="none" w:pos="1901" w:val="left"/>
        </w:tabs>
        <w:rPr>
          <w:sz w:val="20"/>
          <w:szCs w:val="20"/>
          <w:color w:val="auto"/>
        </w:rPr>
      </w:pPr>
      <w:r>
        <w:rPr>
          <w:rFonts w:ascii="Courier New" w:cs="Courier New" w:eastAsia="Courier New" w:hAnsi="Courier New"/>
          <w:sz w:val="16"/>
          <w:szCs w:val="16"/>
          <w:color w:val="auto"/>
        </w:rPr>
        <w:t>10.1 (1),(2),(3)</w:t>
      </w:r>
      <w:r>
        <w:rPr>
          <w:sz w:val="20"/>
          <w:szCs w:val="20"/>
          <w:color w:val="auto"/>
        </w:rPr>
        <w:tab/>
      </w:r>
      <w:r>
        <w:rPr>
          <w:rFonts w:ascii="Courier New" w:cs="Courier New" w:eastAsia="Courier New" w:hAnsi="Courier New"/>
          <w:sz w:val="15"/>
          <w:szCs w:val="15"/>
          <w:color w:val="auto"/>
        </w:rPr>
        <w:t>1998 Stock Option Plan and Form of Grant (Page 42)</w:t>
      </w:r>
    </w:p>
    <w:p>
      <w:pPr>
        <w:spacing w:after="0" w:line="190" w:lineRule="exact"/>
        <w:rPr>
          <w:sz w:val="20"/>
          <w:szCs w:val="20"/>
          <w:color w:val="auto"/>
        </w:rPr>
      </w:pPr>
    </w:p>
    <w:p>
      <w:pPr>
        <w:ind w:left="1921" w:right="2439" w:hanging="1921"/>
        <w:spacing w:after="0" w:line="242" w:lineRule="auto"/>
        <w:tabs>
          <w:tab w:leader="none" w:pos="1901" w:val="left"/>
        </w:tabs>
        <w:rPr>
          <w:sz w:val="20"/>
          <w:szCs w:val="20"/>
          <w:color w:val="auto"/>
        </w:rPr>
      </w:pPr>
      <w:r>
        <w:rPr>
          <w:rFonts w:ascii="Courier New" w:cs="Courier New" w:eastAsia="Courier New" w:hAnsi="Courier New"/>
          <w:sz w:val="16"/>
          <w:szCs w:val="16"/>
          <w:color w:val="auto"/>
        </w:rPr>
        <w:t>10.2 (1),(2)</w:t>
      </w:r>
      <w:r>
        <w:rPr>
          <w:sz w:val="20"/>
          <w:szCs w:val="20"/>
          <w:color w:val="auto"/>
        </w:rPr>
        <w:tab/>
      </w:r>
      <w:r>
        <w:rPr>
          <w:rFonts w:ascii="Courier New" w:cs="Courier New" w:eastAsia="Courier New" w:hAnsi="Courier New"/>
          <w:sz w:val="16"/>
          <w:szCs w:val="16"/>
          <w:color w:val="auto"/>
        </w:rPr>
        <w:t>Modification Agreement dated as of December 24, 1997, between First Security Bank, N.A. and the Company (Page 66)</w:t>
      </w:r>
    </w:p>
    <w:p>
      <w:pPr>
        <w:spacing w:after="0" w:line="200" w:lineRule="exact"/>
        <w:rPr>
          <w:sz w:val="20"/>
          <w:szCs w:val="20"/>
          <w:color w:val="auto"/>
        </w:rPr>
      </w:pPr>
    </w:p>
    <w:p>
      <w:pPr>
        <w:spacing w:after="0" w:line="358" w:lineRule="exact"/>
        <w:rPr>
          <w:sz w:val="20"/>
          <w:szCs w:val="20"/>
          <w:color w:val="auto"/>
        </w:rPr>
      </w:pPr>
    </w:p>
    <w:p>
      <w:pPr>
        <w:jc w:val="both"/>
        <w:ind w:left="1" w:right="2639"/>
        <w:spacing w:after="0" w:line="243"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10-QSB for the fiscal quarter ended December 31, 1998. The exhibit numbers shown are those in the Form 10-QSB as originally filed.</w:t>
      </w: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5" w:lineRule="exact"/>
        <w:rPr>
          <w:sz w:val="20"/>
          <w:szCs w:val="20"/>
          <w:color w:val="auto"/>
        </w:rPr>
      </w:pPr>
    </w:p>
    <w:p>
      <w:pPr>
        <w:ind w:left="1241" w:right="2639" w:hanging="1241"/>
        <w:spacing w:after="0" w:line="243" w:lineRule="auto"/>
        <w:tabs>
          <w:tab w:leader="none" w:pos="12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Loan Agreement, and Commercial Security Agreement between Company and Bank One, Utah, N.A. dated as of January 5, 1999 (original aggregate amount of $5,000,000) (Page 15)</w:t>
      </w: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following document is filed as an exhibit to this Form 10-QSB.</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 (Page 17)</w:t>
      </w:r>
    </w:p>
    <w:p>
      <w:pPr>
        <w:spacing w:after="0" w:line="200" w:lineRule="exact"/>
        <w:rPr>
          <w:sz w:val="20"/>
          <w:szCs w:val="20"/>
          <w:color w:val="auto"/>
        </w:rPr>
      </w:pPr>
    </w:p>
    <w:p>
      <w:pPr>
        <w:spacing w:after="0" w:line="360" w:lineRule="exact"/>
        <w:rPr>
          <w:sz w:val="20"/>
          <w:szCs w:val="20"/>
          <w:color w:val="auto"/>
        </w:rPr>
      </w:pPr>
    </w:p>
    <w:p>
      <w:pPr>
        <w:ind w:left="581" w:right="2539" w:hanging="581"/>
        <w:spacing w:after="0" w:line="243" w:lineRule="auto"/>
        <w:tabs>
          <w:tab w:leader="none" w:pos="5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10-QSB by reference to other filings pursuant to the provisions of Rule 12b-32 under the Securities Exchange Act of 1934.</w:t>
      </w:r>
    </w:p>
    <w:p>
      <w:pPr>
        <w:spacing w:after="0" w:line="373" w:lineRule="exact"/>
        <w:rPr>
          <w:sz w:val="20"/>
          <w:szCs w:val="20"/>
          <w:color w:val="auto"/>
        </w:rPr>
      </w:pPr>
    </w:p>
    <w:p>
      <w:pPr>
        <w:ind w:left="581" w:right="2639" w:hanging="581"/>
        <w:spacing w:after="0" w:line="244" w:lineRule="auto"/>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10-QSB by reference, pursuant to Regulation S-B, Item 10(f)(2). These documents are located under File No. 0-17219 and are located at the Securities and Exchange Commission, Public Reference Branch, 450 South 5th St., N.W., Washington, DC 20549.</w:t>
      </w:r>
    </w:p>
    <w:p>
      <w:pPr>
        <w:spacing w:after="0" w:line="370" w:lineRule="exact"/>
        <w:rPr>
          <w:sz w:val="20"/>
          <w:szCs w:val="20"/>
          <w:color w:val="auto"/>
        </w:rPr>
      </w:pPr>
    </w:p>
    <w:p>
      <w:pPr>
        <w:ind w:left="581" w:hanging="581"/>
        <w:spacing w:after="0"/>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Identifies management or compensatory plans, contracts or arrangements.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1441" w:hanging="385"/>
        <w:spacing w:after="0"/>
        <w:tabs>
          <w:tab w:leader="none" w:pos="144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ectPr>
          <w:pgSz w:w="11900" w:h="16838" w:orient="portrait"/>
          <w:cols w:equalWidth="0" w:num="1">
            <w:col w:w="10221"/>
          </w:cols>
          <w:pgMar w:left="239" w:top="300" w:right="1440" w:bottom="0" w:gutter="0" w:footer="0" w:header="0"/>
        </w:sectPr>
      </w:pPr>
    </w:p>
    <w:bookmarkStart w:id="18" w:name="page19"/>
    <w:bookmarkEnd w:id="18"/>
    <w:p>
      <w:pPr>
        <w:jc w:val="right"/>
        <w:ind w:right="2919"/>
        <w:spacing w:after="0"/>
        <w:rPr>
          <w:sz w:val="20"/>
          <w:szCs w:val="20"/>
          <w:color w:val="auto"/>
        </w:rPr>
      </w:pPr>
      <w:r>
        <w:rPr>
          <w:rFonts w:ascii="Courier New" w:cs="Courier New" w:eastAsia="Courier New" w:hAnsi="Courier New"/>
          <w:sz w:val="16"/>
          <w:szCs w:val="16"/>
          <w:color w:val="auto"/>
        </w:rPr>
        <w:t>The Company filed no reports on Form 8-K during the latest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quarter.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819" w:firstLine="1057"/>
        <w:spacing w:after="0" w:line="243" w:lineRule="auto"/>
        <w:rPr>
          <w:sz w:val="20"/>
          <w:szCs w:val="20"/>
          <w:color w:val="auto"/>
        </w:rPr>
      </w:pPr>
      <w:r>
        <w:rPr>
          <w:rFonts w:ascii="Courier New" w:cs="Courier New" w:eastAsia="Courier New" w:hAnsi="Courier New"/>
          <w:sz w:val="16"/>
          <w:szCs w:val="16"/>
          <w:color w:val="auto"/>
        </w:rPr>
        <w:t>In accordance with the requirements of the Securities and Exchange Act, the registrant caused this report to be signed on its behalf by the undersigned, thereunto duly authorized.</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1999</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w:t>
      </w:r>
    </w:p>
    <w:p>
      <w:pPr>
        <w:spacing w:after="0" w:line="200" w:lineRule="exact"/>
        <w:rPr>
          <w:sz w:val="20"/>
          <w:szCs w:val="20"/>
          <w:color w:val="auto"/>
        </w:rPr>
      </w:pPr>
    </w:p>
    <w:p>
      <w:pPr>
        <w:sectPr>
          <w:pgSz w:w="11900" w:h="16838" w:orient="portrait"/>
          <w:cols w:equalWidth="0" w:num="3">
            <w:col w:w="480" w:space="200"/>
            <w:col w:w="2440" w:space="720"/>
            <w:col w:w="6379"/>
          </w:cols>
          <w:pgMar w:left="240" w:top="300" w:right="1440" w:bottom="1440" w:gutter="0" w:footer="0" w:header="0"/>
          <w:type w:val="continuous"/>
        </w:sect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type w:val="continuous"/>
        </w:sectPr>
      </w:pPr>
    </w:p>
    <w:bookmarkStart w:id="20" w:name="page21"/>
    <w:bookmarkEnd w:id="20"/>
    <w:p>
      <w:pPr>
        <w:ind w:left="281"/>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142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w w:val="99"/>
              </w:rPr>
              <w:t>Commercial Credit and Security Agreement, and Promissory Note, between</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Company and First Security Bank, N.A. (original aggregate amount</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of $2,500,000) (Page 7)</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(1),(2),(3)</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1997 Employee Stock Purchase Plan (Page 37)</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w w:val="99"/>
              </w:rPr>
              <w:t>Promissory Note in favor of Safeco Credit Company ($419,000) (Page 52)</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w w:val="99"/>
              </w:rPr>
              <w:t>Commercial Credit and Security Agreement, and Promissory Note, between</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Company and First Security Bank ($322,716.55) (Page 53)</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w w:val="99"/>
              </w:rPr>
              <w:t>Lease between Company and Valley American Investment Company (Page 71)</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(1),(2),(3)</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1998 Stock Option Plan and Form of Grant (Page 42)</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Modification Agreement dated as of December 24, 1997, between</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First Security Bank, N.A. and the Company (Page 66)</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124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Promissory Note, Loan Agreement, and Commercial Security Agreement</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between Company and Bank One, Utah, N.A. dated as of January 5,</w:t>
            </w:r>
          </w:p>
        </w:tc>
      </w:tr>
      <w:tr>
        <w:trPr>
          <w:trHeight w:val="185"/>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1999 (original aggregate amount of $5,000,000) (Page 15)</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124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Financial Data Schedule (Page 17)</w:t>
            </w:r>
          </w:p>
        </w:tc>
      </w:tr>
    </w:tbl>
    <w:p>
      <w:pPr>
        <w:spacing w:after="0" w:line="200" w:lineRule="exact"/>
        <w:rPr>
          <w:sz w:val="20"/>
          <w:szCs w:val="20"/>
          <w:color w:val="auto"/>
        </w:rPr>
      </w:pPr>
    </w:p>
    <w:p>
      <w:pPr>
        <w:spacing w:after="0" w:line="360" w:lineRule="exact"/>
        <w:rPr>
          <w:sz w:val="20"/>
          <w:szCs w:val="20"/>
          <w:color w:val="auto"/>
        </w:rPr>
      </w:pPr>
    </w:p>
    <w:p>
      <w:pPr>
        <w:ind w:left="581" w:right="2539" w:hanging="581"/>
        <w:spacing w:after="0" w:line="243" w:lineRule="auto"/>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10-QSB by reference to other filings pursuant to the provisions of Rule 12b-32 under the Securities Exchange Act of 1934.</w:t>
      </w:r>
    </w:p>
    <w:p>
      <w:pPr>
        <w:spacing w:after="0" w:line="373" w:lineRule="exact"/>
        <w:rPr>
          <w:sz w:val="20"/>
          <w:szCs w:val="20"/>
          <w:color w:val="auto"/>
        </w:rPr>
      </w:pPr>
    </w:p>
    <w:p>
      <w:pPr>
        <w:ind w:left="581" w:right="2639" w:hanging="581"/>
        <w:spacing w:after="0" w:line="244"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10-QSB by reference, pursuant to Regulation S-B, Item 10(f)(2). These documents are located under File No. 0-17219 and are located at the Securities and Exchange Commission, Public Reference Branch, 450 South 5th St., N.W., Washington, DC 20549.</w:t>
      </w:r>
    </w:p>
    <w:p>
      <w:pPr>
        <w:spacing w:after="0" w:line="370"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Identifies management or compensatory plans, contracts or arrangements.</w:t>
      </w:r>
    </w:p>
    <w:p>
      <w:pPr>
        <w:sectPr>
          <w:pgSz w:w="11900" w:h="16838" w:orient="portrait"/>
          <w:cols w:equalWidth="0" w:num="1">
            <w:col w:w="10221"/>
          </w:cols>
          <w:pgMar w:left="239" w:top="30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3-MOS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JUN-30-1999</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MAR-31-1999</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2,133,318</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3,021,287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(280,447)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2,877,107</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8,022,427</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6,244,872</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(4,046,904)</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10,347,849</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2,572,983</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8,123</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7,182,043</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10,347,849</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5,819,151</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5,819,151</w:t>
      </w:r>
    </w:p>
    <w:p>
      <w:pPr>
        <w:spacing w:after="0" w:line="4"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6"/>
          <w:szCs w:val="16"/>
          <w:color w:val="auto"/>
        </w:rPr>
        <w:t>2,437,243</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2,437,243</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37,077</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967,029</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360,700</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606,329</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606,329</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0.07</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0.07</w:t>
      </w:r>
    </w:p>
    <w:sectPr>
      <w:pgSz w:w="11900" w:h="16838" w:orient="portrait"/>
      <w:cols w:equalWidth="0" w:num="1">
        <w:col w:w="10119"/>
      </w:cols>
      <w:pgMar w:left="3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3"/>
      <w:numFmt w:val="bullet"/>
      <w:start w:val="1"/>
    </w:lvl>
    <w:lvl w:ilvl="1">
      <w:lvlJc w:val="left"/>
      <w:lvlText w:val="(%2)"/>
      <w:numFmt w:val="lowerLetter"/>
      <w:start w:val="2"/>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2020-02-22T13:17:17Z</dcterms:created>
  <dcterms:modified xsi:type="dcterms:W3CDTF">2020-02-22T13:17:17Z</dcterms:modified>
</cp:coreProperties>
</file>