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October 4, 2021</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50" w:lineRule="exact"/>
        <w:rPr>
          <w:sz w:val="24"/>
          <w:szCs w:val="24"/>
          <w:color w:val="auto"/>
        </w:rPr>
      </w:pPr>
    </w:p>
    <w:tbl>
      <w:tblPr>
        <w:tblLayout w:type="fixed"/>
        <w:tblInd w:w="420" w:type="dxa"/>
        <w:tblCellMar>
          <w:top w:w="0" w:type="dxa"/>
          <w:left w:w="0" w:type="dxa"/>
          <w:bottom w:w="0" w:type="dxa"/>
          <w:right w:w="0" w:type="dxa"/>
        </w:tblCellMar>
      </w:tblPr>
      <w:tr>
        <w:trPr>
          <w:trHeight w:val="280"/>
        </w:trPr>
        <w:tc>
          <w:tcPr>
            <w:tcW w:w="680" w:type="dxa"/>
            <w:vAlign w:val="bottom"/>
          </w:tcPr>
          <w:p>
            <w:pPr>
              <w:spacing w:after="0"/>
              <w:rPr>
                <w:sz w:val="20"/>
                <w:szCs w:val="20"/>
                <w:color w:val="auto"/>
              </w:rPr>
            </w:pPr>
            <w:r>
              <w:rPr>
                <w:rFonts w:ascii="Arial" w:cs="Arial" w:eastAsia="Arial" w:hAnsi="Arial"/>
                <w:sz w:val="22"/>
                <w:szCs w:val="22"/>
                <w:b w:val="1"/>
                <w:bCs w:val="1"/>
                <w:color w:val="auto"/>
              </w:rPr>
              <w:t>Re:</w:t>
            </w:r>
          </w:p>
        </w:tc>
        <w:tc>
          <w:tcPr>
            <w:tcW w:w="3360" w:type="dxa"/>
            <w:vAlign w:val="bottom"/>
            <w:gridSpan w:val="2"/>
          </w:tcPr>
          <w:p>
            <w:pPr>
              <w:ind w:left="20"/>
              <w:spacing w:after="0"/>
              <w:rPr>
                <w:sz w:val="20"/>
                <w:szCs w:val="20"/>
                <w:color w:val="auto"/>
              </w:rPr>
            </w:pPr>
            <w:r>
              <w:rPr>
                <w:rFonts w:ascii="Arial" w:cs="Arial" w:eastAsia="Arial" w:hAnsi="Arial"/>
                <w:sz w:val="22"/>
                <w:szCs w:val="22"/>
                <w:b w:val="1"/>
                <w:bCs w:val="1"/>
                <w:color w:val="auto"/>
              </w:rPr>
              <w:t>ClearOne, Inc. (the “Company”)</w:t>
            </w:r>
          </w:p>
        </w:tc>
      </w:tr>
      <w:tr>
        <w:trPr>
          <w:trHeight w:val="297"/>
        </w:trPr>
        <w:tc>
          <w:tcPr>
            <w:tcW w:w="68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22"/>
                <w:szCs w:val="22"/>
                <w:b w:val="1"/>
                <w:bCs w:val="1"/>
                <w:color w:val="auto"/>
                <w:w w:val="88"/>
              </w:rPr>
              <w:t>Registration Statement on Form S-3</w:t>
            </w:r>
          </w:p>
        </w:tc>
      </w:tr>
      <w:tr>
        <w:trPr>
          <w:trHeight w:val="308"/>
        </w:trPr>
        <w:tc>
          <w:tcPr>
            <w:tcW w:w="680" w:type="dxa"/>
            <w:vAlign w:val="bottom"/>
          </w:tcPr>
          <w:p>
            <w:pPr>
              <w:spacing w:after="0"/>
              <w:rPr>
                <w:sz w:val="24"/>
                <w:szCs w:val="24"/>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(File No. 333-259799)</w:t>
            </w:r>
          </w:p>
        </w:tc>
        <w:tc>
          <w:tcPr>
            <w:tcW w:w="920" w:type="dxa"/>
            <w:vAlign w:val="bottom"/>
          </w:tcPr>
          <w:p>
            <w:pPr>
              <w:spacing w:after="0"/>
              <w:rPr>
                <w:sz w:val="24"/>
                <w:szCs w:val="24"/>
                <w:color w:val="auto"/>
              </w:rPr>
            </w:pPr>
          </w:p>
        </w:tc>
      </w:tr>
    </w:tbl>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Pursuant to Rule 461 of the General Rules and Regulations under the Securities Act of 1933, as amended, the Company hereby requests that the effective date of the above-captioned Registration Statement be accelerated so that the Registration Statement may become effective at </w:t>
      </w:r>
      <w:r>
        <w:rPr>
          <w:rFonts w:ascii="Arial" w:cs="Arial" w:eastAsia="Arial" w:hAnsi="Arial"/>
          <w:sz w:val="22"/>
          <w:szCs w:val="22"/>
          <w:b w:val="1"/>
          <w:bCs w:val="1"/>
          <w:color w:val="auto"/>
        </w:rPr>
        <w:t>4:00 p.m.</w:t>
      </w:r>
      <w:r>
        <w:rPr>
          <w:rFonts w:ascii="Arial" w:cs="Arial" w:eastAsia="Arial" w:hAnsi="Arial"/>
          <w:sz w:val="22"/>
          <w:szCs w:val="22"/>
          <w:color w:val="auto"/>
        </w:rPr>
        <w:t xml:space="preserve"> Eastern Daylight Time, on </w:t>
      </w:r>
      <w:r>
        <w:rPr>
          <w:rFonts w:ascii="Arial" w:cs="Arial" w:eastAsia="Arial" w:hAnsi="Arial"/>
          <w:sz w:val="22"/>
          <w:szCs w:val="22"/>
          <w:b w:val="1"/>
          <w:bCs w:val="1"/>
          <w:color w:val="auto"/>
        </w:rPr>
        <w:t>Wednesday, October 6, 2021</w:t>
      </w:r>
      <w:r>
        <w:rPr>
          <w:rFonts w:ascii="Arial" w:cs="Arial" w:eastAsia="Arial" w:hAnsi="Arial"/>
          <w:sz w:val="22"/>
          <w:szCs w:val="22"/>
          <w:color w:val="auto"/>
        </w:rPr>
        <w:t xml:space="preserve"> or as soon thereafter as practicable.</w:t>
      </w:r>
    </w:p>
    <w:p>
      <w:pPr>
        <w:spacing w:after="0" w:line="77" w:lineRule="exact"/>
        <w:rPr>
          <w:sz w:val="24"/>
          <w:szCs w:val="24"/>
          <w:color w:val="auto"/>
        </w:rPr>
      </w:pPr>
    </w:p>
    <w:p>
      <w:pPr>
        <w:ind w:left="660"/>
        <w:spacing w:after="0"/>
        <w:rPr>
          <w:sz w:val="20"/>
          <w:szCs w:val="20"/>
          <w:color w:val="auto"/>
        </w:rPr>
      </w:pPr>
      <w:r>
        <w:rPr>
          <w:rFonts w:ascii="Arial" w:cs="Arial" w:eastAsia="Arial" w:hAnsi="Arial"/>
          <w:sz w:val="22"/>
          <w:szCs w:val="22"/>
          <w:color w:val="auto"/>
        </w:rPr>
        <w:t>In connection herewith, the Company hereby acknowledges that:</w:t>
      </w:r>
    </w:p>
    <w:p>
      <w:pPr>
        <w:spacing w:after="0" w:line="98" w:lineRule="exact"/>
        <w:rPr>
          <w:sz w:val="24"/>
          <w:szCs w:val="24"/>
          <w:color w:val="auto"/>
        </w:rPr>
      </w:pPr>
    </w:p>
    <w:p>
      <w:pPr>
        <w:jc w:val="both"/>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Should the Securities and Exchange Commission (the “Commission”), or the Commissions staff, acting pursuant to delegated authority, declare the filing effective, it does not foreclose the Commission from taking any action with respect to the filing;</w:t>
      </w:r>
    </w:p>
    <w:p>
      <w:pPr>
        <w:spacing w:after="0" w:line="78" w:lineRule="exact"/>
        <w:rPr>
          <w:rFonts w:ascii="Arial" w:cs="Arial" w:eastAsia="Arial" w:hAnsi="Arial"/>
          <w:sz w:val="22"/>
          <w:szCs w:val="22"/>
          <w:color w:val="auto"/>
        </w:rPr>
      </w:pPr>
    </w:p>
    <w:p>
      <w:pPr>
        <w:jc w:val="both"/>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8" w:lineRule="exact"/>
        <w:rPr>
          <w:rFonts w:ascii="Arial" w:cs="Arial" w:eastAsia="Arial" w:hAnsi="Arial"/>
          <w:sz w:val="22"/>
          <w:szCs w:val="22"/>
          <w:color w:val="auto"/>
        </w:rPr>
      </w:pPr>
    </w:p>
    <w:p>
      <w:pPr>
        <w:jc w:val="both"/>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may not assert comments from the Commission or the staff or the declaration of effectiveness of the above-captioned Registration Statement as a defense in any proceeding initiated by the Commission or any person under the federal securities laws of the United States.</w:t>
      </w:r>
    </w:p>
    <w:p>
      <w:pPr>
        <w:spacing w:after="0" w:line="200" w:lineRule="exact"/>
        <w:rPr>
          <w:sz w:val="24"/>
          <w:szCs w:val="24"/>
          <w:color w:val="auto"/>
        </w:rPr>
      </w:pPr>
    </w:p>
    <w:p>
      <w:pPr>
        <w:spacing w:after="0" w:line="270"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Sincerely,</w:t>
      </w:r>
    </w:p>
    <w:p>
      <w:pPr>
        <w:spacing w:after="0" w:line="335"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CLEARONE, INC.</w:t>
      </w:r>
    </w:p>
    <w:p>
      <w:pPr>
        <w:spacing w:after="0" w:line="347" w:lineRule="exact"/>
        <w:rPr>
          <w:sz w:val="24"/>
          <w:szCs w:val="24"/>
          <w:color w:val="auto"/>
        </w:rPr>
      </w:pPr>
    </w:p>
    <w:p>
      <w:pPr>
        <w:ind w:left="512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Zeynep Hakimoglu</w:t>
      </w:r>
    </w:p>
    <w:p>
      <w:pPr>
        <w:spacing w:after="0" w:line="44" w:lineRule="exact"/>
        <w:rPr>
          <w:sz w:val="24"/>
          <w:szCs w:val="24"/>
          <w:color w:val="auto"/>
        </w:rPr>
      </w:pPr>
    </w:p>
    <w:p>
      <w:pPr>
        <w:ind w:left="6200"/>
        <w:spacing w:after="0"/>
        <w:rPr>
          <w:sz w:val="20"/>
          <w:szCs w:val="20"/>
          <w:color w:val="auto"/>
        </w:rPr>
      </w:pPr>
      <w:r>
        <w:rPr>
          <w:rFonts w:ascii="Arial" w:cs="Arial" w:eastAsia="Arial" w:hAnsi="Arial"/>
          <w:sz w:val="22"/>
          <w:szCs w:val="22"/>
          <w:color w:val="auto"/>
        </w:rPr>
        <w:t>Name: Zeynep Hakimoglu</w:t>
      </w:r>
    </w:p>
    <w:p>
      <w:pPr>
        <w:spacing w:after="0" w:line="44" w:lineRule="exact"/>
        <w:rPr>
          <w:sz w:val="24"/>
          <w:szCs w:val="24"/>
          <w:color w:val="auto"/>
        </w:rPr>
      </w:pPr>
    </w:p>
    <w:p>
      <w:pPr>
        <w:ind w:left="6200"/>
        <w:spacing w:after="0"/>
        <w:rPr>
          <w:sz w:val="20"/>
          <w:szCs w:val="20"/>
          <w:color w:val="auto"/>
        </w:rPr>
      </w:pPr>
      <w:r>
        <w:rPr>
          <w:rFonts w:ascii="Arial" w:cs="Arial" w:eastAsia="Arial" w:hAnsi="Arial"/>
          <w:sz w:val="22"/>
          <w:szCs w:val="22"/>
          <w:color w:val="auto"/>
        </w:rPr>
        <w:t>Title: Chief Executive Officer</w:t>
      </w: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2021-11-04T23:06:48Z</dcterms:created>
  <dcterms:modified xsi:type="dcterms:W3CDTF">2021-11-04T23:06:48Z</dcterms:modified>
</cp:coreProperties>
</file>