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October 24, 2013</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ClearOne,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Utah</w:t>
            </w:r>
          </w:p>
        </w:tc>
        <w:tc>
          <w:tcPr>
            <w:tcW w:w="388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18"/>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(Commission File Number)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w:t>
            </w:r>
          </w:p>
        </w:tc>
        <w:tc>
          <w:tcPr>
            <w:tcW w:w="2400" w:type="dxa"/>
            <w:vAlign w:val="bottom"/>
          </w:tcPr>
          <w:p>
            <w:pPr>
              <w:spacing w:after="0"/>
              <w:rPr>
                <w:sz w:val="18"/>
                <w:szCs w:val="18"/>
                <w:color w:val="auto"/>
              </w:rPr>
            </w:pPr>
          </w:p>
        </w:tc>
      </w:tr>
      <w:tr>
        <w:trPr>
          <w:trHeight w:val="238"/>
        </w:trPr>
        <w:tc>
          <w:tcPr>
            <w:tcW w:w="9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Salt Lake City, Utah</w:t>
            </w:r>
          </w:p>
        </w:tc>
        <w:tc>
          <w:tcPr>
            <w:tcW w:w="24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7"/>
        </w:trPr>
        <w:tc>
          <w:tcPr>
            <w:tcW w:w="5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4"/>
          </w:tcPr>
          <w:p>
            <w:pPr>
              <w:ind w:left="29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(Zip Code)</w:t>
            </w:r>
          </w:p>
        </w:tc>
      </w:tr>
      <w:tr>
        <w:trPr>
          <w:trHeight w:val="635"/>
        </w:trPr>
        <w:tc>
          <w:tcPr>
            <w:tcW w:w="6300" w:type="dxa"/>
            <w:vAlign w:val="bottom"/>
            <w:gridSpan w:val="2"/>
          </w:tcPr>
          <w:p>
            <w:pPr>
              <w:jc w:val="center"/>
              <w:ind w:left="5050"/>
              <w:spacing w:after="0"/>
              <w:rPr>
                <w:sz w:val="20"/>
                <w:szCs w:val="20"/>
                <w:color w:val="auto"/>
              </w:rPr>
            </w:pPr>
            <w:r>
              <w:rPr>
                <w:rFonts w:ascii="Times New Roman" w:cs="Times New Roman" w:eastAsia="Times New Roman" w:hAnsi="Times New Roman"/>
                <w:sz w:val="18"/>
                <w:szCs w:val="18"/>
                <w:b w:val="1"/>
                <w:bCs w:val="1"/>
                <w:color w:val="auto"/>
                <w:w w:val="99"/>
              </w:rPr>
              <w:t>(801) 975-7200</w:t>
            </w: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4"/>
          </w:tcPr>
          <w:p>
            <w:pPr>
              <w:jc w:val="center"/>
              <w:ind w:left="2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00" w:type="dxa"/>
            <w:vAlign w:val="bottom"/>
          </w:tcPr>
          <w:p>
            <w:pPr>
              <w:spacing w:after="0"/>
              <w:rPr>
                <w:sz w:val="20"/>
                <w:szCs w:val="20"/>
                <w:color w:val="auto"/>
              </w:rPr>
            </w:pPr>
          </w:p>
        </w:tc>
      </w:tr>
      <w:tr>
        <w:trPr>
          <w:trHeight w:val="392"/>
        </w:trPr>
        <w:tc>
          <w:tcPr>
            <w:tcW w:w="51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72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4"/>
          </w:tcPr>
          <w:p>
            <w:pPr>
              <w:jc w:val="center"/>
              <w:ind w:left="231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400" w:type="dxa"/>
            <w:vAlign w:val="bottom"/>
          </w:tcPr>
          <w:p>
            <w:pPr>
              <w:spacing w:after="0"/>
              <w:rPr>
                <w:sz w:val="20"/>
                <w:szCs w:val="20"/>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tc>
      </w:t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Pre-commencement communication pursuant to Rule 13e-4(c) under the Exchange Act (17 CFR 240.13e-4(c))</w:t>
            </w:r>
          </w:p>
        </w:tc>
      </w:tr>
    </w:tbl>
    <w:p>
      <w:pPr>
        <w:sectPr>
          <w:pgSz w:w="11900" w:h="16838" w:orient="portrait"/>
          <w:cols w:equalWidth="0" w:num="1">
            <w:col w:w="11420"/>
          </w:cols>
          <w:pgMar w:left="240" w:top="743"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firstLine="4214"/>
        <w:spacing w:after="0" w:line="282" w:lineRule="auto"/>
        <w:rPr>
          <w:sz w:val="20"/>
          <w:szCs w:val="20"/>
          <w:color w:val="auto"/>
        </w:rPr>
      </w:pPr>
      <w:r>
        <w:rPr>
          <w:rFonts w:ascii="Times New Roman" w:cs="Times New Roman" w:eastAsia="Times New Roman" w:hAnsi="Times New Roman"/>
          <w:sz w:val="18"/>
          <w:szCs w:val="18"/>
          <w:color w:val="auto"/>
        </w:rPr>
        <w:t>On October 24, 2013, ClearOne, Inc. issued a press release announcing its financial results for the nine months ended September 30, 2013.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27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6890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28"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Press Release dated October 24, 2013 titled “ClearOne Reports 2013 Third Quarter Financial Results”.</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340"/>
        <w:spacing w:after="0"/>
        <w:tabs>
          <w:tab w:leader="none" w:pos="5520" w:val="left"/>
          <w:tab w:leader="none" w:pos="5940" w:val="left"/>
        </w:tabs>
        <w:rPr>
          <w:sz w:val="20"/>
          <w:szCs w:val="20"/>
          <w:color w:val="auto"/>
        </w:rPr>
      </w:pPr>
      <w:r>
        <w:rPr>
          <w:rFonts w:ascii="Times New Roman" w:cs="Times New Roman" w:eastAsia="Times New Roman" w:hAnsi="Times New Roman"/>
          <w:sz w:val="18"/>
          <w:szCs w:val="18"/>
          <w:color w:val="auto"/>
        </w:rPr>
        <w:t>October 24, 2013</w:t>
      </w:r>
      <w:r>
        <w:rPr>
          <w:sz w:val="20"/>
          <w:szCs w:val="20"/>
          <w:color w:val="auto"/>
        </w:rPr>
        <w:tab/>
      </w:r>
      <w:r>
        <w:rPr>
          <w:rFonts w:ascii="Times New Roman" w:cs="Times New Roman" w:eastAsia="Times New Roman" w:hAnsi="Times New Roman"/>
          <w:sz w:val="18"/>
          <w:szCs w:val="18"/>
          <w:color w:val="auto"/>
        </w:rPr>
        <w:t>By:</w:t>
        <w:tab/>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34290</wp:posOffset>
            </wp:positionV>
            <wp:extent cx="3293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80"/>
          </w:cols>
          <w:pgMar w:left="240" w:top="333" w:right="379" w:bottom="1440" w:gutter="0" w:footer="0" w:header="0"/>
        </w:sectPr>
      </w:pPr>
    </w:p>
    <w:bookmarkStart w:id="2" w:name="page3"/>
    <w:bookmarkEnd w:id="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 Johnson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801-303-3577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brent.johnson@clearone.com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ClearOne Reports 2013 Third-Quarter Financial Results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New Professional Product Sales Boost Company to Record Third-Quarter Revenues</w:t>
      </w:r>
    </w:p>
    <w:p>
      <w:pPr>
        <w:spacing w:after="0" w:line="3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SALT LAKE CITY, UTAH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October 24, 2013 </w:t>
      </w:r>
      <w:r>
        <w:rPr>
          <w:rFonts w:ascii="Times New Roman" w:cs="Times New Roman" w:eastAsia="Times New Roman" w:hAnsi="Times New Roman"/>
          <w:sz w:val="18"/>
          <w:szCs w:val="18"/>
          <w:color w:val="auto"/>
        </w:rPr>
        <w:t>- ClearOne (NASDAQ: CLRO) today reported its financial results for the third quarter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Record results mark the fifth consecutive quarter of year-over-year revenue growth.</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2013 third quarter, revenue increased by 7% to $12.4 million, compared with $11.6 million for the third quarter of 2012. Gross profit was $7.4 million, or 60% of revenue, compared with $6.7 million, or 58% of revenue, for the third quarter of 2012. Non-GAAP operating income increased by 24% to $2.3 million from $1.9 million for the 2012 third quarter. Non-GAAP net income grew 36% to $1.7 million, or $0.18 per diluted share, from $1.2 million, or $0.13 per diluted share, last year. Non-GAAP adjusted EBITDA for the 2013 third quarter increased 24% to $2.6 million, or $0.28 per diluted share, from $2.1 million, or $0.23 per diluted share, a year ago.</w:t>
      </w:r>
    </w:p>
    <w:p>
      <w:pPr>
        <w:spacing w:after="0" w:line="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2013, revenue rose by 6% to $35.4 million from $33.4 million for the same period in 2012. Gross profit was $21.3 million, or 60% of revenue, compared with $19.9 million, or 60% of revenue, for nine months ended September 30, 2012. Non-GAAP operating income for the nine months ended September 30, 2013 increased by 23% to $5.5 million from $4.5 million for the nine months ended September 30, 2012. Non-GAAP net income for the 2013 year-to-date period grew 41% to $3.9 million, or $0.41 per diluted share, from $2.8 million or $0.30 per diluted share, last year. Non-GAAP adjusted EBITDA increased 21% to $6.2 million, or $0.66 per diluted share, from $5.2 million, or $0.56 per diluted share, for the corresponding period a year ago.</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cash equivalents and investments totaled $43.6 million at September 30, 2013, down from $55.5 million on December 31, 2012. This includes the final net amount retained from the December 2012, $45 million favorable settlement relating to auction-rate securities, after paying $13.8 million of associated income taxes and $6.75 million in attorneys' fees. The cash balance also includes $272,000 successfully recovered from money held in escrow related to the VCON acquisition.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continues to take a calculated approach to evaluating its options, consistent with the company’s strategy, to use this capital to maximize value to shareholders. This quarter, ClearOne advanced its stock repurchase plan, acquiring 144,000 shares, bringing the 2013 total repurchase amount to approximately $2.2 million against an allocation of $10 million.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“Despite the negative impact of continued macroeconomic weakness in EMEA and the U.S. Government sequestration, we posted strong results, thanks to our outstanding performance in North America and Asia Pacific,” said Zee Hakimoglu, President, Chief Executive Officer and Chairman of ClearOne. “This strong performance is a testament to our core strategy, which relies on a strategically-built portfolio of innovative products."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quarter, our suite of microphone products released during the last 12 months contributed significantly to the company’s growth, including ClearOne’s game-changing Beamforming Microphone Array,” Hakimoglu added. “We expect to see additional new product growth in coming quarters from our new video systems, which will begin shipping in the late fourth quarter.”</w:t>
      </w:r>
    </w:p>
    <w:p>
      <w:pPr>
        <w:sectPr>
          <w:pgSz w:w="11900" w:h="16838" w:orient="portrait"/>
          <w:cols w:equalWidth="0" w:num="1">
            <w:col w:w="11400"/>
          </w:cols>
          <w:pgMar w:left="240" w:top="1440"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ClearOne provides non-GAAP financial information in the form of Non-GAAP net income,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Adjusted EBITDA and corresponding earnings per share excludes certain costs and expenses, the details of which are provided in the tables below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net income to GAAP net income is included with this news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streaming and digital signage solutions for audio and visual communications. The performance and simplicity of its advanced comprehensive solutions offer unprecedented levels of functionality, scalability and reliability. More information about the company can be found at www.clearone.com.</w:t>
      </w:r>
    </w:p>
    <w:p>
      <w:pPr>
        <w:spacing w:after="0" w:line="1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http://investors.clearone.com</w:t>
      </w:r>
    </w:p>
    <w:p>
      <w:pPr>
        <w:sectPr>
          <w:pgSz w:w="11900" w:h="16838" w:orient="portrait"/>
          <w:cols w:equalWidth="0" w:num="1">
            <w:col w:w="11420"/>
          </w:cols>
          <w:pgMar w:left="240" w:top="1036" w:right="2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0" w:type="dxa"/>
            <w:vAlign w:val="bottom"/>
          </w:tcPr>
          <w:p>
            <w:pPr>
              <w:spacing w:after="0"/>
              <w:rPr>
                <w:sz w:val="1"/>
                <w:szCs w:val="1"/>
                <w:color w:val="auto"/>
              </w:rPr>
            </w:pPr>
          </w:p>
        </w:tc>
      </w:tr>
      <w:tr>
        <w:trPr>
          <w:trHeight w:val="212"/>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8080" w:type="dxa"/>
            <w:vAlign w:val="bottom"/>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55,509</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$94 and $60, respectively</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8,388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10,873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1,369</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45,912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79,287</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1,955</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80,995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91,939</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14,782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3,593</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22,820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25,271</w:t>
            </w:r>
          </w:p>
        </w:tc>
        <w:tc>
          <w:tcPr>
            <w:tcW w:w="0" w:type="dxa"/>
            <w:vAlign w:val="bottom"/>
          </w:tcPr>
          <w:p>
            <w:pPr>
              <w:spacing w:after="0"/>
              <w:rPr>
                <w:sz w:val="1"/>
                <w:szCs w:val="1"/>
                <w:color w:val="auto"/>
              </w:rPr>
            </w:pPr>
          </w:p>
        </w:tc>
      </w:tr>
      <w:tr>
        <w:trPr>
          <w:trHeight w:val="27"/>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50,000,000 shares authorized, 9,004,901 and 9,163,462 shares issued and</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40,430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26,229</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68,598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66,668</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80,995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91,939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92" w:right="2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Quarter ended Sept 30,</w:t>
            </w:r>
          </w:p>
        </w:tc>
        <w:tc>
          <w:tcPr>
            <w:tcW w:w="320" w:type="dxa"/>
            <w:vAlign w:val="bottom"/>
          </w:tcPr>
          <w:p>
            <w:pPr>
              <w:spacing w:after="0"/>
              <w:rPr>
                <w:sz w:val="18"/>
                <w:szCs w:val="18"/>
                <w:color w:val="auto"/>
              </w:rPr>
            </w:pPr>
          </w:p>
        </w:tc>
        <w:tc>
          <w:tcPr>
            <w:tcW w:w="2560" w:type="dxa"/>
            <w:vAlign w:val="bottom"/>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Nine months ended Sept 30,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12,366</w:t>
            </w:r>
          </w:p>
        </w:tc>
        <w:tc>
          <w:tcPr>
            <w:tcW w:w="10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11,573</w:t>
            </w:r>
          </w:p>
        </w:tc>
        <w:tc>
          <w:tcPr>
            <w:tcW w:w="100" w:type="dxa"/>
            <w:vAlign w:val="bottom"/>
          </w:tcPr>
          <w:p>
            <w:pPr>
              <w:spacing w:after="0"/>
              <w:rPr>
                <w:sz w:val="20"/>
                <w:szCs w:val="20"/>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35,362</w:t>
            </w:r>
          </w:p>
        </w:tc>
        <w:tc>
          <w:tcPr>
            <w:tcW w:w="100" w:type="dxa"/>
            <w:vAlign w:val="bottom"/>
          </w:tcPr>
          <w:p>
            <w:pPr>
              <w:spacing w:after="0"/>
              <w:rPr>
                <w:sz w:val="20"/>
                <w:szCs w:val="20"/>
                <w:color w:val="auto"/>
              </w:rPr>
            </w:pP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33,382</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19,918</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6,209</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litigation, net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54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9,027,764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9,113,713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9,090,903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9,106,455</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9,406,941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9,193,574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9,485,808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9,219,161</w:t>
            </w:r>
          </w:p>
        </w:tc>
        <w:tc>
          <w:tcPr>
            <w:tcW w:w="0" w:type="dxa"/>
            <w:vAlign w:val="bottom"/>
          </w:tcPr>
          <w:p>
            <w:pPr>
              <w:spacing w:after="0"/>
              <w:rPr>
                <w:sz w:val="1"/>
                <w:szCs w:val="1"/>
                <w:color w:val="auto"/>
              </w:rPr>
            </w:pPr>
          </w:p>
        </w:tc>
      </w:tr>
      <w:tr>
        <w:trPr>
          <w:trHeight w:val="56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76" w:right="2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NON-GAAP NET INCOME AND RECONCILIATION OF GAAP TO NON-GAAP NET INCOME</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values)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Quarter ended Sept 30,</w:t>
            </w:r>
          </w:p>
        </w:tc>
        <w:tc>
          <w:tcPr>
            <w:tcW w:w="340" w:type="dxa"/>
            <w:vAlign w:val="bottom"/>
          </w:tcPr>
          <w:p>
            <w:pPr>
              <w:spacing w:after="0"/>
              <w:rPr>
                <w:sz w:val="18"/>
                <w:szCs w:val="18"/>
                <w:color w:val="auto"/>
              </w:rPr>
            </w:pPr>
          </w:p>
        </w:tc>
        <w:tc>
          <w:tcPr>
            <w:tcW w:w="262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 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11,573</w:t>
            </w:r>
          </w:p>
        </w:tc>
        <w:tc>
          <w:tcPr>
            <w:tcW w:w="100" w:type="dxa"/>
            <w:vAlign w:val="bottom"/>
          </w:tcPr>
          <w:p>
            <w:pPr>
              <w:spacing w:after="0"/>
              <w:rPr>
                <w:sz w:val="18"/>
                <w:szCs w:val="18"/>
                <w:color w:val="auto"/>
              </w:rPr>
            </w:pP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35,362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33,382</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19,921</w:t>
            </w: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4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6,164</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product development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5,970</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3,285</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litigation</w:t>
            </w: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4,502</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2,751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24"/>
                <w:szCs w:val="24"/>
                <w:color w:val="auto"/>
              </w:rPr>
            </w:pP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23"/>
                <w:szCs w:val="23"/>
                <w:color w:val="auto"/>
              </w:rPr>
            </w:pP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59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9,027,764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9,113,713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9,090,903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9,106,455</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9,406,941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9,193,574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9,485,808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9,219,161</w:t>
            </w:r>
          </w:p>
        </w:tc>
        <w:tc>
          <w:tcPr>
            <w:tcW w:w="0" w:type="dxa"/>
            <w:vAlign w:val="bottom"/>
          </w:tcPr>
          <w:p>
            <w:pPr>
              <w:spacing w:after="0"/>
              <w:rPr>
                <w:sz w:val="1"/>
                <w:szCs w:val="1"/>
                <w:color w:val="auto"/>
              </w:rPr>
            </w:pPr>
          </w:p>
        </w:tc>
      </w:tr>
      <w:tr>
        <w:trPr>
          <w:trHeight w:val="594"/>
        </w:trPr>
        <w:tc>
          <w:tcPr>
            <w:tcW w:w="4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Net Income</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3,438</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Legal expenses for litigation relating to indemnification of</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former officers, theft of our intellectual property claims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and our claim for damages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litigation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Total of adjustments before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affected by the above adjustments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adjustments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2,751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00"/>
          </w:cols>
          <w:pgMar w:left="920" w:top="657" w:right="87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RECONCILIATION OF GAAP TO NON-GAAP ADJUSTED EBITDA</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values)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Quarter ended Sept 30,</w:t>
            </w:r>
          </w:p>
        </w:tc>
        <w:tc>
          <w:tcPr>
            <w:tcW w:w="340" w:type="dxa"/>
            <w:vAlign w:val="bottom"/>
          </w:tcPr>
          <w:p>
            <w:pPr>
              <w:spacing w:after="0"/>
              <w:rPr>
                <w:sz w:val="18"/>
                <w:szCs w:val="18"/>
                <w:color w:val="auto"/>
              </w:rPr>
            </w:pPr>
          </w:p>
        </w:tc>
        <w:tc>
          <w:tcPr>
            <w:tcW w:w="26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 30,</w:t>
            </w:r>
          </w:p>
        </w:tc>
      </w:tr>
      <w:tr>
        <w:trPr>
          <w:trHeight w:val="40"/>
        </w:trPr>
        <w:tc>
          <w:tcPr>
            <w:tcW w:w="8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8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GAAP 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2,132</w:t>
            </w:r>
          </w:p>
        </w:tc>
      </w:tr>
      <w:tr>
        <w:trPr>
          <w:trHeight w:val="263"/>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8"/>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1,310</w:t>
            </w: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991</w:t>
            </w:r>
          </w:p>
        </w:tc>
      </w:tr>
      <w:tr>
        <w:trPr>
          <w:trHeight w:val="33"/>
        </w:trPr>
        <w:tc>
          <w:tcPr>
            <w:tcW w:w="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Non-GAAP EBITDA</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4,433</w:t>
            </w:r>
          </w:p>
        </w:tc>
      </w:tr>
      <w:tr>
        <w:trPr>
          <w:trHeight w:val="24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litigation, net of legal expenses and special bonus to officers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r>
      <w:tr>
        <w:trPr>
          <w:trHeight w:val="249"/>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expenses for litigation relating to indemnification of former officers,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0"/>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theft of our intellectual property claims and our claim for damages</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r>
      <w:tr>
        <w:trPr>
          <w:trHeight w:val="33"/>
        </w:trPr>
        <w:tc>
          <w:tcPr>
            <w:tcW w:w="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Non-GAAP Adjusted EBITDA</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2,608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6,219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5,156</w:t>
            </w:r>
          </w:p>
        </w:tc>
      </w:tr>
      <w:tr>
        <w:trPr>
          <w:trHeight w:val="20"/>
        </w:trPr>
        <w:tc>
          <w:tcPr>
            <w:tcW w:w="8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2"/>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9,027,764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9,113,713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9,090,903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9,106,455</w:t>
            </w: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9,406,941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9,193,574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9,485,808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9,219,161</w:t>
            </w:r>
          </w:p>
        </w:tc>
      </w:tr>
      <w:tr>
        <w:trPr>
          <w:trHeight w:val="594"/>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Non-GAAP Adjusted EBITDA per common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0.57</w:t>
            </w: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Non-GAAP Adjusted EBITDA per common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0.56</w:t>
            </w:r>
          </w:p>
        </w:tc>
      </w:tr>
    </w:tbl>
    <w:p>
      <w:pPr>
        <w:spacing w:after="0" w:line="1" w:lineRule="exact"/>
        <w:rPr>
          <w:sz w:val="20"/>
          <w:szCs w:val="20"/>
          <w:color w:val="auto"/>
        </w:rPr>
      </w:pPr>
    </w:p>
    <w:sectPr>
      <w:pgSz w:w="11900" w:h="16838" w:orient="portrait"/>
      <w:cols w:equalWidth="0" w:num="1">
        <w:col w:w="11380"/>
      </w:cols>
      <w:pgMar w:left="28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2019-12-06T03:33:00Z</dcterms:created>
  <dcterms:modified xsi:type="dcterms:W3CDTF">2019-12-06T03:33:00Z</dcterms:modified>
</cp:coreProperties>
</file>