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12"/>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ind w:left="367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3"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12"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(Amendment No. 1)*</w:t>
      </w:r>
    </w:p>
    <w:p>
      <w:pPr>
        <w:spacing w:after="0" w:line="137"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 w:lineRule="exact"/>
        <w:rPr>
          <w:sz w:val="24"/>
          <w:szCs w:val="24"/>
          <w:color w:val="auto"/>
        </w:rPr>
      </w:pPr>
    </w:p>
    <w:p>
      <w:pPr>
        <w:ind w:left="5012"/>
        <w:spacing w:after="0"/>
        <w:rPr>
          <w:sz w:val="20"/>
          <w:szCs w:val="20"/>
          <w:color w:val="auto"/>
        </w:rPr>
      </w:pPr>
      <w:r>
        <w:rPr>
          <w:rFonts w:ascii="Times New Roman" w:cs="Times New Roman" w:eastAsia="Times New Roman" w:hAnsi="Times New Roman"/>
          <w:sz w:val="18"/>
          <w:szCs w:val="18"/>
          <w:color w:val="auto"/>
        </w:rPr>
        <w:t>(Name of Issuer)</w:t>
      </w:r>
    </w:p>
    <w:p>
      <w:pPr>
        <w:spacing w:after="0" w:line="161" w:lineRule="exact"/>
        <w:rPr>
          <w:sz w:val="24"/>
          <w:szCs w:val="24"/>
          <w:color w:val="auto"/>
        </w:rPr>
      </w:pPr>
    </w:p>
    <w:p>
      <w:pPr>
        <w:ind w:left="5032"/>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89"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(CUSIP Number)</w:t>
      </w:r>
    </w:p>
    <w:p>
      <w:pPr>
        <w:spacing w:after="0" w:line="176" w:lineRule="exact"/>
        <w:rPr>
          <w:sz w:val="24"/>
          <w:szCs w:val="24"/>
          <w:color w:val="auto"/>
        </w:rPr>
      </w:pPr>
    </w:p>
    <w:p>
      <w:pPr>
        <w:ind w:left="4872"/>
        <w:spacing w:after="0"/>
        <w:rPr>
          <w:sz w:val="20"/>
          <w:szCs w:val="20"/>
          <w:color w:val="auto"/>
        </w:rPr>
      </w:pPr>
      <w:r>
        <w:rPr>
          <w:rFonts w:ascii="Times New Roman" w:cs="Times New Roman" w:eastAsia="Times New Roman" w:hAnsi="Times New Roman"/>
          <w:sz w:val="18"/>
          <w:szCs w:val="18"/>
          <w:b w:val="1"/>
          <w:bCs w:val="1"/>
          <w:color w:val="auto"/>
        </w:rPr>
        <w:t>Zeynep Hakimoglu</w:t>
      </w:r>
    </w:p>
    <w:p>
      <w:pPr>
        <w:spacing w:after="0" w:line="31" w:lineRule="exact"/>
        <w:rPr>
          <w:sz w:val="24"/>
          <w:szCs w:val="24"/>
          <w:color w:val="auto"/>
        </w:rPr>
      </w:pPr>
    </w:p>
    <w:p>
      <w:pPr>
        <w:ind w:left="4912"/>
        <w:spacing w:after="0"/>
        <w:rPr>
          <w:sz w:val="20"/>
          <w:szCs w:val="20"/>
          <w:color w:val="auto"/>
        </w:rPr>
      </w:pPr>
      <w:r>
        <w:rPr>
          <w:rFonts w:ascii="Times New Roman" w:cs="Times New Roman" w:eastAsia="Times New Roman" w:hAnsi="Times New Roman"/>
          <w:sz w:val="18"/>
          <w:szCs w:val="18"/>
          <w:b w:val="1"/>
          <w:bCs w:val="1"/>
          <w:color w:val="auto"/>
        </w:rPr>
        <w:t>c/o ClearOne, Inc.</w:t>
      </w:r>
    </w:p>
    <w:p>
      <w:pPr>
        <w:spacing w:after="0" w:line="9" w:lineRule="exact"/>
        <w:rPr>
          <w:sz w:val="24"/>
          <w:szCs w:val="24"/>
          <w:color w:val="auto"/>
        </w:rPr>
      </w:pPr>
    </w:p>
    <w:p>
      <w:pPr>
        <w:ind w:left="4392"/>
        <w:spacing w:after="0"/>
        <w:rPr>
          <w:sz w:val="20"/>
          <w:szCs w:val="20"/>
          <w:color w:val="auto"/>
        </w:rPr>
      </w:pPr>
      <w:r>
        <w:rPr>
          <w:rFonts w:ascii="Times New Roman" w:cs="Times New Roman" w:eastAsia="Times New Roman" w:hAnsi="Times New Roman"/>
          <w:sz w:val="18"/>
          <w:szCs w:val="18"/>
          <w:b w:val="1"/>
          <w:bCs w:val="1"/>
          <w:color w:val="auto"/>
        </w:rPr>
        <w:t>5225 Wiley Post Way, Suite 500</w:t>
      </w:r>
    </w:p>
    <w:p>
      <w:pPr>
        <w:spacing w:after="0" w:line="9" w:lineRule="exact"/>
        <w:rPr>
          <w:sz w:val="24"/>
          <w:szCs w:val="24"/>
          <w:color w:val="auto"/>
        </w:rPr>
      </w:pPr>
    </w:p>
    <w:p>
      <w:pPr>
        <w:ind w:left="4832"/>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9" w:lineRule="exact"/>
        <w:rPr>
          <w:sz w:val="24"/>
          <w:szCs w:val="24"/>
          <w:color w:val="auto"/>
        </w:rPr>
      </w:pPr>
    </w:p>
    <w:p>
      <w:pPr>
        <w:ind w:left="4932"/>
        <w:spacing w:after="0"/>
        <w:rPr>
          <w:sz w:val="20"/>
          <w:szCs w:val="20"/>
          <w:color w:val="auto"/>
        </w:rPr>
      </w:pPr>
      <w:r>
        <w:rPr>
          <w:rFonts w:ascii="Times New Roman" w:cs="Times New Roman" w:eastAsia="Times New Roman" w:hAnsi="Times New Roman"/>
          <w:sz w:val="18"/>
          <w:szCs w:val="18"/>
          <w:b w:val="1"/>
          <w:bCs w:val="1"/>
          <w:color w:val="auto"/>
        </w:rPr>
        <w:t>+1 (801) 975-7200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1"/>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162"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b w:val="1"/>
          <w:bCs w:val="1"/>
          <w:color w:val="auto"/>
        </w:rPr>
        <w:t>September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80" w:lineRule="exact"/>
        <w:rPr>
          <w:sz w:val="24"/>
          <w:szCs w:val="24"/>
          <w:color w:val="auto"/>
        </w:rPr>
      </w:pPr>
    </w:p>
    <w:p>
      <w:pPr>
        <w:ind w:left="12" w:right="220"/>
        <w:spacing w:after="0" w:line="228"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81" w:lineRule="exact"/>
        <w:rPr>
          <w:sz w:val="24"/>
          <w:szCs w:val="24"/>
          <w:color w:val="auto"/>
        </w:rPr>
      </w:pPr>
    </w:p>
    <w:p>
      <w:pPr>
        <w:ind w:left="12" w:right="360"/>
        <w:spacing w:after="0" w:line="255"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104" w:lineRule="exact"/>
        <w:rPr>
          <w:sz w:val="24"/>
          <w:szCs w:val="24"/>
          <w:color w:val="auto"/>
        </w:rPr>
      </w:pPr>
    </w:p>
    <w:p>
      <w:pPr>
        <w:ind w:left="12" w:hanging="12"/>
        <w:spacing w:after="0" w:line="266" w:lineRule="auto"/>
        <w:tabs>
          <w:tab w:leader="none" w:pos="23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54" w:lineRule="exact"/>
        <w:rPr>
          <w:sz w:val="24"/>
          <w:szCs w:val="24"/>
          <w:color w:val="auto"/>
        </w:rPr>
      </w:pPr>
    </w:p>
    <w:p>
      <w:pPr>
        <w:ind w:left="12" w:right="560"/>
        <w:spacing w:after="0" w:line="250"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218440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52"/>
          </w:cols>
          <w:pgMar w:left="328" w:top="225"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left="880" w:right="8320" w:hanging="506"/>
        <w:spacing w:after="0" w:line="282"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Zeynep Hakimoglu</w:t>
      </w:r>
    </w:p>
    <w:p>
      <w:pPr>
        <w:spacing w:after="0" w:line="202"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920" w:hanging="1047"/>
        <w:spacing w:after="0" w:line="207" w:lineRule="exact"/>
        <w:tabs>
          <w:tab w:leader="none" w:pos="1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37" w:lineRule="exact"/>
        <w:rPr>
          <w:rFonts w:ascii="Times New Roman" w:cs="Times New Roman" w:eastAsia="Times New Roman" w:hAnsi="Times New Roman"/>
          <w:sz w:val="18"/>
          <w:szCs w:val="18"/>
          <w:color w:val="auto"/>
        </w:rPr>
      </w:pPr>
    </w:p>
    <w:p>
      <w:pPr>
        <w:ind w:left="1920" w:hanging="1047"/>
        <w:spacing w:after="0" w:line="207" w:lineRule="exact"/>
        <w:tabs>
          <w:tab w:leader="none" w:pos="19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2"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52"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-1296670</wp:posOffset>
            </wp:positionV>
            <wp:extent cx="6583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-859155</wp:posOffset>
            </wp:positionV>
            <wp:extent cx="5949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-713740</wp:posOffset>
            </wp:positionV>
            <wp:extent cx="5949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931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-422275</wp:posOffset>
            </wp:positionV>
            <wp:extent cx="65836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14605</wp:posOffset>
            </wp:positionV>
            <wp:extent cx="6583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199" w:lineRule="exact"/>
        <w:rPr>
          <w:sz w:val="20"/>
          <w:szCs w:val="20"/>
          <w:color w:val="auto"/>
        </w:rPr>
      </w:pPr>
    </w:p>
    <w:p>
      <w:pPr>
        <w:ind w:left="380"/>
        <w:spacing w:after="0" w:line="207" w:lineRule="exact"/>
        <w:tabs>
          <w:tab w:leader="none" w:pos="860" w:val="left"/>
          <w:tab w:leader="none" w:pos="714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35560</wp:posOffset>
            </wp:positionV>
            <wp:extent cx="6583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61" w:lineRule="exact"/>
        <w:rPr>
          <w:sz w:val="20"/>
          <w:szCs w:val="20"/>
          <w:color w:val="auto"/>
        </w:rPr>
      </w:pPr>
    </w:p>
    <w:p>
      <w:pPr>
        <w:ind w:left="880" w:hanging="506"/>
        <w:spacing w:after="0"/>
        <w:tabs>
          <w:tab w:leader="none" w:pos="8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148" w:lineRule="exact"/>
        <w:rPr>
          <w:rFonts w:ascii="Times New Roman" w:cs="Times New Roman" w:eastAsia="Times New Roman" w:hAnsi="Times New Roman"/>
          <w:sz w:val="18"/>
          <w:szCs w:val="18"/>
          <w:color w:val="auto"/>
        </w:rPr>
      </w:pPr>
    </w:p>
    <w:p>
      <w:pPr>
        <w:ind w:left="1800" w:hanging="508"/>
        <w:spacing w:after="0"/>
        <w:tabs>
          <w:tab w:leader="none" w:pos="1800" w:val="left"/>
        </w:tabs>
        <w:numPr>
          <w:ilvl w:val="1"/>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-342265</wp:posOffset>
            </wp:positionV>
            <wp:extent cx="65836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09"/>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w:t>
            </w:r>
          </w:p>
        </w:tc>
        <w:tc>
          <w:tcPr>
            <w:tcW w:w="680" w:type="dxa"/>
            <w:vAlign w:val="bottom"/>
          </w:tcPr>
          <w:p>
            <w:pPr>
              <w:spacing w:after="0"/>
              <w:rPr>
                <w:sz w:val="24"/>
                <w:szCs w:val="24"/>
                <w:color w:val="auto"/>
              </w:rPr>
            </w:pPr>
          </w:p>
        </w:tc>
        <w:tc>
          <w:tcPr>
            <w:tcW w:w="9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1,067,856</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56"/>
        </w:trPr>
        <w:tc>
          <w:tcPr>
            <w:tcW w:w="1100" w:type="dxa"/>
            <w:vAlign w:val="bottom"/>
            <w:vMerge w:val="continue"/>
          </w:tcPr>
          <w:p>
            <w:pPr>
              <w:spacing w:after="0"/>
              <w:rPr>
                <w:sz w:val="4"/>
                <w:szCs w:val="4"/>
                <w:color w:val="auto"/>
              </w:rPr>
            </w:pPr>
          </w:p>
        </w:tc>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w:t>
            </w:r>
          </w:p>
        </w:tc>
        <w:tc>
          <w:tcPr>
            <w:tcW w:w="9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680" w:type="dxa"/>
            <w:vAlign w:val="bottom"/>
            <w:vMerge w:val="continue"/>
          </w:tcPr>
          <w:p>
            <w:pPr>
              <w:spacing w:after="0"/>
              <w:rPr>
                <w:sz w:val="13"/>
                <w:szCs w:val="13"/>
                <w:color w:val="auto"/>
              </w:rPr>
            </w:pPr>
          </w:p>
        </w:tc>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8"/>
        </w:trPr>
        <w:tc>
          <w:tcPr>
            <w:tcW w:w="11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 by</w:t>
            </w:r>
          </w:p>
        </w:tc>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9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26"/>
        </w:trPr>
        <w:tc>
          <w:tcPr>
            <w:tcW w:w="110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Each</w:t>
            </w:r>
          </w:p>
        </w:tc>
        <w:tc>
          <w:tcPr>
            <w:tcW w:w="680" w:type="dxa"/>
            <w:vAlign w:val="bottom"/>
            <w:vMerge w:val="continue"/>
          </w:tcPr>
          <w:p>
            <w:pPr>
              <w:spacing w:after="0"/>
              <w:rPr>
                <w:sz w:val="10"/>
                <w:szCs w:val="10"/>
                <w:color w:val="auto"/>
              </w:rPr>
            </w:pPr>
          </w:p>
        </w:tc>
        <w:tc>
          <w:tcPr>
            <w:tcW w:w="9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1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80" w:type="dxa"/>
            <w:vAlign w:val="bottom"/>
          </w:tcPr>
          <w:p>
            <w:pPr>
              <w:spacing w:after="0"/>
              <w:rPr>
                <w:sz w:val="22"/>
                <w:szCs w:val="22"/>
                <w:color w:val="auto"/>
              </w:rPr>
            </w:pPr>
          </w:p>
        </w:tc>
        <w:tc>
          <w:tcPr>
            <w:tcW w:w="9460" w:type="dxa"/>
            <w:vAlign w:val="bottom"/>
          </w:tcPr>
          <w:p>
            <w:pPr>
              <w:ind w:left="20"/>
              <w:spacing w:after="0" w:line="263" w:lineRule="exact"/>
              <w:rPr>
                <w:sz w:val="20"/>
                <w:szCs w:val="20"/>
                <w:color w:val="auto"/>
              </w:rPr>
            </w:pPr>
            <w:r>
              <w:rPr>
                <w:rFonts w:ascii="Times New Roman" w:cs="Times New Roman" w:eastAsia="Times New Roman" w:hAnsi="Times New Roman"/>
                <w:sz w:val="18"/>
                <w:szCs w:val="18"/>
                <w:color w:val="auto"/>
              </w:rPr>
              <w:t>1,067,856</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66"/>
        </w:trPr>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9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61"/>
        </w:trPr>
        <w:tc>
          <w:tcPr>
            <w:tcW w:w="1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9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1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5"/>
        </w:trPr>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right="5520" w:hanging="506"/>
        <w:spacing w:after="0" w:line="300"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1,067,856</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-78740</wp:posOffset>
            </wp:positionV>
            <wp:extent cx="65836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51" w:lineRule="exact"/>
        <w:rPr>
          <w:sz w:val="20"/>
          <w:szCs w:val="20"/>
          <w:color w:val="auto"/>
        </w:rPr>
      </w:pPr>
    </w:p>
    <w:p>
      <w:pPr>
        <w:ind w:left="380"/>
        <w:spacing w:after="0" w:line="207" w:lineRule="exact"/>
        <w:tabs>
          <w:tab w:leader="none" w:pos="8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35560</wp:posOffset>
            </wp:positionV>
            <wp:extent cx="65836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261" w:lineRule="exact"/>
        <w:rPr>
          <w:sz w:val="20"/>
          <w:szCs w:val="20"/>
          <w:color w:val="auto"/>
        </w:rPr>
      </w:pPr>
    </w:p>
    <w:p>
      <w:pPr>
        <w:ind w:left="880" w:hanging="506"/>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88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5"/>
          <w:szCs w:val="25"/>
          <w:color w:val="auto"/>
          <w:vertAlign w:val="subscript"/>
        </w:rPr>
        <w:t>5.6%</w:t>
      </w:r>
      <w:r>
        <w:rPr>
          <w:rFonts w:ascii="Times New Roman" w:cs="Times New Roman" w:eastAsia="Times New Roman" w:hAnsi="Times New Roman"/>
          <w:sz w:val="10"/>
          <w:szCs w:val="10"/>
          <w:color w:val="auto"/>
        </w:rPr>
        <w:t>(1)(2)</w:t>
      </w:r>
    </w:p>
    <w:p>
      <w:pPr>
        <w:spacing w:after="0" w:line="238" w:lineRule="exact"/>
        <w:rPr>
          <w:rFonts w:ascii="Times New Roman" w:cs="Times New Roman" w:eastAsia="Times New Roman" w:hAnsi="Times New Roman"/>
          <w:sz w:val="18"/>
          <w:szCs w:val="18"/>
          <w:color w:val="auto"/>
        </w:rPr>
      </w:pPr>
    </w:p>
    <w:p>
      <w:pPr>
        <w:ind w:left="880" w:hanging="506"/>
        <w:spacing w:after="0"/>
        <w:tabs>
          <w:tab w:leader="none" w:pos="8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33" w:lineRule="exact"/>
        <w:rPr>
          <w:rFonts w:ascii="Times New Roman" w:cs="Times New Roman" w:eastAsia="Times New Roman" w:hAnsi="Times New Roman"/>
          <w:sz w:val="18"/>
          <w:szCs w:val="18"/>
          <w:color w:val="auto"/>
        </w:rPr>
      </w:pPr>
    </w:p>
    <w:p>
      <w:pPr>
        <w:ind w:left="60" w:right="520" w:firstLine="2"/>
        <w:spacing w:after="0" w:line="282"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options to purchase 200,000 shares of common stock and warrants to purchase 5,015 shares of common stock that were beneficially owned by the reporting person as of September 16, 2020.</w:t>
      </w:r>
    </w:p>
    <w:p>
      <w:pPr>
        <w:spacing w:after="0" w:line="161" w:lineRule="exact"/>
        <w:rPr>
          <w:rFonts w:ascii="Times New Roman" w:cs="Times New Roman" w:eastAsia="Times New Roman" w:hAnsi="Times New Roman"/>
          <w:sz w:val="18"/>
          <w:szCs w:val="18"/>
          <w:color w:val="auto"/>
        </w:rPr>
      </w:pPr>
    </w:p>
    <w:p>
      <w:pPr>
        <w:ind w:left="320" w:hanging="258"/>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18,771,257 issued and outstanding shares of common stock as of September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-1113790</wp:posOffset>
            </wp:positionV>
            <wp:extent cx="65836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-676275</wp:posOffset>
            </wp:positionV>
            <wp:extent cx="65836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185060U104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sect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16"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This Amendment No. 1 to Schedule 13D (this “Amendment”) is being filed as an amendment to the initial statement on Schedule 13D relating to the Common Stock, $0.001 par value per share (“Common Stock”) of ClearOne, Inc., a Delaware corporation (the “Company”) as filed with the Securities and Exchange Commission (the “SEC”) on December 6, 2018 (the “Schedule 13D”). The Company’s principal executive offices are located at 5225 Wiley Post Way, Suite 500, Salt Lake City, Utah 84116.This Amendment amends and supplements the information set forth in the Schedule 13D as follows: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jc w:val="both"/>
        <w:ind w:right="320"/>
        <w:spacing w:after="0" w:line="245" w:lineRule="auto"/>
        <w:rPr>
          <w:sz w:val="20"/>
          <w:szCs w:val="20"/>
          <w:color w:val="auto"/>
        </w:rPr>
      </w:pPr>
      <w:r>
        <w:rPr>
          <w:rFonts w:ascii="Times New Roman" w:cs="Times New Roman" w:eastAsia="Times New Roman" w:hAnsi="Times New Roman"/>
          <w:sz w:val="18"/>
          <w:szCs w:val="18"/>
          <w:color w:val="auto"/>
        </w:rPr>
        <w:t>Zeynep Hakimoglu is the record owner of an aggregate of 862,841 shares of common stock which were purchased for an aggregate consideration of $2,339,764.34. Ms. Hakimoglu used personal funds to acquire the shares.Ms. Hakimoglu also is the beneficial owner of options to purchase 200,000 shares of common stock received as compensatory awards under the Company’s equity compensation plans, and warrants to purchase 5,015 shares of common stock acquired in a private placement as further described in Item 5 of this Amendment.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Company</w:t>
      </w:r>
    </w:p>
    <w:p>
      <w:pPr>
        <w:spacing w:after="0" w:line="216" w:lineRule="exact"/>
        <w:rPr>
          <w:sz w:val="20"/>
          <w:szCs w:val="20"/>
          <w:color w:val="auto"/>
        </w:rPr>
      </w:pPr>
    </w:p>
    <w:p>
      <w:pPr>
        <w:ind w:right="180" w:firstLine="782"/>
        <w:spacing w:after="0" w:line="239" w:lineRule="auto"/>
        <w:tabs>
          <w:tab w:leader="none" w:pos="106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Company’s issuance and sale of 2,116,050 shares of common stock in a registered direct offering on September 16, 2020 (the “Registered Offering”) and warrants to purchase up to 1,058,025 shares of common stock in a concurrent private placement with the Registered Offering (the “Private Placement”),, Ms. Hakimoglu beneficially owned 862,841 shares of the Company’s issued and outstanding shares of common stock, options to purchase 200,000 shares of the Company’s common stock, and warrants to purchase 5,015 shares of common stock, representing 5.6% of the issued and outstanding shares of the Company’s common stock as of September 16, 2020 and assuming the exercise by Ms. Hakimoglu of all of her options and warrants. The percentage of beneficial ownership of Ms. Hakimoglu set forth in this Schedule 13D are based on 18,771,257 shares of issued and outstanding common stock as of September 16, 2020, after giving effect to the issuance of shares of common stock in the Registered Offering.</w:t>
      </w:r>
    </w:p>
    <w:p>
      <w:pPr>
        <w:spacing w:after="0" w:line="92" w:lineRule="exact"/>
        <w:rPr>
          <w:rFonts w:ascii="Times New Roman" w:cs="Times New Roman" w:eastAsia="Times New Roman" w:hAnsi="Times New Roman"/>
          <w:sz w:val="18"/>
          <w:szCs w:val="18"/>
          <w:color w:val="auto"/>
        </w:rPr>
      </w:pPr>
    </w:p>
    <w:p>
      <w:pPr>
        <w:ind w:right="140" w:firstLine="782"/>
        <w:spacing w:after="0" w:line="221" w:lineRule="auto"/>
        <w:tabs>
          <w:tab w:leader="none" w:pos="10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Hakimoglu has the sole power to vote or to direct the vote, and the sole power to dispose or to direct the disposition of, all the shares described in Item 5. (a)</w:t>
      </w:r>
    </w:p>
    <w:p>
      <w:pPr>
        <w:spacing w:after="0" w:line="91" w:lineRule="exact"/>
        <w:rPr>
          <w:rFonts w:ascii="Times New Roman" w:cs="Times New Roman" w:eastAsia="Times New Roman" w:hAnsi="Times New Roman"/>
          <w:sz w:val="18"/>
          <w:szCs w:val="18"/>
          <w:color w:val="auto"/>
        </w:rPr>
      </w:pPr>
    </w:p>
    <w:p>
      <w:pPr>
        <w:ind w:left="1080" w:hanging="298"/>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2020, Ms. Hakimoglu purchased 10,030 shares at a price of $2.4925 per share in the Registered Offering.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Company</w:t>
      </w:r>
    </w:p>
    <w:p>
      <w:pPr>
        <w:spacing w:after="0" w:line="216" w:lineRule="exact"/>
        <w:rPr>
          <w:sz w:val="20"/>
          <w:szCs w:val="20"/>
          <w:color w:val="auto"/>
        </w:rPr>
      </w:pPr>
    </w:p>
    <w:p>
      <w:pPr>
        <w:ind w:firstLine="583"/>
        <w:spacing w:after="0" w:line="250" w:lineRule="auto"/>
        <w:rPr>
          <w:sz w:val="20"/>
          <w:szCs w:val="20"/>
          <w:color w:val="auto"/>
        </w:rPr>
      </w:pPr>
      <w:r>
        <w:rPr>
          <w:rFonts w:ascii="Times New Roman" w:cs="Times New Roman" w:eastAsia="Times New Roman" w:hAnsi="Times New Roman"/>
          <w:sz w:val="18"/>
          <w:szCs w:val="18"/>
          <w:color w:val="auto"/>
        </w:rPr>
        <w:t>On September 16, 2020, Ms. Hakimoglu acquired a warrant to purchase 5,015 shares of common stock in the Private Placement. A copy of the Form of Warrant was filed as Exhibit 4.1 to the Company’s Current Report on Form 8-K as filed with the SEC on September 14, 2020 and is incorporated herein by reference.</w:t>
      </w: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18" w:right="479" w:bottom="1440" w:gutter="0" w:footer="0" w:header="0"/>
          <w:type w:val="continuous"/>
        </w:sectPr>
      </w:pPr>
    </w:p>
    <w:bookmarkStart w:id="3" w:name="page4"/>
    <w:bookmarkEnd w:id="3"/>
    <w:p>
      <w:pPr>
        <w:spacing w:after="0" w:line="266"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35" w:lineRule="exact"/>
        <w:rPr>
          <w:sz w:val="20"/>
          <w:szCs w:val="20"/>
          <w:color w:val="auto"/>
        </w:rPr>
      </w:pPr>
    </w:p>
    <w:p>
      <w:pPr>
        <w:ind w:left="5060"/>
        <w:spacing w:after="0"/>
        <w:tabs>
          <w:tab w:leader="none" w:pos="5760" w:val="left"/>
        </w:tabs>
        <w:rPr>
          <w:sz w:val="20"/>
          <w:szCs w:val="20"/>
          <w:color w:val="auto"/>
        </w:rPr>
      </w:pPr>
      <w:r>
        <w:rPr>
          <w:rFonts w:ascii="Times New Roman" w:cs="Times New Roman" w:eastAsia="Times New Roman" w:hAnsi="Times New Roman"/>
          <w:sz w:val="18"/>
          <w:szCs w:val="18"/>
          <w:color w:val="auto"/>
        </w:rPr>
        <w:t>DATE:</w:t>
        <w:tab/>
        <w:t>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17145</wp:posOffset>
            </wp:positionV>
            <wp:extent cx="30003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17145</wp:posOffset>
            </wp:positionV>
            <wp:extent cx="3454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Zeynep Hakimoglu</w:t>
      </w:r>
    </w:p>
    <w:sectPr>
      <w:pgSz w:w="11900" w:h="16838" w:orient="portrait"/>
      <w:cols w:equalWidth="0" w:num="1">
        <w:col w:w="10160"/>
      </w:cols>
      <w:pgMar w:left="1060" w:top="756"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2)"/>
      <w:numFmt w:val="lowerLetter"/>
      <w:start w:val="1"/>
    </w:lvl>
  </w:abstractNum>
  <w:abstractNum w:abstractNumId="2">
    <w:nsid w:val="46E87CCD"/>
    <w:multiLevelType w:val="hybridMultilevel"/>
    <w:lvl w:ilvl="0">
      <w:lvlJc w:val="left"/>
      <w:lvlText w:val="%1."/>
      <w:numFmt w:val="decimal"/>
      <w:start w:val="6"/>
    </w:lvl>
    <w:lvl w:ilvl="1">
      <w:lvlJc w:val="left"/>
      <w:lvlText w:val="%2."/>
      <w:numFmt w:val="decimal"/>
      <w:start w:val="7"/>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decimal"/>
      <w:start w:val="1"/>
    </w:lvl>
    <w:lvl w:ilvl="1">
      <w:lvlJc w:val="left"/>
      <w:lvlText w:val="%2."/>
      <w:numFmt w:val="decimal"/>
      <w:start w:val="13"/>
    </w:lvl>
  </w:abstractNum>
  <w:abstractNum w:abstractNumId="5">
    <w:nsid w:val="2EB141F2"/>
    <w:multiLevelType w:val="hybridMultilevel"/>
    <w:lvl w:ilvl="0">
      <w:lvlJc w:val="left"/>
      <w:lvlText w:val="(%1)"/>
      <w:numFmt w:val="decimal"/>
      <w:start w:val="1"/>
    </w:lvl>
    <w:lvl w:ilvl="1">
      <w:lvlJc w:val="left"/>
      <w:lvlText w:val="%2"/>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2020-09-18T15:24:23Z</dcterms:created>
  <dcterms:modified xsi:type="dcterms:W3CDTF">2020-09-18T15:24:23Z</dcterms:modified>
</cp:coreProperties>
</file>