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July 31, 2013</w:t>
      </w: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u w:val="single" w:color="auto"/>
          <w:color w:val="auto"/>
        </w:rPr>
        <w:t>ClearOne, Inc.</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84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001-33660</w:t>
            </w:r>
          </w:p>
        </w:tc>
        <w:tc>
          <w:tcPr>
            <w:tcW w:w="12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18"/>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7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5225 Wiley Post Way, Suite 500</w:t>
            </w:r>
          </w:p>
        </w:tc>
        <w:tc>
          <w:tcPr>
            <w:tcW w:w="2300" w:type="dxa"/>
            <w:vAlign w:val="bottom"/>
          </w:tcPr>
          <w:p>
            <w:pPr>
              <w:spacing w:after="0"/>
              <w:rPr>
                <w:sz w:val="18"/>
                <w:szCs w:val="18"/>
                <w:color w:val="auto"/>
              </w:rPr>
            </w:pPr>
          </w:p>
        </w:tc>
      </w:tr>
      <w:tr>
        <w:trPr>
          <w:trHeight w:val="238"/>
        </w:trPr>
        <w:tc>
          <w:tcPr>
            <w:tcW w:w="87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230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7"/>
        </w:trPr>
        <w:tc>
          <w:tcPr>
            <w:tcW w:w="5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716"/>
        </w:trPr>
        <w:tc>
          <w:tcPr>
            <w:tcW w:w="6300" w:type="dxa"/>
            <w:vAlign w:val="bottom"/>
            <w:gridSpan w:val="2"/>
          </w:tcPr>
          <w:p>
            <w:pPr>
              <w:jc w:val="center"/>
              <w:ind w:left="5050"/>
              <w:spacing w:after="0"/>
              <w:rPr>
                <w:sz w:val="20"/>
                <w:szCs w:val="20"/>
                <w:color w:val="auto"/>
              </w:rPr>
            </w:pPr>
            <w:r>
              <w:rPr>
                <w:rFonts w:ascii="Times New Roman" w:cs="Times New Roman" w:eastAsia="Times New Roman" w:hAnsi="Times New Roman"/>
                <w:sz w:val="18"/>
                <w:szCs w:val="18"/>
                <w:b w:val="1"/>
                <w:bCs w:val="1"/>
                <w:color w:val="auto"/>
                <w:w w:val="99"/>
              </w:rPr>
              <w:t>(801) 975-7200</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
        </w:trPr>
        <w:tc>
          <w:tcPr>
            <w:tcW w:w="518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37"/>
        </w:trPr>
        <w:tc>
          <w:tcPr>
            <w:tcW w:w="8720" w:type="dxa"/>
            <w:vAlign w:val="bottom"/>
            <w:gridSpan w:val="4"/>
          </w:tcPr>
          <w:p>
            <w:pPr>
              <w:jc w:val="center"/>
              <w:ind w:left="26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30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420" w:type="dxa"/>
            <w:vAlign w:val="bottom"/>
            <w:gridSpan w:val="2"/>
          </w:tcPr>
          <w:p>
            <w:pPr>
              <w:spacing w:after="0"/>
              <w:rPr>
                <w:sz w:val="24"/>
                <w:szCs w:val="24"/>
                <w:color w:val="auto"/>
              </w:rPr>
            </w:pPr>
          </w:p>
        </w:tc>
        <w:tc>
          <w:tcPr>
            <w:tcW w:w="2300" w:type="dxa"/>
            <w:vAlign w:val="bottom"/>
          </w:tcPr>
          <w:p>
            <w:pPr>
              <w:spacing w:after="0"/>
              <w:rPr>
                <w:sz w:val="24"/>
                <w:szCs w:val="24"/>
                <w:color w:val="auto"/>
              </w:rPr>
            </w:pPr>
          </w:p>
        </w:tc>
      </w:tr>
      <w:tr>
        <w:trPr>
          <w:trHeight w:val="237"/>
        </w:trPr>
        <w:tc>
          <w:tcPr>
            <w:tcW w:w="8720" w:type="dxa"/>
            <w:vAlign w:val="bottom"/>
            <w:gridSpan w:val="4"/>
          </w:tcPr>
          <w:p>
            <w:pPr>
              <w:jc w:val="center"/>
              <w:ind w:left="261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3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tc>
      </w:tr>
      <w:tr>
        <w:trPr>
          <w:trHeight w:val="234"/>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Pre-commencement communication pursuant to Rule 13e-4(c) under the Exchange Act (17 CFR 240.13e-4(c))</w:t>
            </w:r>
          </w:p>
        </w:tc>
      </w:tr>
    </w:tbl>
    <w:p>
      <w:pPr>
        <w:sectPr>
          <w:pgSz w:w="11900" w:h="16838" w:orient="portrait"/>
          <w:cols w:equalWidth="0" w:num="1">
            <w:col w:w="11300"/>
          </w:cols>
          <w:pgMar w:left="240" w:top="58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July 31, 2013, ClearOne, Inc. issued a press release announcing its financial results for the six months ended June 30, 2013. The full text of the press release is attached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9360" w:type="dxa"/>
            <w:vAlign w:val="bottom"/>
            <w:tcBorders>
              <w:bottom w:val="single" w:sz="8" w:color="auto"/>
            </w:tcBorders>
          </w:tcPr>
          <w:p>
            <w:pPr>
              <w:ind w:left="4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2"/>
        </w:trPr>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Exhibit 99.1</w:t>
            </w:r>
          </w:p>
        </w:tc>
        <w:tc>
          <w:tcPr>
            <w:tcW w:w="9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Press Release dated July 31, 2013 titled “ClearOne Reports 2013 Second Quarter Financial Results”.</w:t>
            </w:r>
          </w:p>
        </w:tc>
      </w:tr>
      <w:tr>
        <w:trPr>
          <w:trHeight w:val="500"/>
        </w:trPr>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SIGNATURES</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(Registrant)</w:t>
      </w:r>
    </w:p>
    <w:p>
      <w:pPr>
        <w:spacing w:after="0" w:line="342" w:lineRule="exact"/>
        <w:rPr>
          <w:sz w:val="20"/>
          <w:szCs w:val="20"/>
          <w:color w:val="auto"/>
        </w:rPr>
      </w:pPr>
    </w:p>
    <w:p>
      <w:pPr>
        <w:ind w:left="3400"/>
        <w:spacing w:after="0"/>
        <w:tabs>
          <w:tab w:leader="none" w:pos="5120" w:val="left"/>
        </w:tabs>
        <w:rPr>
          <w:sz w:val="20"/>
          <w:szCs w:val="20"/>
          <w:color w:val="auto"/>
        </w:rPr>
      </w:pPr>
      <w:r>
        <w:rPr>
          <w:rFonts w:ascii="Times New Roman" w:cs="Times New Roman" w:eastAsia="Times New Roman" w:hAnsi="Times New Roman"/>
          <w:sz w:val="18"/>
          <w:szCs w:val="18"/>
          <w:color w:val="auto"/>
        </w:rPr>
        <w:t>August 2, 2013 By:</w:t>
      </w:r>
      <w:r>
        <w:rPr>
          <w:sz w:val="20"/>
          <w:szCs w:val="20"/>
          <w:color w:val="auto"/>
        </w:rPr>
        <w:tab/>
      </w:r>
      <w:r>
        <w:rPr>
          <w:rFonts w:ascii="Times New Roman" w:cs="Times New Roman" w:eastAsia="Times New Roman" w:hAnsi="Times New Roman"/>
          <w:sz w:val="17"/>
          <w:szCs w:val="17"/>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34290</wp:posOffset>
            </wp:positionV>
            <wp:extent cx="3773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Zeynep Hakimoglu</w:t>
      </w:r>
    </w:p>
    <w:p>
      <w:pPr>
        <w:spacing w:after="0" w:line="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240" w:top="549"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801-303-3577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brent.johnson@clearone.com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ClearOne Reports 2013 Second Quarter Financial Results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Company Reports Fourth Consecutive Quarter of Year-over-Year Revenue Growth</w:t>
      </w:r>
    </w:p>
    <w:p>
      <w:pPr>
        <w:spacing w:after="0" w:line="2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SALT LAKE CITY, UTAH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July 31, 2013 </w:t>
      </w:r>
      <w:r>
        <w:rPr>
          <w:rFonts w:ascii="Times New Roman" w:cs="Times New Roman" w:eastAsia="Times New Roman" w:hAnsi="Times New Roman"/>
          <w:sz w:val="18"/>
          <w:szCs w:val="18"/>
          <w:color w:val="auto"/>
        </w:rPr>
        <w:t>- ClearOne (NASDAQ: CLRO) today reported its financial results for the three and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2013.</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2013 second quarter, revenue was $11.70 million, compared with $11.66 million for the second quarter of 2012. Gross profit was $6.9 million, or 59% of revenue, compared with $7.1 million, or 61% of revenue, for the second quarter of 2012. Non-GAAP operating income increased by 7% to $1.8 million from $1.7 million for the 2012 second quarter. Non-GAAP net income grew 40% to $1.2 million, or $0.13 per diluted share, from $885,000, or $0.10 per diluted share, last year. Non-GAAP Adjusted EBITDA for the 2013 second quarter increased 9% to $2.0 million, or $0.22 per diluted share, from $1.9 million, or $0.20 per diluted share, a year ago.</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first half of 2013, revenue rose to $23.0 million from $21.8 million for the same period in 2012. Gross profit was $13.9 million, or 60% of revenue, compared with $13.2 million, or 61% of revenue, for the first half of 2012. Non-GAAP operating income for the first half of 2013 increased by 22% to $3.2 million from $2.6 million for the second half of 2012. Non-GAAP net income for the 2013 year-to-date period grew 46% to $2.2 million, or $0.23 per diluted share, from $1.5 million, or $0.16 per diluted share, last year. Non-GAAP Adjusted EBITDA for the first half of 2013 increased 18% to $3.6 million, or $0.38 per diluted share, from $3.1 million, or $0.33 per diluted share, for the corresponding period a year ago.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between GAAP and Non-GAAP measures is available in the tables attached to this release.</w:t>
      </w:r>
    </w:p>
    <w:p>
      <w:pPr>
        <w:spacing w:after="0" w:line="33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At June 30, 2013, the company had cash, cash equivalents, and investments of $41.6 million. The company continues to selectively evaluate modest acquisition and organic growth opportunities to complement its product portfolio.</w:t>
      </w:r>
    </w:p>
    <w:p>
      <w:pPr>
        <w:spacing w:after="0" w:line="27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"At the halfway mark for fiscal 2013, we are optimistic that our positive momentum will continue," said Zee Hakimoglu, President, Chief Executive Officer and Chairman of ClearOne. "Although the company’s performance in the Asia and EMEA markets continues to reflect a slowdown in growth and lingering macroeconomic uncertainty, we remain confident that the best is yet to come, as the market continues to recognize the value of the lower-cost software-based solutions that define the future in video and are addressed by the strong ClearOne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ClearOne made progress on an important strategic goal in the quarter by successfully signing major distribution partners in the EMEA region and the U.S. These new distribution partners expand the reach of ClearOne’s unified communications and video products.</w:t>
      </w:r>
    </w:p>
    <w:p>
      <w:pPr>
        <w:spacing w:after="0" w:line="53" w:lineRule="exact"/>
        <w:rPr>
          <w:rFonts w:ascii="Times New Roman" w:cs="Times New Roman" w:eastAsia="Times New Roman" w:hAnsi="Times New Roman"/>
          <w:sz w:val="18"/>
          <w:szCs w:val="18"/>
          <w:color w:val="auto"/>
        </w:rPr>
      </w:pPr>
    </w:p>
    <w:p>
      <w:pPr>
        <w:jc w:val="both"/>
        <w:ind w:left="660" w:right="460" w:hanging="328"/>
        <w:spacing w:after="0" w:line="22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to develop its unified media engine for its next-generation video products. This advanced technology will enhance the performance of the COLLABORATE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video conferencing and VIEW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multimedia streaming products, as well as contribute to stronger gross margins when the next-generation products launch.</w:t>
      </w:r>
    </w:p>
    <w:p>
      <w:pPr>
        <w:sectPr>
          <w:pgSz w:w="11900" w:h="16838" w:orient="portrait"/>
          <w:cols w:equalWidth="0" w:num="1">
            <w:col w:w="11400"/>
          </w:cols>
          <w:pgMar w:left="240" w:top="1333" w:right="259" w:bottom="1440" w:gutter="0" w:footer="0" w:header="0"/>
        </w:sectPr>
      </w:pPr>
    </w:p>
    <w:bookmarkStart w:id="3" w:name="page4"/>
    <w:bookmarkEnd w:id="3"/>
    <w:p>
      <w:pPr>
        <w:ind w:left="660" w:right="70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ClearOne took another leap ahead with the Pro Audio industry’s most powerful innovation, the Beamforming Microphone Array, by adding expanded support for tabletop and wall applications.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ClearOne provides non-GAAP financial information in the form of Non-GAAP net income,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ClearOne</w:t>
      </w:r>
    </w:p>
    <w:p>
      <w:pPr>
        <w:spacing w:after="0" w:line="22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ClearOne is a global company that designs, develops and sells conferencing, collaboration, streaming and digital signage solutions for audio and visual communications. The performance and simplicity of its advanced comprehensive solutions offer unprecedented levels of functionality, scalability and reliability. More information about the company can be found at </w:t>
      </w:r>
      <w:r>
        <w:rPr>
          <w:rFonts w:ascii="Times New Roman" w:cs="Times New Roman" w:eastAsia="Times New Roman" w:hAnsi="Times New Roman"/>
          <w:sz w:val="18"/>
          <w:szCs w:val="18"/>
          <w:u w:val="single" w:color="auto"/>
          <w:color w:val="0000FF"/>
        </w:rPr>
        <w:t>www.clearone.com</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acquisitions or investments the company may make to fuel growth, the purchase of common stock under the company's stock repurchase program and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http://investors.clearone.com</w:t>
      </w:r>
    </w:p>
    <w:p>
      <w:pPr>
        <w:sectPr>
          <w:pgSz w:w="11900" w:h="16838" w:orient="portrait"/>
          <w:cols w:equalWidth="0" w:num="1">
            <w:col w:w="11420"/>
          </w:cols>
          <w:pgMar w:left="240" w:top="931" w:right="239" w:bottom="1440" w:gutter="0" w:footer="0" w:header="0"/>
        </w:sectPr>
      </w:pPr>
    </w:p>
    <w:bookmarkStart w:id="4" w:name="page5"/>
    <w:bookmarkEnd w:id="4"/>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80" w:type="dxa"/>
            <w:vAlign w:val="bottom"/>
          </w:tcPr>
          <w:p>
            <w:pPr>
              <w:spacing w:after="0"/>
              <w:rPr>
                <w:sz w:val="17"/>
                <w:szCs w:val="17"/>
                <w:color w:val="auto"/>
              </w:rPr>
            </w:pPr>
          </w:p>
        </w:tc>
        <w:tc>
          <w:tcPr>
            <w:tcW w:w="156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tcPr>
          <w:p>
            <w:pPr>
              <w:jc w:val="right"/>
              <w:ind w:right="83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2"/>
        </w:trPr>
        <w:tc>
          <w:tcPr>
            <w:tcW w:w="68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2013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 2012</w:t>
            </w:r>
          </w:p>
        </w:tc>
        <w:tc>
          <w:tcPr>
            <w:tcW w:w="0" w:type="dxa"/>
            <w:vAlign w:val="bottom"/>
          </w:tcPr>
          <w:p>
            <w:pPr>
              <w:spacing w:after="0"/>
              <w:rPr>
                <w:sz w:val="1"/>
                <w:szCs w:val="1"/>
                <w:color w:val="auto"/>
              </w:rPr>
            </w:pPr>
          </w:p>
        </w:tc>
      </w:tr>
      <w:tr>
        <w:trPr>
          <w:trHeight w:val="33"/>
        </w:trPr>
        <w:tc>
          <w:tcPr>
            <w:tcW w:w="6880" w:type="dxa"/>
            <w:vAlign w:val="bottom"/>
            <w:vMerge w:val="restart"/>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vMerge w:val="continue"/>
          </w:tcPr>
          <w:p>
            <w:pPr>
              <w:spacing w:after="0"/>
              <w:rPr>
                <w:sz w:val="20"/>
                <w:szCs w:val="20"/>
                <w:color w:val="auto"/>
              </w:rPr>
            </w:pPr>
          </w:p>
        </w:tc>
        <w:tc>
          <w:tcPr>
            <w:tcW w:w="1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32,386</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55,509</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$55 and $60, respectively</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12,304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10,873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58,399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79,287</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1,708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Borders>
              <w:bottom w:val="single" w:sz="8" w:color="auto"/>
            </w:tcBorders>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79,388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91,939</w:t>
            </w:r>
          </w:p>
        </w:tc>
        <w:tc>
          <w:tcPr>
            <w:tcW w:w="0" w:type="dxa"/>
            <w:vAlign w:val="bottom"/>
          </w:tcPr>
          <w:p>
            <w:pPr>
              <w:spacing w:after="0"/>
              <w:rPr>
                <w:sz w:val="1"/>
                <w:szCs w:val="1"/>
                <w:color w:val="auto"/>
              </w:rPr>
            </w:pPr>
          </w:p>
        </w:tc>
      </w:tr>
      <w:tr>
        <w:trPr>
          <w:trHeight w:val="20"/>
        </w:trPr>
        <w:tc>
          <w:tcPr>
            <w:tcW w:w="688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8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560" w:type="dxa"/>
            <w:vAlign w:val="bottom"/>
          </w:tcPr>
          <w:p>
            <w:pPr>
              <w:spacing w:after="0"/>
              <w:rPr>
                <w:sz w:val="23"/>
                <w:szCs w:val="23"/>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14,782</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22,820</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11,733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25,271</w:t>
            </w:r>
          </w:p>
        </w:tc>
        <w:tc>
          <w:tcPr>
            <w:tcW w:w="0" w:type="dxa"/>
            <w:vAlign w:val="bottom"/>
          </w:tcPr>
          <w:p>
            <w:pPr>
              <w:spacing w:after="0"/>
              <w:rPr>
                <w:sz w:val="1"/>
                <w:szCs w:val="1"/>
                <w:color w:val="auto"/>
              </w:rPr>
            </w:pPr>
          </w:p>
        </w:tc>
      </w:tr>
      <w:tr>
        <w:trPr>
          <w:trHeight w:val="27"/>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68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par value $0.001, 50,000,000 shares authorized, 9,080,060 and 9,163,462</w:t>
            </w: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5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39,729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40,430</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6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28,004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26,229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56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67,655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66,668</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560" w:type="dxa"/>
            <w:vAlign w:val="bottom"/>
            <w:tcBorders>
              <w:bottom w:val="single" w:sz="8" w:color="auto"/>
            </w:tcBorders>
          </w:tcPr>
          <w:p>
            <w:pPr>
              <w:jc w:val="right"/>
              <w:ind w:right="13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79,388</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91,939</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60" w:top="927" w:right="239" w:bottom="1440" w:gutter="0" w:footer="0" w:header="0"/>
        </w:sectPr>
      </w:pPr>
    </w:p>
    <w:bookmarkStart w:id="5" w:name="page6"/>
    <w:bookmarkEnd w:id="5"/>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(Dollars in thousands, except per share value)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5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Quarter ended June 30,</w:t>
            </w:r>
          </w:p>
        </w:tc>
        <w:tc>
          <w:tcPr>
            <w:tcW w:w="300" w:type="dxa"/>
            <w:vAlign w:val="bottom"/>
          </w:tcPr>
          <w:p>
            <w:pPr>
              <w:spacing w:after="0"/>
              <w:rPr>
                <w:sz w:val="18"/>
                <w:szCs w:val="18"/>
                <w:color w:val="auto"/>
              </w:rPr>
            </w:pPr>
          </w:p>
        </w:tc>
        <w:tc>
          <w:tcPr>
            <w:tcW w:w="250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6 Months ended June 30,</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5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11,703</w:t>
            </w:r>
          </w:p>
        </w:tc>
        <w:tc>
          <w:tcPr>
            <w:tcW w:w="12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11,655</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22,996</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21,809</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8,608</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13,201</w:t>
            </w: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4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4,388</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4,037</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litigation, net</w:t>
            </w:r>
          </w:p>
        </w:tc>
        <w:tc>
          <w:tcPr>
            <w:tcW w:w="320" w:type="dxa"/>
            <w:vAlign w:val="bottom"/>
          </w:tcPr>
          <w:p>
            <w:pPr>
              <w:spacing w:after="0"/>
              <w:rPr>
                <w:sz w:val="23"/>
                <w:szCs w:val="23"/>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11,299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11,266</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gridSpan w:val="2"/>
            <w:vMerge w:val="continue"/>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1,045</w:t>
            </w:r>
          </w:p>
        </w:tc>
        <w:tc>
          <w:tcPr>
            <w:tcW w:w="12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650</w:t>
            </w:r>
          </w:p>
        </w:tc>
        <w:tc>
          <w:tcPr>
            <w:tcW w:w="12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1,775</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1,128</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3"/>
                <w:szCs w:val="23"/>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3"/>
                <w:szCs w:val="23"/>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56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9,093,461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9,107,420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9,122,996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9,102,786</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9,459,495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9,226,426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9,499,452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9,224,727</w:t>
            </w:r>
          </w:p>
        </w:tc>
        <w:tc>
          <w:tcPr>
            <w:tcW w:w="0" w:type="dxa"/>
            <w:vAlign w:val="bottom"/>
          </w:tcPr>
          <w:p>
            <w:pPr>
              <w:spacing w:after="0"/>
              <w:rPr>
                <w:sz w:val="1"/>
                <w:szCs w:val="1"/>
                <w:color w:val="auto"/>
              </w:rPr>
            </w:pPr>
          </w:p>
        </w:tc>
      </w:tr>
      <w:tr>
        <w:trPr>
          <w:trHeight w:val="567"/>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available for sale securities, net of tax</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gridSpan w:val="2"/>
            <w:vMerge w:val="continue"/>
          </w:tcPr>
          <w:p>
            <w:pPr>
              <w:spacing w:after="0"/>
              <w:rPr>
                <w:sz w:val="21"/>
                <w:szCs w:val="21"/>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958</w:t>
            </w:r>
          </w:p>
        </w:tc>
        <w:tc>
          <w:tcPr>
            <w:tcW w:w="120" w:type="dxa"/>
            <w:vAlign w:val="bottom"/>
          </w:tcPr>
          <w:p>
            <w:pPr>
              <w:spacing w:after="0"/>
              <w:rPr>
                <w:sz w:val="21"/>
                <w:szCs w:val="21"/>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650</w:t>
            </w:r>
          </w:p>
        </w:tc>
        <w:tc>
          <w:tcPr>
            <w:tcW w:w="120" w:type="dxa"/>
            <w:vAlign w:val="bottom"/>
          </w:tcPr>
          <w:p>
            <w:pPr>
              <w:spacing w:after="0"/>
              <w:rPr>
                <w:sz w:val="21"/>
                <w:szCs w:val="21"/>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1,688</w:t>
            </w:r>
          </w:p>
        </w:tc>
        <w:tc>
          <w:tcPr>
            <w:tcW w:w="100" w:type="dxa"/>
            <w:vAlign w:val="bottom"/>
          </w:tcPr>
          <w:p>
            <w:pPr>
              <w:spacing w:after="0"/>
              <w:rPr>
                <w:sz w:val="21"/>
                <w:szCs w:val="21"/>
                <w:color w:val="auto"/>
              </w:rPr>
            </w:pPr>
          </w:p>
        </w:tc>
        <w:tc>
          <w:tcPr>
            <w:tcW w:w="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1,128</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60" w:top="927"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TO NON-GAAP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value)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Quarter ended June 30, 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Quarter ended June 30, 2012</w:t>
            </w: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24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11,655</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7,093</w:t>
            </w:r>
          </w:p>
        </w:tc>
        <w:tc>
          <w:tcPr>
            <w:tcW w:w="0" w:type="dxa"/>
            <w:vAlign w:val="bottom"/>
          </w:tcPr>
          <w:p>
            <w:pPr>
              <w:spacing w:after="0"/>
              <w:rPr>
                <w:sz w:val="1"/>
                <w:szCs w:val="1"/>
                <w:color w:val="auto"/>
              </w:rPr>
            </w:pPr>
          </w:p>
        </w:tc>
      </w:tr>
      <w:tr>
        <w:trPr>
          <w:trHeight w:val="27"/>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9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2,237</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1,172</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litigation</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5,428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1,045</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195</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1,240</w:t>
            </w:r>
          </w:p>
        </w:tc>
        <w:tc>
          <w:tcPr>
            <w:tcW w:w="10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650</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235</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885</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56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2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9,093,461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9,093,461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9,107,420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9,107,420</w:t>
            </w: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2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9,459,495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9,459,495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9,226,426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9,226,426</w:t>
            </w:r>
          </w:p>
        </w:tc>
        <w:tc>
          <w:tcPr>
            <w:tcW w:w="0" w:type="dxa"/>
            <w:vAlign w:val="bottom"/>
          </w:tcPr>
          <w:p>
            <w:pPr>
              <w:spacing w:after="0"/>
              <w:rPr>
                <w:sz w:val="1"/>
                <w:szCs w:val="1"/>
                <w:color w:val="auto"/>
              </w:rPr>
            </w:pPr>
          </w:p>
        </w:tc>
      </w:tr>
      <w:tr>
        <w:trPr>
          <w:trHeight w:val="8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adjustments consist of the following:</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expenses for litigation relating to</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of former officers, intellectual</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claims and our claim for damages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adjustments before taxes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affected by the above adjustments</w:t>
            </w: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adjustments</w:t>
            </w: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195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235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927" w:right="35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RECONCILIATION OF GAAP TO NON-GAAP NET INCOME</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value)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7"/>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6 months ended June 30, 2013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6 months ended June 30, 2012</w:t>
            </w:r>
          </w:p>
        </w:tc>
        <w:tc>
          <w:tcPr>
            <w:tcW w:w="0" w:type="dxa"/>
            <w:vAlign w:val="bottom"/>
          </w:tcPr>
          <w:p>
            <w:pPr>
              <w:spacing w:after="0"/>
              <w:rPr>
                <w:sz w:val="1"/>
                <w:szCs w:val="1"/>
                <w:color w:val="auto"/>
              </w:rPr>
            </w:pPr>
          </w:p>
        </w:tc>
      </w:tr>
      <w:tr>
        <w:trPr>
          <w:trHeight w:val="264"/>
        </w:trPr>
        <w:tc>
          <w:tcPr>
            <w:tcW w:w="3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GAAP</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GAAP</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24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22,996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22,996</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21,809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21,809</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8,607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13,202</w:t>
            </w:r>
          </w:p>
        </w:tc>
        <w:tc>
          <w:tcPr>
            <w:tcW w:w="0" w:type="dxa"/>
            <w:vAlign w:val="bottom"/>
          </w:tcPr>
          <w:p>
            <w:pPr>
              <w:spacing w:after="0"/>
              <w:rPr>
                <w:sz w:val="1"/>
                <w:szCs w:val="1"/>
                <w:color w:val="auto"/>
              </w:rPr>
            </w:pPr>
          </w:p>
        </w:tc>
      </w:tr>
      <w:tr>
        <w:trPr>
          <w:trHeight w:val="27"/>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9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4,020</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3,234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2,206</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litigation</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10,674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10,584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0"/>
                <w:szCs w:val="20"/>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2,629</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1,775</w:t>
            </w:r>
          </w:p>
        </w:tc>
        <w:tc>
          <w:tcPr>
            <w:tcW w:w="12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430</w:t>
            </w:r>
          </w:p>
        </w:tc>
        <w:tc>
          <w:tcPr>
            <w:tcW w:w="100" w:type="dxa"/>
            <w:vAlign w:val="bottom"/>
          </w:tcPr>
          <w:p>
            <w:pPr>
              <w:spacing w:after="0"/>
              <w:rPr>
                <w:sz w:val="21"/>
                <w:szCs w:val="21"/>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2,205</w:t>
            </w:r>
          </w:p>
        </w:tc>
        <w:tc>
          <w:tcPr>
            <w:tcW w:w="120" w:type="dxa"/>
            <w:vAlign w:val="bottom"/>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1,128</w:t>
            </w:r>
          </w:p>
        </w:tc>
        <w:tc>
          <w:tcPr>
            <w:tcW w:w="100" w:type="dxa"/>
            <w:vAlign w:val="bottom"/>
          </w:tcPr>
          <w:p>
            <w:pPr>
              <w:spacing w:after="0"/>
              <w:rPr>
                <w:sz w:val="21"/>
                <w:szCs w:val="21"/>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383</w:t>
            </w:r>
          </w:p>
        </w:tc>
        <w:tc>
          <w:tcPr>
            <w:tcW w:w="120" w:type="dxa"/>
            <w:vAlign w:val="bottom"/>
          </w:tcPr>
          <w:p>
            <w:pPr>
              <w:spacing w:after="0"/>
              <w:rPr>
                <w:sz w:val="21"/>
                <w:szCs w:val="21"/>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1,511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56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9,122,996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9,122,996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9,102,786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9,102,786</w:t>
            </w: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20" w:type="dxa"/>
            <w:vAlign w:val="bottom"/>
          </w:tcPr>
          <w:p>
            <w:pPr>
              <w:spacing w:after="0"/>
              <w:rPr>
                <w:sz w:val="23"/>
                <w:szCs w:val="23"/>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9,499,452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9,499,452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9,224,727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9,224,727</w:t>
            </w:r>
          </w:p>
        </w:tc>
        <w:tc>
          <w:tcPr>
            <w:tcW w:w="0" w:type="dxa"/>
            <w:vAlign w:val="bottom"/>
          </w:tcPr>
          <w:p>
            <w:pPr>
              <w:spacing w:after="0"/>
              <w:rPr>
                <w:sz w:val="1"/>
                <w:szCs w:val="1"/>
                <w:color w:val="auto"/>
              </w:rPr>
            </w:pPr>
          </w:p>
        </w:tc>
      </w:tr>
      <w:tr>
        <w:trPr>
          <w:trHeight w:val="82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adjustments consist of the following:</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expenses for litigation relating to</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indemnification of former officers, intellectual</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claims and our claim for damages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litigation, net of legal expenses and</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bonus to key litigation participants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of adjustments before taxes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affected by the above adjustments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adjustments</w:t>
            </w: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60" w:top="927" w:right="299" w:bottom="1440" w:gutter="0" w:footer="0" w:header="0"/>
        </w:sectPr>
      </w:pPr>
    </w:p>
    <w:bookmarkStart w:id="8" w:name="page9"/>
    <w:bookmarkEnd w:id="8"/>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RECONCILIATION OF GAAP TO NON-GAAP ADJUSTED EBITDA</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value)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Quarter ended June 30,</w:t>
            </w:r>
          </w:p>
        </w:tc>
        <w:tc>
          <w:tcPr>
            <w:tcW w:w="280" w:type="dxa"/>
            <w:vAlign w:val="bottom"/>
          </w:tcPr>
          <w:p>
            <w:pPr>
              <w:spacing w:after="0"/>
              <w:rPr>
                <w:sz w:val="18"/>
                <w:szCs w:val="18"/>
                <w:color w:val="auto"/>
              </w:rPr>
            </w:pPr>
          </w:p>
        </w:tc>
        <w:tc>
          <w:tcPr>
            <w:tcW w:w="2320" w:type="dxa"/>
            <w:vAlign w:val="bottom"/>
            <w:gridSpan w:val="4"/>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6 Months ended June 30,</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0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2012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30"/>
        </w:trPr>
        <w:tc>
          <w:tcPr>
            <w:tcW w:w="1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Adjustments:</w:t>
            </w:r>
          </w:p>
        </w:tc>
        <w:tc>
          <w:tcPr>
            <w:tcW w:w="4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litigation, net of legal expenses and special bonus to officers</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5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expenses for litigation relating to indemnification of former officers,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 claims and our claim for damages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7"/>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80" w:type="dxa"/>
            <w:vAlign w:val="bottom"/>
            <w:gridSpan w:val="2"/>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2,038</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3,611</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3,052</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28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9,093,461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9,107,420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9,122,996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9,102,786</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9,459,495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9,226,426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9,499,452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9,224,727</w:t>
            </w:r>
          </w:p>
        </w:tc>
        <w:tc>
          <w:tcPr>
            <w:tcW w:w="0" w:type="dxa"/>
            <w:vAlign w:val="bottom"/>
          </w:tcPr>
          <w:p>
            <w:pPr>
              <w:spacing w:after="0"/>
              <w:rPr>
                <w:sz w:val="1"/>
                <w:szCs w:val="1"/>
                <w:color w:val="auto"/>
              </w:rPr>
            </w:pPr>
          </w:p>
        </w:tc>
      </w:tr>
      <w:tr>
        <w:trPr>
          <w:trHeight w:val="56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Adjusted EBITDA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7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Adjusted EBITDA per common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00"/>
      </w:cols>
      <w:pgMar w:left="36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2019-12-06T03:25:44Z</dcterms:created>
  <dcterms:modified xsi:type="dcterms:W3CDTF">2019-12-06T03:25:44Z</dcterms:modified>
</cp:coreProperties>
</file>