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23, 2014</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ind w:left="1680"/>
              <w:spacing w:after="0"/>
              <w:rPr>
                <w:sz w:val="20"/>
                <w:szCs w:val="20"/>
                <w:color w:val="auto"/>
              </w:rPr>
            </w:pPr>
            <w:r>
              <w:rPr>
                <w:rFonts w:ascii="Arial" w:cs="Arial" w:eastAsia="Arial" w:hAnsi="Arial"/>
                <w:sz w:val="18"/>
                <w:szCs w:val="18"/>
                <w:b w:val="1"/>
                <w:bCs w:val="1"/>
                <w:color w:val="auto"/>
              </w:rPr>
              <w:t>Utah</w:t>
            </w:r>
          </w:p>
        </w:tc>
        <w:tc>
          <w:tcPr>
            <w:tcW w:w="3920" w:type="dxa"/>
            <w:vAlign w:val="bottom"/>
          </w:tcPr>
          <w:p>
            <w:pPr>
              <w:jc w:val="right"/>
              <w:ind w:right="1470"/>
              <w:spacing w:after="0"/>
              <w:rPr>
                <w:sz w:val="20"/>
                <w:szCs w:val="20"/>
                <w:color w:val="auto"/>
              </w:rPr>
            </w:pPr>
            <w:r>
              <w:rPr>
                <w:rFonts w:ascii="Arial" w:cs="Arial" w:eastAsia="Arial" w:hAnsi="Arial"/>
                <w:sz w:val="18"/>
                <w:szCs w:val="18"/>
                <w:b w:val="1"/>
                <w:bCs w:val="1"/>
                <w:color w:val="auto"/>
              </w:rPr>
              <w:t>001-33660</w:t>
            </w:r>
          </w:p>
        </w:tc>
        <w:tc>
          <w:tcPr>
            <w:tcW w:w="180" w:type="dxa"/>
            <w:vAlign w:val="bottom"/>
          </w:tcPr>
          <w:p>
            <w:pPr>
              <w:spacing w:after="0"/>
              <w:rPr>
                <w:sz w:val="20"/>
                <w:szCs w:val="20"/>
                <w:color w:val="auto"/>
              </w:rPr>
            </w:pPr>
          </w:p>
        </w:tc>
        <w:tc>
          <w:tcPr>
            <w:tcW w:w="3380" w:type="dxa"/>
            <w:vAlign w:val="bottom"/>
          </w:tcPr>
          <w:p>
            <w:pPr>
              <w:jc w:val="right"/>
              <w:ind w:right="117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2"/>
        </w:trPr>
        <w:tc>
          <w:tcPr>
            <w:tcW w:w="39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(State or other jurisdiction</w:t>
            </w: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33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5225 Wiley Post Way, Suite 500</w:t>
            </w:r>
          </w:p>
        </w:tc>
        <w:tc>
          <w:tcPr>
            <w:tcW w:w="2380" w:type="dxa"/>
            <w:vAlign w:val="bottom"/>
          </w:tcPr>
          <w:p>
            <w:pPr>
              <w:spacing w:after="0"/>
              <w:rPr>
                <w:sz w:val="18"/>
                <w:szCs w:val="18"/>
                <w:color w:val="auto"/>
              </w:rPr>
            </w:pPr>
          </w:p>
        </w:tc>
      </w:tr>
      <w:tr>
        <w:trPr>
          <w:trHeight w:val="234"/>
        </w:trPr>
        <w:tc>
          <w:tcPr>
            <w:tcW w:w="9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Salt Lake City, Utah</w:t>
            </w:r>
          </w:p>
        </w:tc>
        <w:tc>
          <w:tcPr>
            <w:tcW w:w="238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9040" w:type="dxa"/>
            <w:vAlign w:val="bottom"/>
            <w:gridSpan w:val="4"/>
          </w:tcPr>
          <w:p>
            <w:pPr>
              <w:ind w:left="3000"/>
              <w:spacing w:after="0"/>
              <w:rPr>
                <w:sz w:val="20"/>
                <w:szCs w:val="20"/>
                <w:color w:val="auto"/>
              </w:rPr>
            </w:pPr>
            <w:r>
              <w:rPr>
                <w:rFonts w:ascii="Arial" w:cs="Arial" w:eastAsia="Arial" w:hAnsi="Arial"/>
                <w:sz w:val="18"/>
                <w:szCs w:val="18"/>
                <w:color w:val="auto"/>
              </w:rPr>
              <w:t>(Address of principal executive offices)</w:t>
            </w:r>
          </w:p>
        </w:tc>
        <w:tc>
          <w:tcPr>
            <w:tcW w:w="238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300" w:type="dxa"/>
            <w:vAlign w:val="bottom"/>
            <w:gridSpan w:val="2"/>
          </w:tcPr>
          <w:p>
            <w:pPr>
              <w:jc w:val="center"/>
              <w:ind w:left="5050"/>
              <w:spacing w:after="0"/>
              <w:rPr>
                <w:sz w:val="20"/>
                <w:szCs w:val="20"/>
                <w:color w:val="auto"/>
              </w:rPr>
            </w:pPr>
            <w:r>
              <w:rPr>
                <w:rFonts w:ascii="Arial" w:cs="Arial" w:eastAsia="Arial" w:hAnsi="Arial"/>
                <w:sz w:val="18"/>
                <w:szCs w:val="18"/>
                <w:b w:val="1"/>
                <w:bCs w:val="1"/>
                <w:color w:val="auto"/>
                <w:w w:val="90"/>
              </w:rPr>
              <w:t>(801) 975-7200</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7"/>
        </w:trPr>
        <w:tc>
          <w:tcPr>
            <w:tcW w:w="9040" w:type="dxa"/>
            <w:vAlign w:val="bottom"/>
            <w:gridSpan w:val="4"/>
          </w:tcPr>
          <w:p>
            <w:pPr>
              <w:jc w:val="center"/>
              <w:ind w:left="2290"/>
              <w:spacing w:after="0"/>
              <w:rPr>
                <w:sz w:val="20"/>
                <w:szCs w:val="20"/>
                <w:color w:val="auto"/>
              </w:rPr>
            </w:pPr>
            <w:r>
              <w:rPr>
                <w:rFonts w:ascii="Arial" w:cs="Arial" w:eastAsia="Arial" w:hAnsi="Arial"/>
                <w:sz w:val="18"/>
                <w:szCs w:val="18"/>
                <w:color w:val="auto"/>
                <w:w w:val="90"/>
              </w:rPr>
              <w:t>(Registrant's Telephone Number, Including Area Code)</w:t>
            </w:r>
          </w:p>
        </w:tc>
        <w:tc>
          <w:tcPr>
            <w:tcW w:w="2380" w:type="dxa"/>
            <w:vAlign w:val="bottom"/>
          </w:tcPr>
          <w:p>
            <w:pPr>
              <w:spacing w:after="0"/>
              <w:rPr>
                <w:sz w:val="20"/>
                <w:szCs w:val="20"/>
                <w:color w:val="auto"/>
              </w:rPr>
            </w:pPr>
          </w:p>
        </w:tc>
      </w:tr>
      <w:tr>
        <w:trPr>
          <w:trHeight w:val="392"/>
        </w:trPr>
        <w:tc>
          <w:tcPr>
            <w:tcW w:w="51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740" w:type="dxa"/>
            <w:vAlign w:val="bottom"/>
            <w:gridSpan w:val="2"/>
          </w:tcPr>
          <w:p>
            <w:pPr>
              <w:spacing w:after="0"/>
              <w:rPr>
                <w:sz w:val="24"/>
                <w:szCs w:val="24"/>
                <w:color w:val="auto"/>
              </w:rPr>
            </w:pPr>
          </w:p>
        </w:tc>
        <w:tc>
          <w:tcPr>
            <w:tcW w:w="2380" w:type="dxa"/>
            <w:vAlign w:val="bottom"/>
          </w:tcPr>
          <w:p>
            <w:pPr>
              <w:spacing w:after="0"/>
              <w:rPr>
                <w:sz w:val="24"/>
                <w:szCs w:val="24"/>
                <w:color w:val="auto"/>
              </w:rPr>
            </w:pPr>
          </w:p>
        </w:tc>
      </w:tr>
      <w:tr>
        <w:trPr>
          <w:trHeight w:val="237"/>
        </w:trPr>
        <w:tc>
          <w:tcPr>
            <w:tcW w:w="9040" w:type="dxa"/>
            <w:vAlign w:val="bottom"/>
            <w:gridSpan w:val="4"/>
          </w:tcPr>
          <w:p>
            <w:pPr>
              <w:jc w:val="center"/>
              <w:ind w:left="229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38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40" w:firstLine="4214"/>
        <w:spacing w:after="0" w:line="277" w:lineRule="auto"/>
        <w:rPr>
          <w:sz w:val="20"/>
          <w:szCs w:val="20"/>
          <w:color w:val="auto"/>
        </w:rPr>
      </w:pPr>
      <w:r>
        <w:rPr>
          <w:rFonts w:ascii="Arial" w:cs="Arial" w:eastAsia="Arial" w:hAnsi="Arial"/>
          <w:sz w:val="18"/>
          <w:szCs w:val="18"/>
          <w:color w:val="auto"/>
        </w:rPr>
        <w:t>On October 23, 2014, ClearOne, Inc. issued a press release announcing its financial results for the nine months ended September 30, 2014.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6"/>
                <w:szCs w:val="16"/>
                <w:color w:val="auto"/>
              </w:rPr>
            </w:pPr>
          </w:p>
        </w:tc>
        <w:tc>
          <w:tcPr>
            <w:tcW w:w="99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52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9900" w:type="dxa"/>
            <w:vAlign w:val="bottom"/>
          </w:tcPr>
          <w:p>
            <w:pPr>
              <w:ind w:left="20"/>
              <w:spacing w:after="0"/>
              <w:rPr>
                <w:sz w:val="20"/>
                <w:szCs w:val="20"/>
                <w:color w:val="auto"/>
              </w:rPr>
            </w:pPr>
            <w:r>
              <w:rPr>
                <w:rFonts w:ascii="Arial" w:cs="Arial" w:eastAsia="Arial" w:hAnsi="Arial"/>
                <w:sz w:val="16"/>
                <w:szCs w:val="16"/>
                <w:color w:val="auto"/>
              </w:rPr>
              <w:t>Press Release dated October 23, 2014 titled “ClearOne Reports Third Quarter Results”.</w:t>
            </w:r>
          </w:p>
        </w:tc>
      </w:tr>
      <w:tr>
        <w:trPr>
          <w:trHeight w:val="465"/>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00" w:type="dxa"/>
            <w:vAlign w:val="bottom"/>
          </w:tcPr>
          <w:p>
            <w:pPr>
              <w:ind w:left="362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460" w:val="left"/>
          <w:tab w:leader="none" w:pos="5980" w:val="left"/>
        </w:tabs>
        <w:rPr>
          <w:sz w:val="20"/>
          <w:szCs w:val="20"/>
          <w:color w:val="auto"/>
        </w:rPr>
      </w:pPr>
      <w:r>
        <w:rPr>
          <w:rFonts w:ascii="Arial" w:cs="Arial" w:eastAsia="Arial" w:hAnsi="Arial"/>
          <w:sz w:val="18"/>
          <w:szCs w:val="18"/>
          <w:color w:val="auto"/>
        </w:rPr>
        <w:t>October 23,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34645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801-303-3555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Third Quarter Results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ClearOne Reports Record 27% Revenue Growth</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October 23, 2014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2014 Highlights</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Achieved record third quarter revenue of $15.7 million, up 27% year over year</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Achieved 61% gross margin</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increased 50% year over year</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Adjusted EBITDA increased 44% year over year</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Achieved intellectual property milestone with filing of 100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patent application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9"/>
              </w:rPr>
              <w:t>Third Quarter</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Year to Date</w:t>
            </w:r>
          </w:p>
        </w:tc>
        <w:tc>
          <w:tcPr>
            <w:tcW w:w="900" w:type="dxa"/>
            <w:vAlign w:val="bottom"/>
            <w:tcBorders>
              <w:bottom w:val="single" w:sz="8" w:color="auto"/>
            </w:tcBorders>
          </w:tcPr>
          <w:p>
            <w:pPr>
              <w:spacing w:after="0"/>
              <w:rPr>
                <w:sz w:val="20"/>
                <w:szCs w:val="20"/>
                <w:color w:val="auto"/>
              </w:rPr>
            </w:pPr>
          </w:p>
        </w:tc>
      </w:tr>
      <w:tr>
        <w:trPr>
          <w:trHeight w:val="237"/>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Arial" w:cs="Arial" w:eastAsia="Arial" w:hAnsi="Arial"/>
                <w:sz w:val="16"/>
                <w:szCs w:val="16"/>
                <w:b w:val="1"/>
                <w:bCs w:val="1"/>
                <w:color w:val="auto"/>
              </w:rPr>
              <w:t>Change</w:t>
            </w:r>
          </w:p>
        </w:tc>
      </w:tr>
      <w:tr>
        <w:trPr>
          <w:trHeight w:val="3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15,739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12,366</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42,558</w:t>
            </w:r>
          </w:p>
        </w:tc>
        <w:tc>
          <w:tcPr>
            <w:tcW w:w="12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35,362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20%</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29%</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21,308</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19%</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17%</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Net Income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6,219</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17%</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Diluted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45" w:lineRule="exact"/>
        <w:rPr>
          <w:sz w:val="20"/>
          <w:szCs w:val="20"/>
          <w:color w:val="auto"/>
        </w:rPr>
      </w:pPr>
    </w:p>
    <w:p>
      <w:pPr>
        <w:ind w:right="140"/>
        <w:spacing w:after="0" w:line="387"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three and nine months ended September 30, 2014.</w:t>
      </w:r>
    </w:p>
    <w:p>
      <w:pPr>
        <w:spacing w:after="0" w:line="116" w:lineRule="exact"/>
        <w:rPr>
          <w:sz w:val="20"/>
          <w:szCs w:val="20"/>
          <w:color w:val="auto"/>
        </w:rPr>
      </w:pPr>
    </w:p>
    <w:p>
      <w:pPr>
        <w:ind w:right="100"/>
        <w:spacing w:after="0" w:line="392" w:lineRule="auto"/>
        <w:rPr>
          <w:sz w:val="20"/>
          <w:szCs w:val="20"/>
          <w:color w:val="auto"/>
        </w:rPr>
      </w:pPr>
      <w:r>
        <w:rPr>
          <w:rFonts w:ascii="Arial" w:cs="Arial" w:eastAsia="Arial" w:hAnsi="Arial"/>
          <w:sz w:val="17"/>
          <w:szCs w:val="17"/>
          <w:color w:val="auto"/>
        </w:rPr>
        <w:t>For the 2014 third quarter, revenue increased by 27% to $15.7 million, compared with $12.4 million for the third quarter of 2013. Gross profit for the third quarter was $9.6 million, or 61% of revenue, compared with $7.4 million, or 60% of revenue, for the third quarter of 2013. Non-GAAP operating income for the third quarter increased by 50% to $3.5 million from $2.3 million for the third quarter of 2013. Non-GAAP net income increased 6% to $1.8 million, or $0.19 per diluted share, from $1.7 million, or $0.18 per diluted share, for the third quarter of 2013. Non-GAAP Adjusted EBITDA for the 2014 third quarter increased 44% to $3.8 million, or $0.39 per diluted share, from $2.6 million, or $0.28 per diluted share, for the third quarter of 2013.</w:t>
      </w:r>
    </w:p>
    <w:p>
      <w:pPr>
        <w:sectPr>
          <w:pgSz w:w="11900" w:h="16838" w:orient="portrait"/>
          <w:cols w:equalWidth="0" w:num="1">
            <w:col w:w="11420"/>
          </w:cols>
          <w:pgMar w:left="240" w:top="580" w:right="239" w:bottom="1440" w:gutter="0" w:footer="0" w:header="0"/>
        </w:sectPr>
      </w:pPr>
    </w:p>
    <w:bookmarkStart w:id="3" w:name="page4"/>
    <w:bookmarkEnd w:id="3"/>
    <w:p>
      <w:pPr>
        <w:spacing w:after="0" w:line="417" w:lineRule="auto"/>
        <w:rPr>
          <w:sz w:val="20"/>
          <w:szCs w:val="20"/>
          <w:color w:val="auto"/>
        </w:rPr>
      </w:pPr>
      <w:r>
        <w:rPr>
          <w:rFonts w:ascii="Arial" w:cs="Arial" w:eastAsia="Arial" w:hAnsi="Arial"/>
          <w:sz w:val="16"/>
          <w:szCs w:val="16"/>
          <w:color w:val="auto"/>
        </w:rPr>
        <w:t>For the nine months ended September 30, 2014, revenue increased 20% to $42.6 million from $35.4 million for the nine months ended September 30, 2013. Gross profit increased by 19% to $25.4 million, or 60% of revenue, compared with $21.3 million, or 60% of revenue, for the nine months ended September 30, 2013. Non-GAAP operating income for the nine months ended September 30, 2014 increased by 17% to $6.5 million from $5.5 million for the nine months ended September 30, 2013. Non-GAAP net income for the nine months ended September 30, 2014 remained relatively flat at $4.0 million, or $0.41 per diluted share, from $3.9 million, or $0.41 per diluted share, for the nine months ended September 30, 2013. Non-GAAP Adjusted EBITDA increased 17% to $7.2 million, or $0.75 per diluted share, from $6.2 million, or $0.66 per diluted share, for the nine months ended September 30, 2013.</w:t>
      </w:r>
    </w:p>
    <w:p>
      <w:pPr>
        <w:spacing w:after="0" w:line="162" w:lineRule="exact"/>
        <w:rPr>
          <w:sz w:val="20"/>
          <w:szCs w:val="20"/>
          <w:color w:val="auto"/>
        </w:rPr>
      </w:pPr>
    </w:p>
    <w:p>
      <w:pPr>
        <w:ind w:right="200"/>
        <w:spacing w:after="0" w:line="373" w:lineRule="auto"/>
        <w:rPr>
          <w:sz w:val="20"/>
          <w:szCs w:val="20"/>
          <w:color w:val="auto"/>
        </w:rPr>
      </w:pPr>
      <w:r>
        <w:rPr>
          <w:rFonts w:ascii="Arial" w:cs="Arial" w:eastAsia="Arial" w:hAnsi="Arial"/>
          <w:sz w:val="18"/>
          <w:szCs w:val="18"/>
          <w:color w:val="auto"/>
        </w:rPr>
        <w:t>Revenue growth includes contributions from our recent acquisitions with Sabine contributing $1.3 million in revenue and Spontania contributing $180 thousand in revenue. Spontania added $301 thousand in new bookings. Increase in taxes due to changes in forecasts of our profitability mix across different tax jurisdictions around the world impacted net income for the third quarter of 2014.</w:t>
      </w:r>
    </w:p>
    <w:p>
      <w:pPr>
        <w:spacing w:after="0" w:line="183" w:lineRule="exact"/>
        <w:rPr>
          <w:sz w:val="20"/>
          <w:szCs w:val="20"/>
          <w:color w:val="auto"/>
        </w:rPr>
      </w:pPr>
    </w:p>
    <w:p>
      <w:pPr>
        <w:ind w:right="120"/>
        <w:spacing w:after="0" w:line="387" w:lineRule="auto"/>
        <w:rPr>
          <w:sz w:val="20"/>
          <w:szCs w:val="20"/>
          <w:color w:val="auto"/>
        </w:rPr>
      </w:pPr>
      <w:r>
        <w:rPr>
          <w:rFonts w:ascii="Arial" w:cs="Arial" w:eastAsia="Arial" w:hAnsi="Arial"/>
          <w:sz w:val="18"/>
          <w:szCs w:val="18"/>
          <w:color w:val="auto"/>
        </w:rPr>
        <w:t>ClearOne continued its stock repurchase plan in the third quarter, bringing the total repurchase amount to approximately $4.7 million against an allocation of $10 million.</w:t>
      </w:r>
    </w:p>
    <w:p>
      <w:pPr>
        <w:spacing w:after="0" w:line="264" w:lineRule="exact"/>
        <w:rPr>
          <w:sz w:val="20"/>
          <w:szCs w:val="20"/>
          <w:color w:val="auto"/>
        </w:rPr>
      </w:pPr>
    </w:p>
    <w:p>
      <w:pPr>
        <w:ind w:right="620"/>
        <w:spacing w:after="0" w:line="387" w:lineRule="auto"/>
        <w:rPr>
          <w:sz w:val="20"/>
          <w:szCs w:val="20"/>
          <w:color w:val="auto"/>
        </w:rPr>
      </w:pPr>
      <w:r>
        <w:rPr>
          <w:rFonts w:ascii="Arial" w:cs="Arial" w:eastAsia="Arial" w:hAnsi="Arial"/>
          <w:sz w:val="18"/>
          <w:szCs w:val="18"/>
          <w:color w:val="auto"/>
        </w:rPr>
        <w:t>Cash, cash equivalents and investments totaled $34.3 million at September 30, 2014, down from $42.7 million at December 31, 2013. The decrease is primarily due to the acquisitions of Sabine and Spontania, which closed in March and April of 2014, respectively.</w:t>
      </w:r>
    </w:p>
    <w:p>
      <w:pPr>
        <w:spacing w:after="0" w:line="170" w:lineRule="exact"/>
        <w:rPr>
          <w:sz w:val="20"/>
          <w:szCs w:val="20"/>
          <w:color w:val="auto"/>
        </w:rPr>
      </w:pPr>
    </w:p>
    <w:p>
      <w:pPr>
        <w:spacing w:after="0" w:line="366" w:lineRule="auto"/>
        <w:rPr>
          <w:sz w:val="20"/>
          <w:szCs w:val="20"/>
          <w:color w:val="auto"/>
        </w:rPr>
      </w:pPr>
      <w:r>
        <w:rPr>
          <w:rFonts w:ascii="Arial" w:cs="Arial" w:eastAsia="Arial" w:hAnsi="Arial"/>
          <w:sz w:val="18"/>
          <w:szCs w:val="18"/>
          <w:color w:val="auto"/>
        </w:rPr>
        <w:t>“We continue to enjoy record revenue growth with solid profitability fueled by our strongest lineup of audio and visual solutions to date,” said Zee Hakimoglu, President and Chief Executive Officer. “Strong demand for our professional audio products, including our innovative microphones, contributed to this impressive revenue growth. Our VIEW® Pro enterprise streaming system, which we started shipping last quarter exhibited positive momentum and our Spontania cloud-based media collaboration service continues to make encouraging inroads into the North American market. We believe this augurs well for our future revenue growth.”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Industry-Leading Innovation</w:t>
      </w:r>
    </w:p>
    <w:p>
      <w:pPr>
        <w:spacing w:after="0" w:line="270" w:lineRule="exact"/>
        <w:rPr>
          <w:sz w:val="20"/>
          <w:szCs w:val="20"/>
          <w:color w:val="auto"/>
        </w:rPr>
      </w:pPr>
    </w:p>
    <w:p>
      <w:pPr>
        <w:ind w:right="300"/>
        <w:spacing w:after="0" w:line="367" w:lineRule="auto"/>
        <w:rPr>
          <w:sz w:val="20"/>
          <w:szCs w:val="20"/>
          <w:color w:val="auto"/>
        </w:rPr>
      </w:pPr>
      <w:r>
        <w:rPr>
          <w:rFonts w:ascii="Arial" w:cs="Arial" w:eastAsia="Arial" w:hAnsi="Arial"/>
          <w:sz w:val="17"/>
          <w:szCs w:val="17"/>
          <w:color w:val="auto"/>
        </w:rPr>
        <w:t>During the quarter, ClearOne achieved an important intellectual property milestone when the company filed its 100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patent application in August. The company's portfolio comprises present and future patent protection in five strategic categories: Audio Signal Processing, Video Conferencing, Multimedia Network Streaming, Wireless, and Industrial Design. These patents were filed with the United States Patent and Trademark Office, and with international patent agencies in Europe and the Asia-Pacific region. To date, 61 of these patents have been granted with 39 more in process.</w:t>
      </w:r>
    </w:p>
    <w:p>
      <w:pPr>
        <w:spacing w:after="0" w:line="194" w:lineRule="exact"/>
        <w:rPr>
          <w:sz w:val="20"/>
          <w:szCs w:val="20"/>
          <w:color w:val="auto"/>
        </w:rPr>
      </w:pPr>
    </w:p>
    <w:p>
      <w:pPr>
        <w:ind w:right="20"/>
        <w:spacing w:after="0" w:line="369" w:lineRule="auto"/>
        <w:rPr>
          <w:sz w:val="20"/>
          <w:szCs w:val="20"/>
          <w:color w:val="auto"/>
        </w:rPr>
      </w:pPr>
      <w:r>
        <w:rPr>
          <w:rFonts w:ascii="Arial" w:cs="Arial" w:eastAsia="Arial" w:hAnsi="Arial"/>
          <w:sz w:val="18"/>
          <w:szCs w:val="18"/>
          <w:color w:val="auto"/>
        </w:rPr>
        <w:t>At the end of the third quarter, the company released five new models of digital wireless microphones for the European Union, which are expected to increase the footprint of its wireless microphones in Europe significantly. This new series of digital wireless microphones from ClearOne has been redesigned with a unique method for data compression that reduces the occupied bandwidth from 500 kHz to 200 kHz per channel to comply with European standards, without compromising the quality and fidelity of the reproduced audio signal.</w:t>
      </w:r>
    </w:p>
    <w:p>
      <w:pPr>
        <w:spacing w:after="0" w:line="186" w:lineRule="exact"/>
        <w:rPr>
          <w:sz w:val="20"/>
          <w:szCs w:val="20"/>
          <w:color w:val="auto"/>
        </w:rPr>
      </w:pPr>
    </w:p>
    <w:p>
      <w:pPr>
        <w:ind w:right="200"/>
        <w:spacing w:after="0" w:line="435" w:lineRule="auto"/>
        <w:rPr>
          <w:sz w:val="20"/>
          <w:szCs w:val="20"/>
          <w:color w:val="auto"/>
        </w:rPr>
      </w:pPr>
      <w:r>
        <w:rPr>
          <w:rFonts w:ascii="Arial" w:cs="Arial" w:eastAsia="Arial" w:hAnsi="Arial"/>
          <w:sz w:val="16"/>
          <w:szCs w:val="16"/>
          <w:color w:val="auto"/>
        </w:rPr>
        <w:t>During the quarter ClearOne also struck two separate partnerships with service providers to incorporate the Spontania cloud-based media collaboration platform into their workflow applications - one related to healthcare and the other to education. Industries such as healthcare, education, enterprise, finance, public sector, and others can take advantage of Spontania by integrating voice, video and web collaboration into their new or existing workflow processes.</w:t>
      </w:r>
    </w:p>
    <w:p>
      <w:pPr>
        <w:sectPr>
          <w:pgSz w:w="11900" w:h="16838" w:orient="portrait"/>
          <w:cols w:equalWidth="0" w:num="1">
            <w:col w:w="11420"/>
          </w:cols>
          <w:pgMar w:left="240" w:top="638" w:right="239" w:bottom="1440" w:gutter="0" w:footer="0" w:header="0"/>
        </w:sectPr>
      </w:pPr>
    </w:p>
    <w:bookmarkStart w:id="4" w:name="page5"/>
    <w:bookmarkEnd w:id="4"/>
    <w:p>
      <w:pPr>
        <w:spacing w:after="0" w:line="425" w:lineRule="auto"/>
        <w:rPr>
          <w:sz w:val="20"/>
          <w:szCs w:val="20"/>
          <w:color w:val="auto"/>
        </w:rPr>
      </w:pPr>
      <w:r>
        <w:rPr>
          <w:rFonts w:ascii="Arial" w:cs="Arial" w:eastAsia="Arial" w:hAnsi="Arial"/>
          <w:sz w:val="16"/>
          <w:szCs w:val="16"/>
          <w:color w:val="auto"/>
        </w:rPr>
        <w:t>In July, ClearOne was named by TMCnet™ as a recipient of the 2014 Communications Solutions Product of the Year Award for its revolutionary Beamforming Microphone Array. One of TMC's most coveted awards, the Communications Solutions Product of the Year Award honors exceptional products and services that facilitate voice, data, and video communications that were recently brought to market. Technology Marketing Corporation (TMC) is the world's leading business to business and integrated marketing media company, servicing niche markets within the communications and technology industries.</w:t>
      </w:r>
    </w:p>
    <w:p>
      <w:pPr>
        <w:spacing w:after="0" w:line="250" w:lineRule="exact"/>
        <w:rPr>
          <w:sz w:val="20"/>
          <w:szCs w:val="20"/>
          <w:color w:val="auto"/>
        </w:rPr>
      </w:pPr>
    </w:p>
    <w:p>
      <w:pPr>
        <w:ind w:right="100"/>
        <w:spacing w:after="0" w:line="373" w:lineRule="auto"/>
        <w:rPr>
          <w:sz w:val="20"/>
          <w:szCs w:val="20"/>
          <w:color w:val="auto"/>
        </w:rPr>
      </w:pPr>
      <w:r>
        <w:rPr>
          <w:rFonts w:ascii="Arial" w:cs="Arial" w:eastAsia="Arial" w:hAnsi="Arial"/>
          <w:sz w:val="18"/>
          <w:szCs w:val="18"/>
          <w:color w:val="auto"/>
        </w:rPr>
        <w:t>ClearOne was also profiled in the prestigious CRN 2014 Network Connectivity Services Partner Program Guide (PPG) for the ClearOne Premier Partner Program. Each year, CRN highlights the industry leaders in the telecom, cloud, and connectivity industries. It also recognizes industry leaders ready, willing, and able to help partners understand and benefit from technology convergence.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ind w:right="40"/>
        <w:spacing w:after="0" w:line="410" w:lineRule="auto"/>
        <w:rPr>
          <w:sz w:val="20"/>
          <w:szCs w:val="20"/>
          <w:color w:val="auto"/>
        </w:rPr>
      </w:pPr>
      <w:r>
        <w:rPr>
          <w:rFonts w:ascii="Arial" w:cs="Arial" w:eastAsia="Arial" w:hAnsi="Arial"/>
          <w:sz w:val="16"/>
          <w:szCs w:val="16"/>
          <w:color w:val="auto"/>
        </w:rPr>
        <w:t>ClearOne provides non-GAAP financial information in the form of non-GAAP operating income, non-GAAP net income, Adjusted Earnings Before Interest, Taxes, Depreciation, and Amortization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operating income, non-GAAP net income, Adjusted EBITDA and corresponding earnings per share excludes certain costs and expenses, the details of which are provided below in the tables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83" w:lineRule="exact"/>
        <w:rPr>
          <w:sz w:val="20"/>
          <w:szCs w:val="20"/>
          <w:color w:val="auto"/>
        </w:rPr>
      </w:pPr>
    </w:p>
    <w:p>
      <w:pPr>
        <w:jc w:val="both"/>
        <w:ind w:right="52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3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ectPr>
          <w:pgSz w:w="11900" w:h="16838" w:orient="portrait"/>
          <w:cols w:equalWidth="0" w:num="1">
            <w:col w:w="11400"/>
          </w:cols>
          <w:pgMar w:left="240" w:top="638" w:right="259" w:bottom="1440" w:gutter="0" w:footer="0" w:header="0"/>
        </w:sectPr>
      </w:pPr>
    </w:p>
    <w:bookmarkStart w:id="5" w:name="page6"/>
    <w:bookmarkEnd w:id="5"/>
    <w:p>
      <w:pPr>
        <w:jc w:val="right"/>
        <w:ind w:right="431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0219"/>
          </w:cols>
          <w:pgMar w:left="240" w:top="1030" w:right="1440"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206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of September 30, 2014</w:t>
            </w:r>
          </w:p>
        </w:tc>
        <w:tc>
          <w:tcPr>
            <w:tcW w:w="120" w:type="dxa"/>
            <w:vAlign w:val="bottom"/>
          </w:tcPr>
          <w:p>
            <w:pPr>
              <w:spacing w:after="0"/>
              <w:rPr>
                <w:sz w:val="18"/>
                <w:szCs w:val="18"/>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As of December 31, 2013</w:t>
            </w:r>
          </w:p>
        </w:tc>
        <w:tc>
          <w:tcPr>
            <w:tcW w:w="0" w:type="dxa"/>
            <w:vAlign w:val="bottom"/>
          </w:tcPr>
          <w:p>
            <w:pPr>
              <w:spacing w:after="0"/>
              <w:rPr>
                <w:sz w:val="1"/>
                <w:szCs w:val="1"/>
                <w:color w:val="auto"/>
              </w:rPr>
            </w:pPr>
          </w:p>
        </w:tc>
      </w:tr>
      <w:tr>
        <w:trPr>
          <w:trHeight w:val="33"/>
        </w:trPr>
        <w:tc>
          <w:tcPr>
            <w:tcW w:w="7380" w:type="dxa"/>
            <w:vAlign w:val="bottom"/>
            <w:vMerge w:val="restart"/>
          </w:tcPr>
          <w:p>
            <w:pPr>
              <w:ind w:left="3340"/>
              <w:spacing w:after="0"/>
              <w:rPr>
                <w:sz w:val="20"/>
                <w:szCs w:val="20"/>
                <w:color w:val="auto"/>
              </w:rPr>
            </w:pPr>
            <w:r>
              <w:rPr>
                <w:rFonts w:ascii="Arial" w:cs="Arial" w:eastAsia="Arial" w:hAnsi="Arial"/>
                <w:sz w:val="18"/>
                <w:szCs w:val="18"/>
                <w:b w:val="1"/>
                <w:bCs w:val="1"/>
                <w:color w:val="auto"/>
              </w:rPr>
              <w:t>ASSETS</w:t>
            </w: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8,892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17,192</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Marketable securities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5,785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$71 and $129, respectively</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9,658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9,378</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Inventories, net</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11,673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Total current assets</w:t>
            </w: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8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44,263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48,066</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19,666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22,326</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Intangibles, net</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8,767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80" w:type="dxa"/>
            <w:vAlign w:val="bottom"/>
            <w:vMerge w:val="continue"/>
          </w:tcPr>
          <w:p>
            <w:pPr>
              <w:spacing w:after="0"/>
              <w:rPr>
                <w:sz w:val="21"/>
                <w:szCs w:val="21"/>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89,807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81,061</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1720"/>
              <w:spacing w:after="0"/>
              <w:rPr>
                <w:sz w:val="20"/>
                <w:szCs w:val="20"/>
                <w:color w:val="auto"/>
              </w:rPr>
            </w:pPr>
            <w:r>
              <w:rPr>
                <w:rFonts w:ascii="Arial" w:cs="Arial" w:eastAsia="Arial" w:hAnsi="Arial"/>
                <w:sz w:val="18"/>
                <w:szCs w:val="18"/>
                <w:b w:val="1"/>
                <w:bCs w:val="1"/>
                <w:color w:val="auto"/>
              </w:rPr>
              <w:t>LIABILITIES AND SHAREHOLDERS' EQUITY</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8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Accounts payable</w:t>
            </w:r>
          </w:p>
        </w:tc>
        <w:tc>
          <w:tcPr>
            <w:tcW w:w="74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2,852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Accrued liabilities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4,980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8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12,284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Deferred rent</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8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14,935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10,726</w:t>
            </w:r>
          </w:p>
        </w:tc>
        <w:tc>
          <w:tcPr>
            <w:tcW w:w="0" w:type="dxa"/>
            <w:vAlign w:val="bottom"/>
          </w:tcPr>
          <w:p>
            <w:pPr>
              <w:spacing w:after="0"/>
              <w:rPr>
                <w:sz w:val="1"/>
                <w:szCs w:val="1"/>
                <w:color w:val="auto"/>
              </w:rPr>
            </w:pPr>
          </w:p>
        </w:tc>
      </w:tr>
      <w:tr>
        <w:trPr>
          <w:trHeight w:val="27"/>
        </w:trPr>
        <w:tc>
          <w:tcPr>
            <w:tcW w:w="738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380" w:type="dxa"/>
            <w:vAlign w:val="bottom"/>
          </w:tcPr>
          <w:p>
            <w:pPr>
              <w:spacing w:after="0"/>
              <w:rPr>
                <w:sz w:val="20"/>
                <w:szCs w:val="20"/>
                <w:color w:val="auto"/>
              </w:rPr>
            </w:pPr>
            <w:r>
              <w:rPr>
                <w:rFonts w:ascii="Arial" w:cs="Arial" w:eastAsia="Arial" w:hAnsi="Arial"/>
                <w:sz w:val="18"/>
                <w:szCs w:val="18"/>
                <w:color w:val="auto"/>
                <w:w w:val="94"/>
              </w:rPr>
              <w:t>Common stock, par value $0.001, 50,000,000 shares authorized, 9,163,177 and 8,986,080 shares</w:t>
            </w:r>
          </w:p>
        </w:tc>
        <w:tc>
          <w:tcPr>
            <w:tcW w:w="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44,645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41,311</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Retained earnings</w:t>
            </w:r>
          </w:p>
        </w:tc>
        <w:tc>
          <w:tcPr>
            <w:tcW w:w="74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30,135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28,992</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Total shareholders' equity</w:t>
            </w: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8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74,872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70,335</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80" w:type="dxa"/>
            <w:vAlign w:val="bottom"/>
            <w:vMerge w:val="continue"/>
          </w:tcPr>
          <w:p>
            <w:pPr>
              <w:spacing w:after="0"/>
              <w:rPr>
                <w:sz w:val="21"/>
                <w:szCs w:val="21"/>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89,807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81,061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ended September 30,</w:t>
            </w:r>
          </w:p>
        </w:tc>
        <w:tc>
          <w:tcPr>
            <w:tcW w:w="280" w:type="dxa"/>
            <w:vAlign w:val="bottom"/>
          </w:tcPr>
          <w:p>
            <w:pPr>
              <w:spacing w:after="0"/>
              <w:rPr>
                <w:sz w:val="18"/>
                <w:szCs w:val="18"/>
                <w:color w:val="auto"/>
              </w:rPr>
            </w:pPr>
          </w:p>
        </w:tc>
        <w:tc>
          <w:tcPr>
            <w:tcW w:w="290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15,739</w:t>
            </w:r>
          </w:p>
        </w:tc>
        <w:tc>
          <w:tcPr>
            <w:tcW w:w="100" w:type="dxa"/>
            <w:vAlign w:val="bottom"/>
          </w:tcPr>
          <w:p>
            <w:pPr>
              <w:spacing w:after="0"/>
              <w:rPr>
                <w:sz w:val="20"/>
                <w:szCs w:val="20"/>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12,366</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42,558</w:t>
            </w:r>
          </w:p>
        </w:tc>
        <w:tc>
          <w:tcPr>
            <w:tcW w:w="100" w:type="dxa"/>
            <w:vAlign w:val="bottom"/>
          </w:tcPr>
          <w:p>
            <w:pPr>
              <w:spacing w:after="0"/>
              <w:rPr>
                <w:sz w:val="20"/>
                <w:szCs w:val="20"/>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35,362</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17,152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14,054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25,406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21,308</w:t>
            </w:r>
          </w:p>
        </w:tc>
        <w:tc>
          <w:tcPr>
            <w:tcW w:w="0" w:type="dxa"/>
            <w:vAlign w:val="bottom"/>
          </w:tcPr>
          <w:p>
            <w:pPr>
              <w:spacing w:after="0"/>
              <w:rPr>
                <w:sz w:val="1"/>
                <w:szCs w:val="1"/>
                <w:color w:val="auto"/>
              </w:rPr>
            </w:pPr>
          </w:p>
        </w:tc>
      </w:tr>
      <w:tr>
        <w:trPr>
          <w:trHeight w:val="27"/>
        </w:trPr>
        <w:tc>
          <w:tcPr>
            <w:tcW w:w="490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6,886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Proceeds from litigation, net</w:t>
            </w:r>
          </w:p>
        </w:tc>
        <w:tc>
          <w:tcPr>
            <w:tcW w:w="3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20,469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16,439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90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9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4"/>
                <w:szCs w:val="24"/>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3"/>
                <w:szCs w:val="23"/>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540"/>
        </w:trPr>
        <w:tc>
          <w:tcPr>
            <w:tcW w:w="49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60" w:type="dxa"/>
            <w:vAlign w:val="bottom"/>
          </w:tcPr>
          <w:p>
            <w:pPr>
              <w:spacing w:after="0"/>
              <w:rPr>
                <w:sz w:val="24"/>
                <w:szCs w:val="24"/>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9,198,730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9,027,764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9,182,875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9,090,903</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9,607,644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9,406,941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9,615,878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9,485,808</w:t>
            </w:r>
          </w:p>
        </w:tc>
        <w:tc>
          <w:tcPr>
            <w:tcW w:w="0" w:type="dxa"/>
            <w:vAlign w:val="bottom"/>
          </w:tcPr>
          <w:p>
            <w:pPr>
              <w:spacing w:after="0"/>
              <w:rPr>
                <w:sz w:val="1"/>
                <w:szCs w:val="1"/>
                <w:color w:val="auto"/>
              </w:rPr>
            </w:pPr>
          </w:p>
        </w:tc>
      </w:tr>
      <w:tr>
        <w:trPr>
          <w:trHeight w:val="567"/>
        </w:trPr>
        <w:tc>
          <w:tcPr>
            <w:tcW w:w="490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56"/>
        </w:trPr>
        <w:tc>
          <w:tcPr>
            <w:tcW w:w="4900" w:type="dxa"/>
            <w:vAlign w:val="bottom"/>
          </w:tcPr>
          <w:p>
            <w:pPr>
              <w:spacing w:after="0"/>
              <w:rPr>
                <w:sz w:val="20"/>
                <w:szCs w:val="20"/>
                <w:color w:val="auto"/>
              </w:rPr>
            </w:pPr>
            <w:r>
              <w:rPr>
                <w:rFonts w:ascii="Arial" w:cs="Arial" w:eastAsia="Arial" w:hAnsi="Arial"/>
                <w:sz w:val="18"/>
                <w:szCs w:val="18"/>
                <w:color w:val="auto"/>
              </w:rPr>
              <w:t>Unrealized gain(loss) on available-for-sale securities,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net of tax</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ended September 30,</w:t>
            </w:r>
          </w:p>
        </w:tc>
        <w:tc>
          <w:tcPr>
            <w:tcW w:w="280" w:type="dxa"/>
            <w:vAlign w:val="bottom"/>
          </w:tcPr>
          <w:p>
            <w:pPr>
              <w:spacing w:after="0"/>
              <w:rPr>
                <w:sz w:val="18"/>
                <w:szCs w:val="18"/>
                <w:color w:val="auto"/>
              </w:rPr>
            </w:pPr>
          </w:p>
        </w:tc>
        <w:tc>
          <w:tcPr>
            <w:tcW w:w="290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Arial" w:cs="Arial" w:eastAsia="Arial" w:hAnsi="Arial"/>
                <w:sz w:val="16"/>
                <w:szCs w:val="16"/>
                <w:color w:val="auto"/>
              </w:rPr>
              <w:t>Revenue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15,739</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12,366</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42,558</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35,362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Cost of goods sold</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6,097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17,146</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14,048</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25,412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21,314</w:t>
            </w:r>
          </w:p>
        </w:tc>
        <w:tc>
          <w:tcPr>
            <w:tcW w:w="0" w:type="dxa"/>
            <w:vAlign w:val="bottom"/>
          </w:tcPr>
          <w:p>
            <w:pPr>
              <w:spacing w:after="0"/>
              <w:rPr>
                <w:sz w:val="1"/>
                <w:szCs w:val="1"/>
                <w:color w:val="auto"/>
              </w:rPr>
            </w:pPr>
          </w:p>
        </w:tc>
      </w:tr>
      <w:tr>
        <w:trPr>
          <w:trHeight w:val="33"/>
        </w:trPr>
        <w:tc>
          <w:tcPr>
            <w:tcW w:w="496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4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2,771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8,444</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6,520</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6,853</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5,459</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3,636</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18,933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15,791</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4960" w:type="dxa"/>
            <w:vAlign w:val="bottom"/>
          </w:tcPr>
          <w:p>
            <w:pPr>
              <w:spacing w:after="0"/>
              <w:rPr>
                <w:sz w:val="20"/>
                <w:szCs w:val="20"/>
                <w:color w:val="auto"/>
              </w:rPr>
            </w:pPr>
            <w:r>
              <w:rPr>
                <w:rFonts w:ascii="Arial" w:cs="Arial" w:eastAsia="Arial" w:hAnsi="Arial"/>
                <w:sz w:val="16"/>
                <w:szCs w:val="16"/>
                <w:color w:val="auto"/>
              </w:rPr>
              <w:t>Non-GAAP operating income</w:t>
            </w:r>
          </w:p>
        </w:tc>
        <w:tc>
          <w:tcPr>
            <w:tcW w:w="3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2,329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6,479</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5,523</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6,694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5,640</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1,763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2,705</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3,989</w:t>
            </w:r>
          </w:p>
        </w:tc>
        <w:tc>
          <w:tcPr>
            <w:tcW w:w="16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60" w:type="dxa"/>
            <w:vAlign w:val="bottom"/>
          </w:tcPr>
          <w:p>
            <w:pPr>
              <w:spacing w:after="0"/>
              <w:rPr>
                <w:sz w:val="20"/>
                <w:szCs w:val="20"/>
                <w:color w:val="auto"/>
              </w:rPr>
            </w:pPr>
            <w:r>
              <w:rPr>
                <w:rFonts w:ascii="Arial" w:cs="Arial" w:eastAsia="Arial" w:hAnsi="Arial"/>
                <w:sz w:val="16"/>
                <w:szCs w:val="16"/>
                <w:color w:val="auto"/>
              </w:rPr>
              <w:t>Basic Non-GAAP earnings per common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6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Diluted Non-GAAP earnings per common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6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594"/>
        </w:trPr>
        <w:tc>
          <w:tcPr>
            <w:tcW w:w="496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3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9,198,730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9,027,764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9,182,875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9,090,903</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9,607,644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9,406,941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9,615,878</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9,485,808</w:t>
            </w:r>
          </w:p>
        </w:tc>
        <w:tc>
          <w:tcPr>
            <w:tcW w:w="0" w:type="dxa"/>
            <w:vAlign w:val="bottom"/>
          </w:tcPr>
          <w:p>
            <w:pPr>
              <w:spacing w:after="0"/>
              <w:rPr>
                <w:sz w:val="1"/>
                <w:szCs w:val="1"/>
                <w:color w:val="auto"/>
              </w:rPr>
            </w:pPr>
          </w:p>
        </w:tc>
      </w:tr>
      <w:tr>
        <w:trPr>
          <w:trHeight w:val="594"/>
        </w:trPr>
        <w:tc>
          <w:tcPr>
            <w:tcW w:w="496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3,070</w:t>
            </w:r>
          </w:p>
        </w:tc>
        <w:tc>
          <w:tcPr>
            <w:tcW w:w="16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3,438</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701</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53"/>
        </w:trPr>
        <w:tc>
          <w:tcPr>
            <w:tcW w:w="4960" w:type="dxa"/>
            <w:vAlign w:val="bottom"/>
          </w:tcPr>
          <w:p>
            <w:pPr>
              <w:spacing w:after="0"/>
              <w:rPr>
                <w:sz w:val="20"/>
                <w:szCs w:val="20"/>
                <w:color w:val="auto"/>
              </w:rPr>
            </w:pPr>
            <w:r>
              <w:rPr>
                <w:rFonts w:ascii="Arial" w:cs="Arial" w:eastAsia="Arial" w:hAnsi="Arial"/>
                <w:sz w:val="16"/>
                <w:szCs w:val="16"/>
                <w:color w:val="auto"/>
                <w:w w:val="96"/>
              </w:rPr>
              <w:t>Legal expenses for litigation relating to indemnification of former officers,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960" w:type="dxa"/>
            <w:vAlign w:val="bottom"/>
          </w:tcPr>
          <w:p>
            <w:pPr>
              <w:ind w:left="160"/>
              <w:spacing w:after="0"/>
              <w:rPr>
                <w:sz w:val="20"/>
                <w:szCs w:val="20"/>
                <w:color w:val="auto"/>
              </w:rPr>
            </w:pPr>
            <w:r>
              <w:rPr>
                <w:rFonts w:ascii="Arial" w:cs="Arial" w:eastAsia="Arial" w:hAnsi="Arial"/>
                <w:sz w:val="16"/>
                <w:szCs w:val="16"/>
                <w:color w:val="auto"/>
              </w:rPr>
              <w:t>theft of our intellectual property claims and our claim for damages</w:t>
            </w:r>
          </w:p>
        </w:tc>
        <w:tc>
          <w:tcPr>
            <w:tcW w:w="3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Acquisition related expenses</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34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1,542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3,989</w:t>
            </w:r>
          </w:p>
        </w:tc>
        <w:tc>
          <w:tcPr>
            <w:tcW w:w="16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ADJUSTED EBITDA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Quarter ended September 30,</w:t>
            </w:r>
          </w:p>
        </w:tc>
        <w:tc>
          <w:tcPr>
            <w:tcW w:w="260" w:type="dxa"/>
            <w:vAlign w:val="bottom"/>
          </w:tcPr>
          <w:p>
            <w:pPr>
              <w:spacing w:after="0"/>
              <w:rPr>
                <w:sz w:val="18"/>
                <w:szCs w:val="18"/>
                <w:color w:val="auto"/>
              </w:rPr>
            </w:pPr>
          </w:p>
        </w:tc>
        <w:tc>
          <w:tcPr>
            <w:tcW w:w="29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8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r>
      <w:tr>
        <w:trPr>
          <w:trHeight w:val="33"/>
        </w:trPr>
        <w:tc>
          <w:tcPr>
            <w:tcW w:w="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96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1,646</w:t>
            </w:r>
          </w:p>
        </w:tc>
        <w:tc>
          <w:tcPr>
            <w:tcW w:w="14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3,070</w:t>
            </w:r>
          </w:p>
        </w:tc>
        <w:tc>
          <w:tcPr>
            <w:tcW w:w="1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3,438</w:t>
            </w:r>
          </w:p>
        </w:tc>
      </w:tr>
      <w:tr>
        <w:trPr>
          <w:trHeight w:val="263"/>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8"/>
        </w:trPr>
        <w:tc>
          <w:tcPr>
            <w:tcW w:w="496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1,471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2,082</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1,548</w:t>
            </w:r>
          </w:p>
        </w:tc>
      </w:tr>
      <w:tr>
        <w:trPr>
          <w:trHeight w:val="270"/>
        </w:trPr>
        <w:tc>
          <w:tcPr>
            <w:tcW w:w="49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471</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1,255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983</w:t>
            </w:r>
          </w:p>
        </w:tc>
      </w:tr>
      <w:tr>
        <w:trPr>
          <w:trHeight w:val="33"/>
        </w:trPr>
        <w:tc>
          <w:tcPr>
            <w:tcW w:w="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8"/>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3,588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6,407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5,969</w:t>
            </w:r>
          </w:p>
        </w:tc>
      </w:tr>
      <w:tr>
        <w:trPr>
          <w:trHeight w:val="249"/>
        </w:trPr>
        <w:tc>
          <w:tcPr>
            <w:tcW w:w="4960" w:type="dxa"/>
            <w:vAlign w:val="bottom"/>
            <w:gridSpan w:val="2"/>
          </w:tcPr>
          <w:p>
            <w:pPr>
              <w:spacing w:after="0"/>
              <w:rPr>
                <w:sz w:val="20"/>
                <w:szCs w:val="20"/>
                <w:color w:val="auto"/>
              </w:rPr>
            </w:pPr>
            <w:r>
              <w:rPr>
                <w:rFonts w:ascii="Arial" w:cs="Arial" w:eastAsia="Arial" w:hAnsi="Arial"/>
                <w:sz w:val="16"/>
                <w:szCs w:val="16"/>
                <w:color w:val="auto"/>
                <w:w w:val="92"/>
              </w:rPr>
              <w:t>Proceeds from litigation, net of legal expenses and special bonus to officers</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70"/>
        </w:trPr>
        <w:tc>
          <w:tcPr>
            <w:tcW w:w="496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253"/>
        </w:trPr>
        <w:tc>
          <w:tcPr>
            <w:tcW w:w="4960" w:type="dxa"/>
            <w:vAlign w:val="bottom"/>
            <w:gridSpan w:val="2"/>
          </w:tcPr>
          <w:p>
            <w:pPr>
              <w:spacing w:after="0"/>
              <w:rPr>
                <w:sz w:val="20"/>
                <w:szCs w:val="20"/>
                <w:color w:val="auto"/>
              </w:rPr>
            </w:pPr>
            <w:r>
              <w:rPr>
                <w:rFonts w:ascii="Arial" w:cs="Arial" w:eastAsia="Arial" w:hAnsi="Arial"/>
                <w:sz w:val="16"/>
                <w:szCs w:val="16"/>
                <w:color w:val="auto"/>
                <w:w w:val="96"/>
              </w:rPr>
              <w:t>Legal expenses for litigation relating to indemnification of former officers,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6"/>
        </w:trPr>
        <w:tc>
          <w:tcPr>
            <w:tcW w:w="4960" w:type="dxa"/>
            <w:vAlign w:val="bottom"/>
            <w:gridSpan w:val="2"/>
          </w:tcPr>
          <w:p>
            <w:pPr>
              <w:ind w:left="160"/>
              <w:spacing w:after="0"/>
              <w:rPr>
                <w:sz w:val="20"/>
                <w:szCs w:val="20"/>
                <w:color w:val="auto"/>
              </w:rPr>
            </w:pPr>
            <w:r>
              <w:rPr>
                <w:rFonts w:ascii="Arial" w:cs="Arial" w:eastAsia="Arial" w:hAnsi="Arial"/>
                <w:sz w:val="16"/>
                <w:szCs w:val="16"/>
                <w:color w:val="auto"/>
              </w:rPr>
              <w:t>theft of our intellectual property claims and our claim for damages</w:t>
            </w:r>
          </w:p>
        </w:tc>
        <w:tc>
          <w:tcPr>
            <w:tcW w:w="3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270"/>
        </w:trPr>
        <w:tc>
          <w:tcPr>
            <w:tcW w:w="496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8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3,758</w:t>
            </w:r>
          </w:p>
        </w:tc>
        <w:tc>
          <w:tcPr>
            <w:tcW w:w="14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7,248</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6,219</w:t>
            </w:r>
          </w:p>
        </w:tc>
      </w:tr>
      <w:tr>
        <w:trPr>
          <w:trHeight w:val="20"/>
        </w:trPr>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2"/>
        </w:trPr>
        <w:tc>
          <w:tcPr>
            <w:tcW w:w="496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3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9,198,730</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9,027,764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9,182,875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9,090,903</w:t>
            </w:r>
          </w:p>
        </w:tc>
      </w:tr>
      <w:tr>
        <w:trPr>
          <w:trHeight w:val="270"/>
        </w:trPr>
        <w:tc>
          <w:tcPr>
            <w:tcW w:w="496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9,607,644</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9,406,941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9,615,878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9,485,808</w:t>
            </w:r>
          </w:p>
        </w:tc>
      </w:tr>
      <w:tr>
        <w:trPr>
          <w:trHeight w:val="594"/>
        </w:trPr>
        <w:tc>
          <w:tcPr>
            <w:tcW w:w="496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4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8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0.68</w:t>
            </w:r>
          </w:p>
        </w:tc>
      </w:tr>
      <w:tr>
        <w:trPr>
          <w:trHeight w:val="270"/>
        </w:trPr>
        <w:tc>
          <w:tcPr>
            <w:tcW w:w="496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4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18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0.66</w:t>
            </w:r>
          </w:p>
        </w:tc>
      </w:tr>
    </w:tbl>
    <w:p>
      <w:pPr>
        <w:spacing w:after="0" w:line="1" w:lineRule="exact"/>
        <w:rPr>
          <w:sz w:val="20"/>
          <w:szCs w:val="20"/>
          <w:color w:val="auto"/>
        </w:rPr>
      </w:pPr>
    </w:p>
    <w:sectPr>
      <w:pgSz w:w="11900" w:h="16838" w:orient="portrait"/>
      <w:cols w:equalWidth="0" w:num="1">
        <w:col w:w="11380"/>
      </w:cols>
      <w:pgMar w:left="28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2019-12-06T01:55:44Z</dcterms:created>
  <dcterms:modified xsi:type="dcterms:W3CDTF">2019-12-06T01:55:44Z</dcterms:modified>
</cp:coreProperties>
</file>