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ind w:left="220" w:hanging="212"/>
        <w:spacing w:after="0" w:line="219" w:lineRule="auto"/>
        <w:tabs>
          <w:tab w:leader="none" w:pos="220" w:val="left"/>
        </w:tabs>
        <w:numPr>
          <w:ilvl w:val="0"/>
          <w:numId w:val="1"/>
        </w:numPr>
        <w:rPr>
          <w:rFonts w:ascii="Arial" w:cs="Arial" w:eastAsia="Arial" w:hAnsi="Arial"/>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September 30, 2011</w:t>
      </w:r>
    </w:p>
    <w:p>
      <w:pPr>
        <w:ind w:left="1300"/>
        <w:spacing w:after="0" w:line="230" w:lineRule="auto"/>
        <w:rPr>
          <w:sz w:val="20"/>
          <w:szCs w:val="20"/>
          <w:color w:val="auto"/>
        </w:rPr>
      </w:pPr>
      <w:r>
        <w:rPr>
          <w:rFonts w:ascii="Arial" w:cs="Arial" w:eastAsia="Arial" w:hAnsi="Arial"/>
          <w:sz w:val="22"/>
          <w:szCs w:val="22"/>
          <w:color w:val="auto"/>
        </w:rPr>
        <w:t>or</w:t>
      </w:r>
    </w:p>
    <w:p>
      <w:pPr>
        <w:ind w:left="220" w:hanging="212"/>
        <w:spacing w:after="0" w:line="190" w:lineRule="auto"/>
        <w:tabs>
          <w:tab w:leader="none" w:pos="220" w:val="left"/>
        </w:tabs>
        <w:numPr>
          <w:ilvl w:val="0"/>
          <w:numId w:val="2"/>
        </w:numPr>
        <w:rPr>
          <w:rFonts w:ascii="Arial" w:cs="Arial" w:eastAsia="Arial" w:hAnsi="Arial"/>
          <w:sz w:val="22"/>
          <w:szCs w:val="22"/>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jc w:val="center"/>
        <w:ind w:right="-99"/>
        <w:spacing w:after="0"/>
        <w:rPr>
          <w:sz w:val="20"/>
          <w:szCs w:val="20"/>
          <w:color w:val="auto"/>
        </w:rPr>
      </w:pPr>
      <w:r>
        <w:rPr>
          <w:sz w:val="1"/>
          <w:szCs w:val="1"/>
          <w:color w:val="auto"/>
        </w:rPr>
        <w:drawing>
          <wp:inline distT="0" distB="0" distL="0" distR="0">
            <wp:extent cx="137160" cy="123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Arial" w:cs="Arial" w:eastAsia="Arial" w:hAnsi="Arial"/>
          <w:sz w:val="22"/>
          <w:szCs w:val="22"/>
          <w:color w:val="auto"/>
        </w:rPr>
        <w:t>[clro2011q3_10q001.jpg]</w:t>
      </w:r>
    </w:p>
    <w:p>
      <w:pPr>
        <w:jc w:val="center"/>
        <w:ind w:right="-99"/>
        <w:spacing w:after="0" w:line="234" w:lineRule="auto"/>
        <w:rPr>
          <w:sz w:val="20"/>
          <w:szCs w:val="20"/>
          <w:color w:val="auto"/>
        </w:rPr>
      </w:pPr>
      <w:r>
        <w:rPr>
          <w:rFonts w:ascii="Arial" w:cs="Arial" w:eastAsia="Arial" w:hAnsi="Arial"/>
          <w:sz w:val="22"/>
          <w:szCs w:val="22"/>
          <w:b w:val="1"/>
          <w:bCs w:val="1"/>
          <w:color w:val="auto"/>
        </w:rPr>
        <w:t>CLEARONE COMMUNICATIONS,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568960</wp:posOffset>
            </wp:positionH>
            <wp:positionV relativeFrom="paragraph">
              <wp:posOffset>156845</wp:posOffset>
            </wp:positionV>
            <wp:extent cx="6127115" cy="116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115" cy="1162050"/>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59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4"/>
              </w:rPr>
              <w:t>Utah</w:t>
            </w:r>
          </w:p>
        </w:tc>
        <w:tc>
          <w:tcPr>
            <w:tcW w:w="3700" w:type="dxa"/>
            <w:vAlign w:val="bottom"/>
          </w:tcPr>
          <w:p>
            <w:pPr>
              <w:jc w:val="right"/>
              <w:ind w:right="13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(State or other jurisdiction of incorporation or organization)</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59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700" w:type="dxa"/>
            <w:vAlign w:val="bottom"/>
          </w:tcPr>
          <w:p>
            <w:pPr>
              <w:jc w:val="right"/>
              <w:ind w:right="155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(Zip Code)</w:t>
            </w:r>
          </w:p>
        </w:tc>
      </w:tr>
      <w:tr>
        <w:trPr>
          <w:trHeight w:val="418"/>
        </w:trPr>
        <w:tc>
          <w:tcPr>
            <w:tcW w:w="5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(801) 975-7200</w:t>
            </w:r>
          </w:p>
        </w:tc>
        <w:tc>
          <w:tcPr>
            <w:tcW w:w="3700" w:type="dxa"/>
            <w:vAlign w:val="bottom"/>
          </w:tcPr>
          <w:p>
            <w:pPr>
              <w:spacing w:after="0"/>
              <w:rPr>
                <w:sz w:val="24"/>
                <w:szCs w:val="24"/>
                <w:color w:val="auto"/>
              </w:rPr>
            </w:pPr>
          </w:p>
        </w:tc>
      </w:tr>
    </w:tbl>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85" w:lineRule="exact"/>
        <w:rPr>
          <w:sz w:val="24"/>
          <w:szCs w:val="24"/>
          <w:color w:val="auto"/>
        </w:rPr>
      </w:pPr>
    </w:p>
    <w:p>
      <w:pPr>
        <w:ind w:right="50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pacing w:after="0" w:line="212" w:lineRule="exact"/>
        <w:rPr>
          <w:sz w:val="24"/>
          <w:szCs w:val="24"/>
          <w:color w:val="auto"/>
        </w:rPr>
      </w:pPr>
    </w:p>
    <w:tbl>
      <w:tblPr>
        <w:tblLayout w:type="fixed"/>
        <w:tblInd w:w="30" w:type="dxa"/>
        <w:tblCellMar>
          <w:top w:w="0" w:type="dxa"/>
          <w:left w:w="0" w:type="dxa"/>
          <w:bottom w:w="0" w:type="dxa"/>
          <w:right w:w="0" w:type="dxa"/>
        </w:tblCellMar>
      </w:tblPr>
      <w:tr>
        <w:trPr>
          <w:trHeight w:val="250"/>
        </w:trPr>
        <w:tc>
          <w:tcPr>
            <w:tcW w:w="5780" w:type="dxa"/>
            <w:vAlign w:val="bottom"/>
            <w:tcBorders>
              <w:top w:val="single" w:sz="8" w:color="808080"/>
              <w:left w:val="single" w:sz="8" w:color="808080"/>
            </w:tcBorders>
          </w:tcPr>
          <w:p>
            <w:pPr>
              <w:ind w:left="80"/>
              <w:spacing w:after="0"/>
              <w:rPr>
                <w:sz w:val="20"/>
                <w:szCs w:val="20"/>
                <w:color w:val="auto"/>
              </w:rPr>
            </w:pPr>
            <w:r>
              <w:rPr>
                <w:rFonts w:ascii="Arial" w:cs="Arial" w:eastAsia="Arial" w:hAnsi="Arial"/>
                <w:sz w:val="18"/>
                <w:szCs w:val="18"/>
                <w:color w:val="auto"/>
              </w:rPr>
              <w:t>Larger Accelerated Filer o</w:t>
            </w:r>
          </w:p>
        </w:tc>
        <w:tc>
          <w:tcPr>
            <w:tcW w:w="3760" w:type="dxa"/>
            <w:vAlign w:val="bottom"/>
            <w:tcBorders>
              <w:top w:val="single" w:sz="8" w:color="808080"/>
              <w:right w:val="single" w:sz="8" w:color="808080"/>
            </w:tcBorders>
          </w:tcPr>
          <w:p>
            <w:pPr>
              <w:ind w:left="500"/>
              <w:spacing w:after="0"/>
              <w:rPr>
                <w:sz w:val="20"/>
                <w:szCs w:val="20"/>
                <w:color w:val="auto"/>
              </w:rPr>
            </w:pPr>
            <w:r>
              <w:rPr>
                <w:rFonts w:ascii="Arial" w:cs="Arial" w:eastAsia="Arial" w:hAnsi="Arial"/>
                <w:sz w:val="18"/>
                <w:szCs w:val="18"/>
                <w:color w:val="auto"/>
              </w:rPr>
              <w:t>Accelerated Filer o</w:t>
            </w:r>
          </w:p>
        </w:tc>
      </w:tr>
      <w:tr>
        <w:trPr>
          <w:trHeight w:val="266"/>
        </w:trPr>
        <w:tc>
          <w:tcPr>
            <w:tcW w:w="57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3760" w:type="dxa"/>
            <w:vAlign w:val="bottom"/>
            <w:tcBorders>
              <w:right w:val="single" w:sz="8" w:color="808080"/>
            </w:tcBorders>
          </w:tcPr>
          <w:p>
            <w:pPr>
              <w:ind w:left="500"/>
              <w:spacing w:after="0"/>
              <w:rPr>
                <w:sz w:val="20"/>
                <w:szCs w:val="20"/>
                <w:color w:val="auto"/>
              </w:rPr>
            </w:pPr>
            <w:r>
              <w:rPr>
                <w:rFonts w:ascii="Arial" w:cs="Arial" w:eastAsia="Arial" w:hAnsi="Arial"/>
                <w:sz w:val="18"/>
                <w:szCs w:val="18"/>
                <w:color w:val="auto"/>
              </w:rPr>
              <w:t>Smaller Reporting Company  x</w:t>
            </w:r>
          </w:p>
        </w:tc>
      </w:tr>
      <w:tr>
        <w:trPr>
          <w:trHeight w:val="64"/>
        </w:trPr>
        <w:tc>
          <w:tcPr>
            <w:tcW w:w="5780" w:type="dxa"/>
            <w:vAlign w:val="bottom"/>
            <w:tcBorders>
              <w:left w:val="single" w:sz="8" w:color="808080"/>
              <w:bottom w:val="single" w:sz="8" w:color="808080"/>
            </w:tcBorders>
          </w:tcPr>
          <w:p>
            <w:pPr>
              <w:spacing w:after="0"/>
              <w:rPr>
                <w:sz w:val="5"/>
                <w:szCs w:val="5"/>
                <w:color w:val="auto"/>
              </w:rPr>
            </w:pPr>
          </w:p>
        </w:tc>
        <w:tc>
          <w:tcPr>
            <w:tcW w:w="3760" w:type="dxa"/>
            <w:vAlign w:val="bottom"/>
            <w:tcBorders>
              <w:bottom w:val="single" w:sz="8" w:color="808080"/>
              <w:right w:val="single" w:sz="8" w:color="808080"/>
            </w:tcBorders>
          </w:tcPr>
          <w:p>
            <w:pPr>
              <w:spacing w:after="0"/>
              <w:rPr>
                <w:sz w:val="5"/>
                <w:szCs w:val="5"/>
                <w:color w:val="auto"/>
              </w:rPr>
            </w:pPr>
          </w:p>
        </w:tc>
      </w:tr>
    </w:tbl>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9,093,279 shares issued and outstanding as of November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4662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 ENDED SEPTEMBER 30, 2011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Borders>
              <w:right w:val="single" w:sz="8" w:color="808080"/>
            </w:tcBorders>
          </w:tcPr>
          <w:p>
            <w:pPr>
              <w:spacing w:after="0"/>
              <w:rPr>
                <w:sz w:val="17"/>
                <w:szCs w:val="17"/>
                <w:color w:val="auto"/>
              </w:rPr>
            </w:pPr>
          </w:p>
        </w:tc>
        <w:tc>
          <w:tcPr>
            <w:tcW w:w="880" w:type="dxa"/>
            <w:vAlign w:val="bottom"/>
            <w:tcBorders>
              <w:top w:val="single" w:sz="8" w:color="808080"/>
            </w:tcBorders>
          </w:tcPr>
          <w:p>
            <w:pPr>
              <w:spacing w:after="0"/>
              <w:rPr>
                <w:sz w:val="17"/>
                <w:szCs w:val="17"/>
                <w:color w:val="auto"/>
              </w:rPr>
            </w:pPr>
          </w:p>
        </w:tc>
        <w:tc>
          <w:tcPr>
            <w:tcW w:w="7960" w:type="dxa"/>
            <w:vAlign w:val="bottom"/>
            <w:tcBorders>
              <w:top w:val="single" w:sz="8" w:color="808080"/>
            </w:tcBorders>
            <w:vMerge w:val="restart"/>
          </w:tcPr>
          <w:p>
            <w:pPr>
              <w:ind w:left="250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Borders>
              <w:top w:val="single" w:sz="8" w:color="808080"/>
              <w:right w:val="single" w:sz="8" w:color="808080"/>
            </w:tcBorders>
            <w:gridSpan w:val="3"/>
          </w:tcPr>
          <w:p>
            <w:pPr>
              <w:jc w:val="right"/>
              <w:ind w:right="100"/>
              <w:spacing w:after="0" w:line="206" w:lineRule="exact"/>
              <w:rPr>
                <w:sz w:val="20"/>
                <w:szCs w:val="20"/>
                <w:color w:val="auto"/>
              </w:rPr>
            </w:pPr>
            <w:r>
              <w:rPr>
                <w:rFonts w:ascii="Arial" w:cs="Arial" w:eastAsia="Arial" w:hAnsi="Arial"/>
                <w:sz w:val="18"/>
                <w:szCs w:val="18"/>
                <w:b w:val="1"/>
                <w:bCs w:val="1"/>
                <w:color w:val="auto"/>
              </w:rPr>
              <w:t>Page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Borders>
              <w:right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7960" w:type="dxa"/>
            <w:vAlign w:val="bottom"/>
            <w:tcBorders>
              <w:top w:val="single" w:sz="8" w:color="808080"/>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right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w:t>
            </w:r>
          </w:p>
        </w:tc>
        <w:tc>
          <w:tcPr>
            <w:tcW w:w="796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Consolidated Balance Sheets as of September 30, 2011 and December 31, 2010</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2"/>
              </w:rPr>
              <w:t>Consolidated Statements of Operations for the three and nine months ended September 30, 2011 and</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Consolidated Statements of Cash Flows for nine months ended September 30, 2011 and 2010</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2.</w:t>
            </w:r>
          </w:p>
        </w:tc>
        <w:tc>
          <w:tcPr>
            <w:tcW w:w="79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3.</w:t>
            </w:r>
          </w:p>
        </w:tc>
        <w:tc>
          <w:tcPr>
            <w:tcW w:w="79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4.</w:t>
            </w:r>
          </w:p>
        </w:tc>
        <w:tc>
          <w:tcPr>
            <w:tcW w:w="79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right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7960" w:type="dxa"/>
            <w:vAlign w:val="bottom"/>
          </w:tcPr>
          <w:p>
            <w:pPr>
              <w:ind w:left="2660"/>
              <w:spacing w:after="0"/>
              <w:rPr>
                <w:sz w:val="20"/>
                <w:szCs w:val="20"/>
                <w:color w:val="auto"/>
              </w:rPr>
            </w:pPr>
            <w:r>
              <w:rPr>
                <w:rFonts w:ascii="Arial" w:cs="Arial" w:eastAsia="Arial" w:hAnsi="Arial"/>
                <w:sz w:val="18"/>
                <w:szCs w:val="18"/>
                <w:b w:val="1"/>
                <w:bCs w:val="1"/>
                <w:color w:val="auto"/>
              </w:rPr>
              <w:t>PART II – OTHER INFORMATION</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right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w:t>
            </w:r>
          </w:p>
        </w:tc>
        <w:tc>
          <w:tcPr>
            <w:tcW w:w="796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1A.</w:t>
            </w:r>
          </w:p>
        </w:tc>
        <w:tc>
          <w:tcPr>
            <w:tcW w:w="79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2.</w:t>
            </w:r>
          </w:p>
        </w:tc>
        <w:tc>
          <w:tcPr>
            <w:tcW w:w="796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3.</w:t>
            </w:r>
          </w:p>
        </w:tc>
        <w:tc>
          <w:tcPr>
            <w:tcW w:w="796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4.</w:t>
            </w:r>
          </w:p>
        </w:tc>
        <w:tc>
          <w:tcPr>
            <w:tcW w:w="7960" w:type="dxa"/>
            <w:vAlign w:val="bottom"/>
          </w:tcPr>
          <w:p>
            <w:pPr>
              <w:ind w:left="180"/>
              <w:spacing w:after="0"/>
              <w:rPr>
                <w:sz w:val="20"/>
                <w:szCs w:val="20"/>
                <w:color w:val="auto"/>
              </w:rPr>
            </w:pPr>
            <w:r>
              <w:rPr>
                <w:rFonts w:ascii="Arial" w:cs="Arial" w:eastAsia="Arial" w:hAnsi="Arial"/>
                <w:sz w:val="18"/>
                <w:szCs w:val="18"/>
                <w:color w:val="auto"/>
              </w:rPr>
              <w:t>Removed and Reserved</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808080"/>
            </w:tcBorders>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Item 5.</w:t>
            </w:r>
          </w:p>
        </w:tc>
        <w:tc>
          <w:tcPr>
            <w:tcW w:w="796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780" w:type="dxa"/>
            <w:vAlign w:val="bottom"/>
            <w:tcBorders>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Borders>
              <w:right w:val="single" w:sz="8" w:color="808080"/>
            </w:tcBorders>
          </w:tcPr>
          <w:p>
            <w:pPr>
              <w:spacing w:after="0"/>
              <w:rPr>
                <w:sz w:val="20"/>
                <w:szCs w:val="20"/>
                <w:color w:val="auto"/>
              </w:rPr>
            </w:pPr>
          </w:p>
        </w:tc>
        <w:tc>
          <w:tcPr>
            <w:tcW w:w="88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Item 6.</w:t>
            </w:r>
          </w:p>
        </w:tc>
        <w:tc>
          <w:tcPr>
            <w:tcW w:w="7960" w:type="dxa"/>
            <w:vAlign w:val="bottom"/>
            <w:tcBorders>
              <w:bottom w:val="single" w:sz="8" w:color="808080"/>
            </w:tcBorders>
          </w:tcPr>
          <w:p>
            <w:pPr>
              <w:ind w:left="180"/>
              <w:spacing w:after="0"/>
              <w:rPr>
                <w:sz w:val="20"/>
                <w:szCs w:val="20"/>
                <w:color w:val="auto"/>
              </w:rPr>
            </w:pPr>
            <w:r>
              <w:rPr>
                <w:rFonts w:ascii="Arial" w:cs="Arial" w:eastAsia="Arial" w:hAnsi="Arial"/>
                <w:sz w:val="18"/>
                <w:szCs w:val="18"/>
                <w:color w:val="auto"/>
              </w:rPr>
              <w:t>Exhibits</w:t>
            </w:r>
          </w:p>
        </w:tc>
        <w:tc>
          <w:tcPr>
            <w:tcW w:w="780" w:type="dxa"/>
            <w:vAlign w:val="bottom"/>
            <w:tcBorders>
              <w:bottom w:val="single" w:sz="8" w:color="808080"/>
              <w:right w:val="single" w:sz="8" w:color="808080"/>
            </w:tcBorders>
            <w:gridSpan w:val="3"/>
          </w:tcPr>
          <w:p>
            <w:pPr>
              <w:jc w:val="right"/>
              <w:ind w:right="100"/>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20" w:type="dxa"/>
            <w:vAlign w:val="bottom"/>
            <w:tcBorders>
              <w:right w:val="single" w:sz="8" w:color="808080"/>
            </w:tcBorders>
            <w:shd w:val="clear" w:color="auto" w:fill="808080"/>
          </w:tcPr>
          <w:p>
            <w:pPr>
              <w:spacing w:after="0"/>
              <w:rPr>
                <w:sz w:val="11"/>
                <w:szCs w:val="11"/>
                <w:color w:val="auto"/>
              </w:rPr>
            </w:pPr>
          </w:p>
        </w:tc>
        <w:tc>
          <w:tcPr>
            <w:tcW w:w="880" w:type="dxa"/>
            <w:vAlign w:val="bottom"/>
            <w:shd w:val="clear" w:color="auto" w:fill="808080"/>
          </w:tcPr>
          <w:p>
            <w:pPr>
              <w:spacing w:after="0"/>
              <w:rPr>
                <w:sz w:val="11"/>
                <w:szCs w:val="11"/>
                <w:color w:val="auto"/>
              </w:rPr>
            </w:pPr>
          </w:p>
        </w:tc>
        <w:tc>
          <w:tcPr>
            <w:tcW w:w="7960" w:type="dxa"/>
            <w:vAlign w:val="bottom"/>
            <w:shd w:val="clear" w:color="auto" w:fill="808080"/>
          </w:tcPr>
          <w:p>
            <w:pPr>
              <w:spacing w:after="0"/>
              <w:rPr>
                <w:sz w:val="11"/>
                <w:szCs w:val="11"/>
                <w:color w:val="auto"/>
              </w:rPr>
            </w:pPr>
          </w:p>
        </w:tc>
        <w:tc>
          <w:tcPr>
            <w:tcW w:w="320" w:type="dxa"/>
            <w:vAlign w:val="bottom"/>
            <w:shd w:val="clear" w:color="auto" w:fill="808080"/>
          </w:tcPr>
          <w:p>
            <w:pPr>
              <w:spacing w:after="0"/>
              <w:rPr>
                <w:sz w:val="11"/>
                <w:szCs w:val="11"/>
                <w:color w:val="auto"/>
              </w:rPr>
            </w:pPr>
          </w:p>
        </w:tc>
        <w:tc>
          <w:tcPr>
            <w:tcW w:w="360" w:type="dxa"/>
            <w:vAlign w:val="bottom"/>
            <w:shd w:val="clear" w:color="auto" w:fill="808080"/>
          </w:tcPr>
          <w:p>
            <w:pPr>
              <w:spacing w:after="0"/>
              <w:rPr>
                <w:sz w:val="11"/>
                <w:szCs w:val="11"/>
                <w:color w:val="auto"/>
              </w:rPr>
            </w:pPr>
          </w:p>
        </w:tc>
        <w:tc>
          <w:tcPr>
            <w:tcW w:w="100" w:type="dxa"/>
            <w:vAlign w:val="bottom"/>
            <w:tcBorders>
              <w:right w:val="single" w:sz="8" w:color="808080"/>
            </w:tcBorders>
            <w:shd w:val="clear" w:color="auto" w:fill="808080"/>
          </w:tcPr>
          <w:p>
            <w:pPr>
              <w:spacing w:after="0"/>
              <w:rPr>
                <w:sz w:val="11"/>
                <w:szCs w:val="11"/>
                <w:color w:val="auto"/>
              </w:rPr>
            </w:pPr>
          </w:p>
        </w:tc>
        <w:tc>
          <w:tcPr>
            <w:tcW w:w="880" w:type="dxa"/>
            <w:vAlign w:val="bottom"/>
            <w:shd w:val="clear" w:color="auto" w:fill="808080"/>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253"/>
        </w:trPr>
        <w:tc>
          <w:tcPr>
            <w:tcW w:w="8760" w:type="dxa"/>
            <w:vAlign w:val="bottom"/>
            <w:gridSpan w:val="7"/>
          </w:tcPr>
          <w:p>
            <w:pPr>
              <w:jc w:val="center"/>
              <w:ind w:left="2528"/>
              <w:spacing w:after="0"/>
              <w:rPr>
                <w:sz w:val="20"/>
                <w:szCs w:val="20"/>
                <w:color w:val="auto"/>
              </w:rPr>
            </w:pPr>
            <w:r>
              <w:rPr>
                <w:rFonts w:ascii="Arial" w:cs="Arial" w:eastAsia="Arial" w:hAnsi="Arial"/>
                <w:sz w:val="22"/>
                <w:szCs w:val="22"/>
                <w:b w:val="1"/>
                <w:bCs w:val="1"/>
                <w:color w:val="auto"/>
              </w:rPr>
              <w:t>CLEARONE COMMUNICATIONS, INC.</w:t>
            </w:r>
          </w:p>
        </w:tc>
      </w:tr>
      <w:tr>
        <w:trPr>
          <w:trHeight w:val="243"/>
        </w:trPr>
        <w:tc>
          <w:tcPr>
            <w:tcW w:w="7580" w:type="dxa"/>
            <w:vAlign w:val="bottom"/>
            <w:gridSpan w:val="5"/>
          </w:tcPr>
          <w:p>
            <w:pPr>
              <w:jc w:val="center"/>
              <w:ind w:left="3708"/>
              <w:spacing w:after="0" w:line="243" w:lineRule="exact"/>
              <w:rPr>
                <w:sz w:val="20"/>
                <w:szCs w:val="20"/>
                <w:color w:val="auto"/>
              </w:rPr>
            </w:pPr>
            <w:r>
              <w:rPr>
                <w:rFonts w:ascii="Arial" w:cs="Arial" w:eastAsia="Arial" w:hAnsi="Arial"/>
                <w:sz w:val="22"/>
                <w:szCs w:val="22"/>
                <w:b w:val="1"/>
                <w:bCs w:val="1"/>
                <w:color w:val="auto"/>
                <w:w w:val="97"/>
              </w:rPr>
              <w:t>CONSOLIDATED BALANCE SHEETS</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1"/>
        </w:trPr>
        <w:tc>
          <w:tcPr>
            <w:tcW w:w="7580" w:type="dxa"/>
            <w:vAlign w:val="bottom"/>
            <w:gridSpan w:val="5"/>
          </w:tcPr>
          <w:p>
            <w:pPr>
              <w:jc w:val="center"/>
              <w:ind w:left="3708"/>
              <w:spacing w:after="0"/>
              <w:rPr>
                <w:sz w:val="20"/>
                <w:szCs w:val="20"/>
                <w:color w:val="auto"/>
              </w:rPr>
            </w:pPr>
            <w:r>
              <w:rPr>
                <w:rFonts w:ascii="Arial" w:cs="Arial" w:eastAsia="Arial" w:hAnsi="Arial"/>
                <w:sz w:val="22"/>
                <w:szCs w:val="22"/>
                <w:b w:val="1"/>
                <w:bCs w:val="1"/>
                <w:color w:val="auto"/>
                <w:w w:val="87"/>
              </w:rPr>
              <w:t>(Dollars in thousands, except par value)</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2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3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r>
        <w:trPr>
          <w:trHeight w:val="220"/>
        </w:trPr>
        <w:tc>
          <w:tcPr>
            <w:tcW w:w="5260" w:type="dxa"/>
            <w:vAlign w:val="bottom"/>
            <w:tcBorders>
              <w:left w:val="single" w:sz="8" w:color="808080"/>
            </w:tcBorders>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center"/>
              <w:ind w:right="271"/>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Borders>
              <w:right w:val="single" w:sz="8" w:color="808080"/>
            </w:tcBorders>
            <w:gridSpan w:val="2"/>
          </w:tcPr>
          <w:p>
            <w:pPr>
              <w:ind w:left="20"/>
              <w:spacing w:after="0"/>
              <w:rPr>
                <w:sz w:val="20"/>
                <w:szCs w:val="20"/>
                <w:color w:val="auto"/>
              </w:rPr>
            </w:pPr>
            <w:r>
              <w:rPr>
                <w:rFonts w:ascii="Arial" w:cs="Arial" w:eastAsia="Arial" w:hAnsi="Arial"/>
                <w:sz w:val="16"/>
                <w:szCs w:val="16"/>
                <w:b w:val="1"/>
                <w:bCs w:val="1"/>
                <w:color w:val="auto"/>
              </w:rPr>
              <w:t>Audited</w:t>
            </w:r>
          </w:p>
        </w:tc>
      </w:tr>
      <w:tr>
        <w:trPr>
          <w:trHeight w:val="188"/>
        </w:trPr>
        <w:tc>
          <w:tcPr>
            <w:tcW w:w="5260" w:type="dxa"/>
            <w:vAlign w:val="bottom"/>
            <w:tcBorders>
              <w:left w:val="single" w:sz="8" w:color="808080"/>
            </w:tcBorders>
          </w:tcPr>
          <w:p>
            <w:pPr>
              <w:spacing w:after="0"/>
              <w:rPr>
                <w:sz w:val="16"/>
                <w:szCs w:val="16"/>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As of September 30,</w:t>
            </w:r>
          </w:p>
        </w:tc>
        <w:tc>
          <w:tcPr>
            <w:tcW w:w="140" w:type="dxa"/>
            <w:vAlign w:val="bottom"/>
          </w:tcPr>
          <w:p>
            <w:pPr>
              <w:spacing w:after="0"/>
              <w:rPr>
                <w:sz w:val="16"/>
                <w:szCs w:val="16"/>
                <w:color w:val="auto"/>
              </w:rPr>
            </w:pPr>
          </w:p>
        </w:tc>
        <w:tc>
          <w:tcPr>
            <w:tcW w:w="16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9"/>
              </w:rPr>
              <w:t>As of December 31,</w:t>
            </w:r>
          </w:p>
        </w:tc>
        <w:tc>
          <w:tcPr>
            <w:tcW w:w="40" w:type="dxa"/>
            <w:vAlign w:val="bottom"/>
            <w:tcBorders>
              <w:right w:val="single" w:sz="8" w:color="808080"/>
            </w:tcBorders>
          </w:tcPr>
          <w:p>
            <w:pPr>
              <w:spacing w:after="0"/>
              <w:rPr>
                <w:sz w:val="16"/>
                <w:szCs w:val="16"/>
                <w:color w:val="auto"/>
              </w:rPr>
            </w:pPr>
          </w:p>
        </w:tc>
      </w:tr>
      <w:tr>
        <w:trPr>
          <w:trHeight w:val="210"/>
        </w:trPr>
        <w:tc>
          <w:tcPr>
            <w:tcW w:w="5260" w:type="dxa"/>
            <w:vAlign w:val="bottom"/>
            <w:tcBorders>
              <w:left w:val="single" w:sz="8" w:color="808080"/>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w w:val="89"/>
              </w:rPr>
              <w:t>2011</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22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AF1DD"/>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13,138</w:t>
            </w:r>
          </w:p>
        </w:tc>
        <w:tc>
          <w:tcPr>
            <w:tcW w:w="660" w:type="dxa"/>
            <w:vAlign w:val="bottom"/>
            <w:gridSpan w:val="2"/>
            <w:shd w:val="clear" w:color="auto" w:fill="EAF1DD"/>
          </w:tcPr>
          <w:p>
            <w:pPr>
              <w:ind w:lef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11,431</w:t>
            </w:r>
          </w:p>
        </w:tc>
        <w:tc>
          <w:tcPr>
            <w:tcW w:w="40" w:type="dxa"/>
            <w:vAlign w:val="bottom"/>
            <w:tcBorders>
              <w:right w:val="single" w:sz="8" w:color="808080"/>
            </w:tcBorders>
          </w:tcPr>
          <w:p>
            <w:pPr>
              <w:spacing w:after="0"/>
              <w:rPr>
                <w:sz w:val="18"/>
                <w:szCs w:val="18"/>
                <w:color w:val="auto"/>
              </w:rPr>
            </w:pPr>
          </w:p>
        </w:tc>
      </w:tr>
      <w:tr>
        <w:trPr>
          <w:trHeight w:val="202"/>
        </w:trPr>
        <w:tc>
          <w:tcPr>
            <w:tcW w:w="5260" w:type="dxa"/>
            <w:vAlign w:val="bottom"/>
            <w:tcBorders>
              <w:left w:val="single" w:sz="8" w:color="808080"/>
            </w:tcBorders>
          </w:tcPr>
          <w:p>
            <w:pPr>
              <w:ind w:left="80"/>
              <w:spacing w:after="0" w:line="201" w:lineRule="exact"/>
              <w:rPr>
                <w:sz w:val="20"/>
                <w:szCs w:val="20"/>
                <w:color w:val="auto"/>
              </w:rPr>
            </w:pPr>
            <w:r>
              <w:rPr>
                <w:rFonts w:ascii="Arial" w:cs="Arial" w:eastAsia="Arial" w:hAnsi="Arial"/>
                <w:sz w:val="18"/>
                <w:szCs w:val="18"/>
                <w:color w:val="auto"/>
              </w:rPr>
              <w:t>Receivables, net of allowance for doubtful accounts of $124 and</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30"/>
        </w:trPr>
        <w:tc>
          <w:tcPr>
            <w:tcW w:w="5260" w:type="dxa"/>
            <w:vAlign w:val="bottom"/>
            <w:tcBorders>
              <w:left w:val="single" w:sz="8" w:color="808080"/>
            </w:tcBorders>
          </w:tcPr>
          <w:p>
            <w:pPr>
              <w:ind w:left="300"/>
              <w:spacing w:after="0"/>
              <w:rPr>
                <w:sz w:val="20"/>
                <w:szCs w:val="20"/>
                <w:color w:val="auto"/>
              </w:rPr>
            </w:pPr>
            <w:r>
              <w:rPr>
                <w:rFonts w:ascii="Arial" w:cs="Arial" w:eastAsia="Arial" w:hAnsi="Arial"/>
                <w:sz w:val="18"/>
                <w:szCs w:val="18"/>
                <w:color w:val="auto"/>
              </w:rPr>
              <w:t>$206, respectively</w:t>
            </w:r>
          </w:p>
        </w:tc>
        <w:tc>
          <w:tcPr>
            <w:tcW w:w="360" w:type="dxa"/>
            <w:vAlign w:val="bottom"/>
          </w:tcPr>
          <w:p>
            <w:pPr>
              <w:spacing w:after="0"/>
              <w:rPr>
                <w:sz w:val="20"/>
                <w:szCs w:val="20"/>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12,174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9,951</w:t>
            </w:r>
          </w:p>
        </w:tc>
        <w:tc>
          <w:tcPr>
            <w:tcW w:w="40" w:type="dxa"/>
            <w:vAlign w:val="bottom"/>
            <w:tcBorders>
              <w:right w:val="single" w:sz="8" w:color="808080"/>
            </w:tcBorders>
          </w:tcPr>
          <w:p>
            <w:pPr>
              <w:spacing w:after="0"/>
              <w:rPr>
                <w:sz w:val="20"/>
                <w:szCs w:val="20"/>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11,912</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8,780</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2,962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3,389</w:t>
            </w:r>
          </w:p>
        </w:tc>
        <w:tc>
          <w:tcPr>
            <w:tcW w:w="40" w:type="dxa"/>
            <w:vAlign w:val="bottom"/>
            <w:tcBorders>
              <w:right w:val="single" w:sz="8" w:color="808080"/>
            </w:tcBorders>
          </w:tcPr>
          <w:p>
            <w:pPr>
              <w:spacing w:after="0"/>
              <w:rPr>
                <w:sz w:val="18"/>
                <w:szCs w:val="18"/>
                <w:color w:val="auto"/>
              </w:rPr>
            </w:pPr>
          </w:p>
        </w:tc>
      </w:tr>
      <w:tr>
        <w:trPr>
          <w:trHeight w:val="203"/>
        </w:trPr>
        <w:tc>
          <w:tcPr>
            <w:tcW w:w="5260" w:type="dxa"/>
            <w:vAlign w:val="bottom"/>
            <w:tcBorders>
              <w:left w:val="single" w:sz="8" w:color="808080"/>
              <w:bottom w:val="single" w:sz="8" w:color="EAF1DD"/>
            </w:tcBorders>
            <w:shd w:val="clear" w:color="auto" w:fill="EAF1DD"/>
          </w:tcPr>
          <w:p>
            <w:pPr>
              <w:ind w:left="80"/>
              <w:spacing w:after="0" w:line="202" w:lineRule="exact"/>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EAF1DD"/>
          </w:tcPr>
          <w:p>
            <w:pPr>
              <w:spacing w:after="0"/>
              <w:rPr>
                <w:sz w:val="17"/>
                <w:szCs w:val="17"/>
                <w:color w:val="auto"/>
              </w:rPr>
            </w:pPr>
          </w:p>
        </w:tc>
        <w:tc>
          <w:tcPr>
            <w:tcW w:w="1300" w:type="dxa"/>
            <w:vAlign w:val="bottom"/>
            <w:tcBorders>
              <w:bottom w:val="single" w:sz="8" w:color="auto"/>
            </w:tcBorders>
            <w:shd w:val="clear" w:color="auto" w:fill="EAF1DD"/>
          </w:tcPr>
          <w:p>
            <w:pPr>
              <w:jc w:val="right"/>
              <w:ind w:right="331"/>
              <w:spacing w:after="0" w:line="202" w:lineRule="exact"/>
              <w:rPr>
                <w:sz w:val="20"/>
                <w:szCs w:val="20"/>
                <w:color w:val="auto"/>
              </w:rPr>
            </w:pPr>
            <w:r>
              <w:rPr>
                <w:rFonts w:ascii="Arial" w:cs="Arial" w:eastAsia="Arial" w:hAnsi="Arial"/>
                <w:sz w:val="18"/>
                <w:szCs w:val="18"/>
                <w:color w:val="auto"/>
              </w:rPr>
              <w:t>729</w:t>
            </w:r>
          </w:p>
        </w:tc>
        <w:tc>
          <w:tcPr>
            <w:tcW w:w="140" w:type="dxa"/>
            <w:vAlign w:val="bottom"/>
            <w:tcBorders>
              <w:bottom w:val="single" w:sz="8" w:color="EAF1DD"/>
            </w:tcBorders>
            <w:shd w:val="clear" w:color="auto" w:fill="EAF1DD"/>
          </w:tcPr>
          <w:p>
            <w:pPr>
              <w:spacing w:after="0"/>
              <w:rPr>
                <w:sz w:val="17"/>
                <w:szCs w:val="17"/>
                <w:color w:val="auto"/>
              </w:rPr>
            </w:pPr>
          </w:p>
        </w:tc>
        <w:tc>
          <w:tcPr>
            <w:tcW w:w="520" w:type="dxa"/>
            <w:vAlign w:val="bottom"/>
            <w:tcBorders>
              <w:bottom w:val="single" w:sz="8" w:color="auto"/>
            </w:tcBorders>
            <w:shd w:val="clear" w:color="auto" w:fill="EAF1DD"/>
          </w:tcPr>
          <w:p>
            <w:pPr>
              <w:spacing w:after="0"/>
              <w:rPr>
                <w:sz w:val="17"/>
                <w:szCs w:val="17"/>
                <w:color w:val="auto"/>
              </w:rPr>
            </w:pPr>
          </w:p>
        </w:tc>
        <w:tc>
          <w:tcPr>
            <w:tcW w:w="1140" w:type="dxa"/>
            <w:vAlign w:val="bottom"/>
            <w:tcBorders>
              <w:bottom w:val="single" w:sz="8" w:color="auto"/>
            </w:tcBorders>
            <w:shd w:val="clear" w:color="auto" w:fill="EAF1DD"/>
          </w:tcPr>
          <w:p>
            <w:pPr>
              <w:jc w:val="right"/>
              <w:ind w:right="331"/>
              <w:spacing w:after="0" w:line="202" w:lineRule="exact"/>
              <w:rPr>
                <w:sz w:val="20"/>
                <w:szCs w:val="20"/>
                <w:color w:val="auto"/>
              </w:rPr>
            </w:pPr>
            <w:r>
              <w:rPr>
                <w:rFonts w:ascii="Arial" w:cs="Arial" w:eastAsia="Arial" w:hAnsi="Arial"/>
                <w:sz w:val="18"/>
                <w:szCs w:val="18"/>
                <w:color w:val="auto"/>
              </w:rPr>
              <w:t>446</w:t>
            </w:r>
          </w:p>
        </w:tc>
        <w:tc>
          <w:tcPr>
            <w:tcW w:w="40" w:type="dxa"/>
            <w:vAlign w:val="bottom"/>
            <w:tcBorders>
              <w:right w:val="single" w:sz="8" w:color="808080"/>
            </w:tcBorders>
          </w:tcPr>
          <w:p>
            <w:pPr>
              <w:spacing w:after="0"/>
              <w:rPr>
                <w:sz w:val="17"/>
                <w:szCs w:val="17"/>
                <w:color w:val="auto"/>
              </w:rPr>
            </w:pPr>
          </w:p>
        </w:tc>
      </w:tr>
      <w:tr>
        <w:trPr>
          <w:trHeight w:val="210"/>
        </w:trPr>
        <w:tc>
          <w:tcPr>
            <w:tcW w:w="526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40,915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33,997</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spacing w:after="0"/>
              <w:rPr>
                <w:sz w:val="18"/>
                <w:szCs w:val="18"/>
                <w:color w:val="auto"/>
              </w:rPr>
            </w:pP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Long-term inventories, net</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2,617</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2,965</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Intangibles, net</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3,247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2,745</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726</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913</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EAF1DD"/>
          </w:tcPr>
          <w:p>
            <w:pPr>
              <w:spacing w:after="0"/>
              <w:rPr>
                <w:sz w:val="18"/>
                <w:szCs w:val="18"/>
                <w:color w:val="auto"/>
              </w:rPr>
            </w:pPr>
          </w:p>
        </w:tc>
        <w:tc>
          <w:tcPr>
            <w:tcW w:w="1300" w:type="dxa"/>
            <w:vAlign w:val="bottom"/>
            <w:tcBorders>
              <w:bottom w:val="single" w:sz="8" w:color="auto"/>
            </w:tcBorders>
            <w:shd w:val="clear" w:color="auto" w:fill="EAF1DD"/>
          </w:tcPr>
          <w:p>
            <w:pPr>
              <w:jc w:val="right"/>
              <w:ind w:right="33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EAF1DD"/>
          </w:tcPr>
          <w:p>
            <w:pPr>
              <w:spacing w:after="0"/>
              <w:rPr>
                <w:sz w:val="18"/>
                <w:szCs w:val="18"/>
                <w:color w:val="auto"/>
              </w:rPr>
            </w:pPr>
          </w:p>
        </w:tc>
        <w:tc>
          <w:tcPr>
            <w:tcW w:w="520" w:type="dxa"/>
            <w:vAlign w:val="bottom"/>
            <w:tcBorders>
              <w:bottom w:val="single" w:sz="8" w:color="auto"/>
            </w:tcBorders>
            <w:shd w:val="clear" w:color="auto" w:fill="EAF1DD"/>
          </w:tcPr>
          <w:p>
            <w:pPr>
              <w:spacing w:after="0"/>
              <w:rPr>
                <w:sz w:val="18"/>
                <w:szCs w:val="18"/>
                <w:color w:val="auto"/>
              </w:rPr>
            </w:pPr>
          </w:p>
        </w:tc>
        <w:tc>
          <w:tcPr>
            <w:tcW w:w="1140" w:type="dxa"/>
            <w:vAlign w:val="bottom"/>
            <w:tcBorders>
              <w:bottom w:val="single" w:sz="8" w:color="auto"/>
            </w:tcBorders>
            <w:shd w:val="clear" w:color="auto" w:fill="EAF1DD"/>
          </w:tcPr>
          <w:p>
            <w:pPr>
              <w:jc w:val="right"/>
              <w:ind w:right="331"/>
              <w:spacing w:after="0"/>
              <w:rPr>
                <w:sz w:val="20"/>
                <w:szCs w:val="20"/>
                <w:color w:val="auto"/>
              </w:rPr>
            </w:pPr>
            <w:r>
              <w:rPr>
                <w:rFonts w:ascii="Arial" w:cs="Arial" w:eastAsia="Arial" w:hAnsi="Arial"/>
                <w:sz w:val="18"/>
                <w:szCs w:val="18"/>
                <w:color w:val="auto"/>
              </w:rPr>
              <w:t>18</w:t>
            </w:r>
          </w:p>
        </w:tc>
        <w:tc>
          <w:tcPr>
            <w:tcW w:w="40" w:type="dxa"/>
            <w:vAlign w:val="bottom"/>
            <w:tcBorders>
              <w:right w:val="single" w:sz="8" w:color="808080"/>
            </w:tcBorders>
          </w:tcPr>
          <w:p>
            <w:pPr>
              <w:spacing w:after="0"/>
              <w:rPr>
                <w:sz w:val="18"/>
                <w:szCs w:val="18"/>
                <w:color w:val="auto"/>
              </w:rPr>
            </w:pPr>
          </w:p>
        </w:tc>
      </w:tr>
      <w:tr>
        <w:trPr>
          <w:trHeight w:val="183"/>
        </w:trPr>
        <w:tc>
          <w:tcPr>
            <w:tcW w:w="5260" w:type="dxa"/>
            <w:vAlign w:val="bottom"/>
            <w:tcBorders>
              <w:left w:val="single" w:sz="8" w:color="808080"/>
            </w:tcBorders>
          </w:tcPr>
          <w:p>
            <w:pPr>
              <w:ind w:left="260"/>
              <w:spacing w:after="0" w:line="182" w:lineRule="exact"/>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1"/>
              <w:spacing w:after="0" w:line="182" w:lineRule="exact"/>
              <w:rPr>
                <w:sz w:val="20"/>
                <w:szCs w:val="20"/>
                <w:color w:val="auto"/>
              </w:rPr>
            </w:pPr>
            <w:r>
              <w:rPr>
                <w:rFonts w:ascii="Arial" w:cs="Arial" w:eastAsia="Arial" w:hAnsi="Arial"/>
                <w:sz w:val="18"/>
                <w:szCs w:val="18"/>
                <w:color w:val="auto"/>
              </w:rPr>
              <w:t>49,033</w:t>
            </w:r>
          </w:p>
        </w:tc>
        <w:tc>
          <w:tcPr>
            <w:tcW w:w="140" w:type="dxa"/>
            <w:vAlign w:val="bottom"/>
          </w:tcPr>
          <w:p>
            <w:pPr>
              <w:spacing w:after="0"/>
              <w:rPr>
                <w:sz w:val="15"/>
                <w:szCs w:val="15"/>
                <w:color w:val="auto"/>
              </w:rPr>
            </w:pPr>
          </w:p>
        </w:tc>
        <w:tc>
          <w:tcPr>
            <w:tcW w:w="520" w:type="dxa"/>
            <w:vAlign w:val="bottom"/>
            <w:tcBorders>
              <w:bottom w:val="single" w:sz="8" w:color="auto"/>
            </w:tcBorders>
          </w:tcPr>
          <w:p>
            <w:pPr>
              <w:ind w:left="1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1"/>
              <w:spacing w:after="0" w:line="182" w:lineRule="exact"/>
              <w:rPr>
                <w:sz w:val="20"/>
                <w:szCs w:val="20"/>
                <w:color w:val="auto"/>
              </w:rPr>
            </w:pPr>
            <w:r>
              <w:rPr>
                <w:rFonts w:ascii="Arial" w:cs="Arial" w:eastAsia="Arial" w:hAnsi="Arial"/>
                <w:sz w:val="18"/>
                <w:szCs w:val="18"/>
                <w:color w:val="auto"/>
              </w:rPr>
              <w:t>43,981</w:t>
            </w:r>
          </w:p>
        </w:tc>
        <w:tc>
          <w:tcPr>
            <w:tcW w:w="40" w:type="dxa"/>
            <w:vAlign w:val="bottom"/>
            <w:tcBorders>
              <w:right w:val="single" w:sz="8" w:color="808080"/>
            </w:tcBorders>
          </w:tcPr>
          <w:p>
            <w:pPr>
              <w:spacing w:after="0"/>
              <w:rPr>
                <w:sz w:val="15"/>
                <w:szCs w:val="15"/>
                <w:color w:val="auto"/>
              </w:rPr>
            </w:pPr>
          </w:p>
        </w:tc>
      </w:tr>
      <w:tr>
        <w:trPr>
          <w:trHeight w:val="20"/>
        </w:trPr>
        <w:tc>
          <w:tcPr>
            <w:tcW w:w="5260" w:type="dxa"/>
            <w:vAlign w:val="bottom"/>
            <w:tcBorders>
              <w:left w:val="single" w:sz="8" w:color="808080"/>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197"/>
        </w:trPr>
        <w:tc>
          <w:tcPr>
            <w:tcW w:w="5260" w:type="dxa"/>
            <w:vAlign w:val="bottom"/>
            <w:tcBorders>
              <w:left w:val="single" w:sz="8" w:color="808080"/>
            </w:tcBorders>
            <w:shd w:val="clear" w:color="auto" w:fill="EAF1DD"/>
          </w:tcPr>
          <w:p>
            <w:pPr>
              <w:spacing w:after="0"/>
              <w:rPr>
                <w:sz w:val="17"/>
                <w:szCs w:val="17"/>
                <w:color w:val="auto"/>
              </w:rPr>
            </w:pPr>
          </w:p>
        </w:tc>
        <w:tc>
          <w:tcPr>
            <w:tcW w:w="360" w:type="dxa"/>
            <w:vAlign w:val="bottom"/>
            <w:shd w:val="clear" w:color="auto" w:fill="EAF1DD"/>
          </w:tcPr>
          <w:p>
            <w:pPr>
              <w:spacing w:after="0"/>
              <w:rPr>
                <w:sz w:val="17"/>
                <w:szCs w:val="17"/>
                <w:color w:val="auto"/>
              </w:rPr>
            </w:pPr>
          </w:p>
        </w:tc>
        <w:tc>
          <w:tcPr>
            <w:tcW w:w="1300" w:type="dxa"/>
            <w:vAlign w:val="bottom"/>
            <w:shd w:val="clear" w:color="auto" w:fill="EAF1DD"/>
          </w:tcPr>
          <w:p>
            <w:pPr>
              <w:spacing w:after="0"/>
              <w:rPr>
                <w:sz w:val="17"/>
                <w:szCs w:val="17"/>
                <w:color w:val="auto"/>
              </w:rPr>
            </w:pPr>
          </w:p>
        </w:tc>
        <w:tc>
          <w:tcPr>
            <w:tcW w:w="140" w:type="dxa"/>
            <w:vAlign w:val="bottom"/>
            <w:shd w:val="clear" w:color="auto" w:fill="EAF1DD"/>
          </w:tcPr>
          <w:p>
            <w:pPr>
              <w:spacing w:after="0"/>
              <w:rPr>
                <w:sz w:val="17"/>
                <w:szCs w:val="17"/>
                <w:color w:val="auto"/>
              </w:rPr>
            </w:pPr>
          </w:p>
        </w:tc>
        <w:tc>
          <w:tcPr>
            <w:tcW w:w="520" w:type="dxa"/>
            <w:vAlign w:val="bottom"/>
            <w:shd w:val="clear" w:color="auto" w:fill="EAF1DD"/>
          </w:tcPr>
          <w:p>
            <w:pPr>
              <w:spacing w:after="0"/>
              <w:rPr>
                <w:sz w:val="17"/>
                <w:szCs w:val="17"/>
                <w:color w:val="auto"/>
              </w:rPr>
            </w:pPr>
          </w:p>
        </w:tc>
        <w:tc>
          <w:tcPr>
            <w:tcW w:w="1140" w:type="dxa"/>
            <w:vAlign w:val="bottom"/>
            <w:shd w:val="clear" w:color="auto" w:fill="EAF1DD"/>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6"/>
        </w:trPr>
        <w:tc>
          <w:tcPr>
            <w:tcW w:w="5260" w:type="dxa"/>
            <w:vAlign w:val="bottom"/>
            <w:tcBorders>
              <w:left w:val="single" w:sz="8" w:color="808080"/>
            </w:tcBorders>
          </w:tcPr>
          <w:p>
            <w:pPr>
              <w:ind w:left="6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2,357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2,362</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3,774</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4,573</w:t>
            </w:r>
          </w:p>
        </w:tc>
        <w:tc>
          <w:tcPr>
            <w:tcW w:w="40" w:type="dxa"/>
            <w:vAlign w:val="bottom"/>
            <w:tcBorders>
              <w:right w:val="single" w:sz="8" w:color="808080"/>
            </w:tcBorders>
          </w:tcPr>
          <w:p>
            <w:pPr>
              <w:spacing w:after="0"/>
              <w:rPr>
                <w:sz w:val="18"/>
                <w:szCs w:val="18"/>
                <w:color w:val="auto"/>
              </w:rPr>
            </w:pPr>
          </w:p>
        </w:tc>
      </w:tr>
      <w:tr>
        <w:trPr>
          <w:trHeight w:val="203"/>
        </w:trPr>
        <w:tc>
          <w:tcPr>
            <w:tcW w:w="5260" w:type="dxa"/>
            <w:vAlign w:val="bottom"/>
            <w:tcBorders>
              <w:left w:val="single" w:sz="8" w:color="808080"/>
            </w:tcBorders>
          </w:tcPr>
          <w:p>
            <w:pPr>
              <w:ind w:left="80"/>
              <w:spacing w:after="0" w:line="202" w:lineRule="exact"/>
              <w:rPr>
                <w:sz w:val="20"/>
                <w:szCs w:val="20"/>
                <w:color w:val="auto"/>
              </w:rPr>
            </w:pPr>
            <w:r>
              <w:rPr>
                <w:rFonts w:ascii="Arial" w:cs="Arial" w:eastAsia="Arial" w:hAnsi="Arial"/>
                <w:sz w:val="18"/>
                <w:szCs w:val="18"/>
                <w:color w:val="auto"/>
              </w:rPr>
              <w:t>Deferred product revenue</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3,704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4,306</w:t>
            </w:r>
          </w:p>
        </w:tc>
        <w:tc>
          <w:tcPr>
            <w:tcW w:w="40" w:type="dxa"/>
            <w:vAlign w:val="bottom"/>
            <w:tcBorders>
              <w:right w:val="single" w:sz="8" w:color="808080"/>
            </w:tcBorders>
          </w:tcPr>
          <w:p>
            <w:pPr>
              <w:spacing w:after="0"/>
              <w:rPr>
                <w:sz w:val="17"/>
                <w:szCs w:val="17"/>
                <w:color w:val="auto"/>
              </w:rPr>
            </w:pPr>
          </w:p>
        </w:tc>
      </w:tr>
      <w:tr>
        <w:trPr>
          <w:trHeight w:val="210"/>
        </w:trPr>
        <w:tc>
          <w:tcPr>
            <w:tcW w:w="526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9,835</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11,241</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584</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EAF1DD"/>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421</w:t>
            </w:r>
          </w:p>
        </w:tc>
        <w:tc>
          <w:tcPr>
            <w:tcW w:w="40" w:type="dxa"/>
            <w:vAlign w:val="bottom"/>
            <w:tcBorders>
              <w:right w:val="single" w:sz="8" w:color="808080"/>
            </w:tcBorders>
          </w:tcPr>
          <w:p>
            <w:pPr>
              <w:spacing w:after="0"/>
              <w:rPr>
                <w:sz w:val="18"/>
                <w:szCs w:val="18"/>
                <w:color w:val="auto"/>
              </w:rPr>
            </w:pPr>
          </w:p>
        </w:tc>
      </w:tr>
      <w:tr>
        <w:trPr>
          <w:trHeight w:val="183"/>
        </w:trPr>
        <w:tc>
          <w:tcPr>
            <w:tcW w:w="5260" w:type="dxa"/>
            <w:vAlign w:val="bottom"/>
            <w:tcBorders>
              <w:left w:val="single" w:sz="8" w:color="808080"/>
              <w:bottom w:val="single" w:sz="8" w:color="EAF1DD"/>
            </w:tcBorders>
            <w:shd w:val="clear" w:color="auto" w:fill="EAF1DD"/>
          </w:tcPr>
          <w:p>
            <w:pPr>
              <w:ind w:left="260"/>
              <w:spacing w:after="0" w:line="182"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EAF1DD"/>
          </w:tcPr>
          <w:p>
            <w:pPr>
              <w:spacing w:after="0"/>
              <w:rPr>
                <w:sz w:val="15"/>
                <w:szCs w:val="15"/>
                <w:color w:val="auto"/>
              </w:rPr>
            </w:pPr>
          </w:p>
        </w:tc>
        <w:tc>
          <w:tcPr>
            <w:tcW w:w="1300" w:type="dxa"/>
            <w:vAlign w:val="bottom"/>
            <w:tcBorders>
              <w:bottom w:val="single" w:sz="8" w:color="auto"/>
            </w:tcBorders>
            <w:shd w:val="clear" w:color="auto" w:fill="EAF1DD"/>
          </w:tcPr>
          <w:p>
            <w:pPr>
              <w:jc w:val="right"/>
              <w:ind w:right="331"/>
              <w:spacing w:after="0" w:line="182" w:lineRule="exact"/>
              <w:rPr>
                <w:sz w:val="20"/>
                <w:szCs w:val="20"/>
                <w:color w:val="auto"/>
              </w:rPr>
            </w:pPr>
            <w:r>
              <w:rPr>
                <w:rFonts w:ascii="Arial" w:cs="Arial" w:eastAsia="Arial" w:hAnsi="Arial"/>
                <w:sz w:val="18"/>
                <w:szCs w:val="18"/>
                <w:color w:val="auto"/>
              </w:rPr>
              <w:t>10,928</w:t>
            </w:r>
          </w:p>
        </w:tc>
        <w:tc>
          <w:tcPr>
            <w:tcW w:w="140" w:type="dxa"/>
            <w:vAlign w:val="bottom"/>
            <w:tcBorders>
              <w:bottom w:val="single" w:sz="8" w:color="EAF1DD"/>
            </w:tcBorders>
            <w:shd w:val="clear" w:color="auto" w:fill="EAF1DD"/>
          </w:tcPr>
          <w:p>
            <w:pPr>
              <w:spacing w:after="0"/>
              <w:rPr>
                <w:sz w:val="15"/>
                <w:szCs w:val="15"/>
                <w:color w:val="auto"/>
              </w:rPr>
            </w:pPr>
          </w:p>
        </w:tc>
        <w:tc>
          <w:tcPr>
            <w:tcW w:w="520" w:type="dxa"/>
            <w:vAlign w:val="bottom"/>
            <w:tcBorders>
              <w:bottom w:val="single" w:sz="8" w:color="auto"/>
            </w:tcBorders>
            <w:shd w:val="clear" w:color="auto" w:fill="EAF1DD"/>
          </w:tcPr>
          <w:p>
            <w:pPr>
              <w:spacing w:after="0"/>
              <w:rPr>
                <w:sz w:val="15"/>
                <w:szCs w:val="15"/>
                <w:color w:val="auto"/>
              </w:rPr>
            </w:pPr>
          </w:p>
        </w:tc>
        <w:tc>
          <w:tcPr>
            <w:tcW w:w="1140" w:type="dxa"/>
            <w:vAlign w:val="bottom"/>
            <w:tcBorders>
              <w:bottom w:val="single" w:sz="8" w:color="auto"/>
            </w:tcBorders>
            <w:shd w:val="clear" w:color="auto" w:fill="EAF1DD"/>
          </w:tcPr>
          <w:p>
            <w:pPr>
              <w:jc w:val="right"/>
              <w:ind w:right="331"/>
              <w:spacing w:after="0" w:line="182" w:lineRule="exact"/>
              <w:rPr>
                <w:sz w:val="20"/>
                <w:szCs w:val="20"/>
                <w:color w:val="auto"/>
              </w:rPr>
            </w:pPr>
            <w:r>
              <w:rPr>
                <w:rFonts w:ascii="Arial" w:cs="Arial" w:eastAsia="Arial" w:hAnsi="Arial"/>
                <w:sz w:val="18"/>
                <w:szCs w:val="18"/>
                <w:color w:val="auto"/>
              </w:rPr>
              <w:t>12,246</w:t>
            </w:r>
          </w:p>
        </w:tc>
        <w:tc>
          <w:tcPr>
            <w:tcW w:w="40" w:type="dxa"/>
            <w:vAlign w:val="bottom"/>
            <w:tcBorders>
              <w:right w:val="single" w:sz="8" w:color="808080"/>
            </w:tcBorders>
          </w:tcPr>
          <w:p>
            <w:pPr>
              <w:spacing w:after="0"/>
              <w:rPr>
                <w:sz w:val="15"/>
                <w:szCs w:val="15"/>
                <w:color w:val="auto"/>
              </w:rPr>
            </w:pPr>
          </w:p>
        </w:tc>
      </w:tr>
      <w:tr>
        <w:trPr>
          <w:trHeight w:val="210"/>
        </w:trPr>
        <w:tc>
          <w:tcPr>
            <w:tcW w:w="5260" w:type="dxa"/>
            <w:vAlign w:val="bottom"/>
            <w:tcBorders>
              <w:left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02"/>
        </w:trPr>
        <w:tc>
          <w:tcPr>
            <w:tcW w:w="5260" w:type="dxa"/>
            <w:vAlign w:val="bottom"/>
            <w:tcBorders>
              <w:left w:val="single" w:sz="8" w:color="808080"/>
            </w:tcBorders>
          </w:tcPr>
          <w:p>
            <w:pPr>
              <w:ind w:left="80"/>
              <w:spacing w:after="0" w:line="201" w:lineRule="exact"/>
              <w:rPr>
                <w:sz w:val="20"/>
                <w:szCs w:val="20"/>
                <w:color w:val="auto"/>
              </w:rPr>
            </w:pPr>
            <w:r>
              <w:rPr>
                <w:rFonts w:ascii="Arial" w:cs="Arial" w:eastAsia="Arial" w:hAnsi="Arial"/>
                <w:sz w:val="18"/>
                <w:szCs w:val="18"/>
                <w:color w:val="auto"/>
                <w:w w:val="99"/>
              </w:rPr>
              <w:t>Common stock, par value $0.001, 50,000,000 shares authorized,</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6"/>
        </w:trPr>
        <w:tc>
          <w:tcPr>
            <w:tcW w:w="5260" w:type="dxa"/>
            <w:vAlign w:val="bottom"/>
            <w:tcBorders>
              <w:left w:val="single" w:sz="8" w:color="808080"/>
            </w:tcBorders>
          </w:tcPr>
          <w:p>
            <w:pPr>
              <w:ind w:left="220"/>
              <w:spacing w:after="0"/>
              <w:rPr>
                <w:sz w:val="20"/>
                <w:szCs w:val="20"/>
                <w:color w:val="auto"/>
              </w:rPr>
            </w:pPr>
            <w:r>
              <w:rPr>
                <w:rFonts w:ascii="Arial" w:cs="Arial" w:eastAsia="Arial" w:hAnsi="Arial"/>
                <w:sz w:val="18"/>
                <w:szCs w:val="18"/>
                <w:color w:val="auto"/>
              </w:rPr>
              <w:t>9,092,925 and 8,929,439 shares issued and outstanding,</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30"/>
        </w:trPr>
        <w:tc>
          <w:tcPr>
            <w:tcW w:w="5260" w:type="dxa"/>
            <w:vAlign w:val="bottom"/>
            <w:tcBorders>
              <w:left w:val="single" w:sz="8" w:color="808080"/>
            </w:tcBorders>
          </w:tcPr>
          <w:p>
            <w:pPr>
              <w:ind w:left="22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tcPr>
          <w:p>
            <w:pPr>
              <w:jc w:val="right"/>
              <w:ind w:right="33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808080"/>
            </w:tcBorders>
          </w:tcPr>
          <w:p>
            <w:pPr>
              <w:spacing w:after="0"/>
              <w:rPr>
                <w:sz w:val="20"/>
                <w:szCs w:val="20"/>
                <w:color w:val="auto"/>
              </w:rPr>
            </w:pPr>
          </w:p>
        </w:tc>
      </w:tr>
      <w:tr>
        <w:trPr>
          <w:trHeight w:val="216"/>
        </w:trPr>
        <w:tc>
          <w:tcPr>
            <w:tcW w:w="5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AF1DD"/>
          </w:tcPr>
          <w:p>
            <w:pPr>
              <w:spacing w:after="0"/>
              <w:rPr>
                <w:sz w:val="18"/>
                <w:szCs w:val="18"/>
                <w:color w:val="auto"/>
              </w:rPr>
            </w:pPr>
          </w:p>
        </w:tc>
        <w:tc>
          <w:tcPr>
            <w:tcW w:w="130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39,935</w:t>
            </w: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1140" w:type="dxa"/>
            <w:vAlign w:val="bottom"/>
            <w:shd w:val="clear" w:color="auto" w:fill="EAF1DD"/>
          </w:tcPr>
          <w:p>
            <w:pPr>
              <w:jc w:val="right"/>
              <w:ind w:right="331"/>
              <w:spacing w:after="0"/>
              <w:rPr>
                <w:sz w:val="20"/>
                <w:szCs w:val="20"/>
                <w:color w:val="auto"/>
              </w:rPr>
            </w:pPr>
            <w:r>
              <w:rPr>
                <w:rFonts w:ascii="Arial" w:cs="Arial" w:eastAsia="Arial" w:hAnsi="Arial"/>
                <w:sz w:val="18"/>
                <w:szCs w:val="18"/>
                <w:color w:val="auto"/>
              </w:rPr>
              <w:t>39,073</w:t>
            </w:r>
          </w:p>
        </w:tc>
        <w:tc>
          <w:tcPr>
            <w:tcW w:w="40" w:type="dxa"/>
            <w:vAlign w:val="bottom"/>
            <w:tcBorders>
              <w:right w:val="single" w:sz="8" w:color="808080"/>
            </w:tcBorders>
          </w:tcPr>
          <w:p>
            <w:pPr>
              <w:spacing w:after="0"/>
              <w:rPr>
                <w:sz w:val="18"/>
                <w:szCs w:val="18"/>
                <w:color w:val="auto"/>
              </w:rPr>
            </w:pPr>
          </w:p>
        </w:tc>
      </w:tr>
      <w:tr>
        <w:trPr>
          <w:trHeight w:val="216"/>
        </w:trPr>
        <w:tc>
          <w:tcPr>
            <w:tcW w:w="526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(1,839)</w:t>
            </w:r>
          </w:p>
        </w:tc>
        <w:tc>
          <w:tcPr>
            <w:tcW w:w="140" w:type="dxa"/>
            <w:vAlign w:val="bottom"/>
            <w:tcBorders>
              <w:bottom w:val="single" w:sz="8" w:color="EAF1DD"/>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(7,347)</w:t>
            </w:r>
          </w:p>
        </w:tc>
        <w:tc>
          <w:tcPr>
            <w:tcW w:w="40" w:type="dxa"/>
            <w:vAlign w:val="bottom"/>
            <w:tcBorders>
              <w:right w:val="single" w:sz="8" w:color="808080"/>
            </w:tcBorders>
          </w:tcPr>
          <w:p>
            <w:pPr>
              <w:spacing w:after="0"/>
              <w:rPr>
                <w:sz w:val="18"/>
                <w:szCs w:val="18"/>
                <w:color w:val="auto"/>
              </w:rPr>
            </w:pPr>
          </w:p>
        </w:tc>
      </w:tr>
      <w:tr>
        <w:trPr>
          <w:trHeight w:val="183"/>
        </w:trPr>
        <w:tc>
          <w:tcPr>
            <w:tcW w:w="5260" w:type="dxa"/>
            <w:vAlign w:val="bottom"/>
            <w:tcBorders>
              <w:left w:val="single" w:sz="8" w:color="808080"/>
              <w:bottom w:val="single" w:sz="8" w:color="EAF1DD"/>
            </w:tcBorders>
            <w:shd w:val="clear" w:color="auto" w:fill="EAF1DD"/>
          </w:tcPr>
          <w:p>
            <w:pPr>
              <w:ind w:left="260"/>
              <w:spacing w:after="0" w:line="182" w:lineRule="exact"/>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shd w:val="clear" w:color="auto" w:fill="EAF1DD"/>
          </w:tcPr>
          <w:p>
            <w:pPr>
              <w:spacing w:after="0"/>
              <w:rPr>
                <w:sz w:val="15"/>
                <w:szCs w:val="15"/>
                <w:color w:val="auto"/>
              </w:rPr>
            </w:pPr>
          </w:p>
        </w:tc>
        <w:tc>
          <w:tcPr>
            <w:tcW w:w="1300" w:type="dxa"/>
            <w:vAlign w:val="bottom"/>
            <w:tcBorders>
              <w:bottom w:val="single" w:sz="8" w:color="auto"/>
            </w:tcBorders>
            <w:shd w:val="clear" w:color="auto" w:fill="EAF1DD"/>
          </w:tcPr>
          <w:p>
            <w:pPr>
              <w:jc w:val="right"/>
              <w:ind w:right="331"/>
              <w:spacing w:after="0" w:line="182" w:lineRule="exact"/>
              <w:rPr>
                <w:sz w:val="20"/>
                <w:szCs w:val="20"/>
                <w:color w:val="auto"/>
              </w:rPr>
            </w:pPr>
            <w:r>
              <w:rPr>
                <w:rFonts w:ascii="Arial" w:cs="Arial" w:eastAsia="Arial" w:hAnsi="Arial"/>
                <w:sz w:val="18"/>
                <w:szCs w:val="18"/>
                <w:color w:val="auto"/>
              </w:rPr>
              <w:t>38,105</w:t>
            </w:r>
          </w:p>
        </w:tc>
        <w:tc>
          <w:tcPr>
            <w:tcW w:w="140" w:type="dxa"/>
            <w:vAlign w:val="bottom"/>
            <w:tcBorders>
              <w:bottom w:val="single" w:sz="8" w:color="EAF1DD"/>
            </w:tcBorders>
            <w:shd w:val="clear" w:color="auto" w:fill="EAF1DD"/>
          </w:tcPr>
          <w:p>
            <w:pPr>
              <w:spacing w:after="0"/>
              <w:rPr>
                <w:sz w:val="15"/>
                <w:szCs w:val="15"/>
                <w:color w:val="auto"/>
              </w:rPr>
            </w:pPr>
          </w:p>
        </w:tc>
        <w:tc>
          <w:tcPr>
            <w:tcW w:w="520" w:type="dxa"/>
            <w:vAlign w:val="bottom"/>
            <w:tcBorders>
              <w:bottom w:val="single" w:sz="8" w:color="auto"/>
            </w:tcBorders>
            <w:shd w:val="clear" w:color="auto" w:fill="EAF1DD"/>
          </w:tcPr>
          <w:p>
            <w:pPr>
              <w:spacing w:after="0"/>
              <w:rPr>
                <w:sz w:val="15"/>
                <w:szCs w:val="15"/>
                <w:color w:val="auto"/>
              </w:rPr>
            </w:pPr>
          </w:p>
        </w:tc>
        <w:tc>
          <w:tcPr>
            <w:tcW w:w="1140" w:type="dxa"/>
            <w:vAlign w:val="bottom"/>
            <w:tcBorders>
              <w:bottom w:val="single" w:sz="8" w:color="auto"/>
            </w:tcBorders>
            <w:shd w:val="clear" w:color="auto" w:fill="EAF1DD"/>
          </w:tcPr>
          <w:p>
            <w:pPr>
              <w:jc w:val="right"/>
              <w:ind w:right="331"/>
              <w:spacing w:after="0" w:line="182" w:lineRule="exact"/>
              <w:rPr>
                <w:sz w:val="20"/>
                <w:szCs w:val="20"/>
                <w:color w:val="auto"/>
              </w:rPr>
            </w:pPr>
            <w:r>
              <w:rPr>
                <w:rFonts w:ascii="Arial" w:cs="Arial" w:eastAsia="Arial" w:hAnsi="Arial"/>
                <w:sz w:val="18"/>
                <w:szCs w:val="18"/>
                <w:color w:val="auto"/>
              </w:rPr>
              <w:t>31,735</w:t>
            </w:r>
          </w:p>
        </w:tc>
        <w:tc>
          <w:tcPr>
            <w:tcW w:w="40" w:type="dxa"/>
            <w:vAlign w:val="bottom"/>
            <w:tcBorders>
              <w:right w:val="single" w:sz="8" w:color="808080"/>
            </w:tcBorders>
          </w:tcPr>
          <w:p>
            <w:pPr>
              <w:spacing w:after="0"/>
              <w:rPr>
                <w:sz w:val="15"/>
                <w:szCs w:val="15"/>
                <w:color w:val="auto"/>
              </w:rPr>
            </w:pPr>
          </w:p>
        </w:tc>
      </w:tr>
      <w:tr>
        <w:trPr>
          <w:trHeight w:val="183"/>
        </w:trPr>
        <w:tc>
          <w:tcPr>
            <w:tcW w:w="5260" w:type="dxa"/>
            <w:vAlign w:val="bottom"/>
            <w:tcBorders>
              <w:left w:val="single" w:sz="8" w:color="808080"/>
            </w:tcBorders>
          </w:tcPr>
          <w:p>
            <w:pPr>
              <w:ind w:left="26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360" w:type="dxa"/>
            <w:vAlign w:val="bottom"/>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31"/>
              <w:spacing w:after="0" w:line="182" w:lineRule="exact"/>
              <w:rPr>
                <w:sz w:val="20"/>
                <w:szCs w:val="20"/>
                <w:color w:val="auto"/>
              </w:rPr>
            </w:pPr>
            <w:r>
              <w:rPr>
                <w:rFonts w:ascii="Arial" w:cs="Arial" w:eastAsia="Arial" w:hAnsi="Arial"/>
                <w:sz w:val="18"/>
                <w:szCs w:val="18"/>
                <w:color w:val="auto"/>
              </w:rPr>
              <w:t>49,033</w:t>
            </w:r>
          </w:p>
        </w:tc>
        <w:tc>
          <w:tcPr>
            <w:tcW w:w="66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1"/>
              <w:spacing w:after="0" w:line="182" w:lineRule="exact"/>
              <w:rPr>
                <w:sz w:val="20"/>
                <w:szCs w:val="20"/>
                <w:color w:val="auto"/>
              </w:rPr>
            </w:pPr>
            <w:r>
              <w:rPr>
                <w:rFonts w:ascii="Arial" w:cs="Arial" w:eastAsia="Arial" w:hAnsi="Arial"/>
                <w:sz w:val="18"/>
                <w:szCs w:val="18"/>
                <w:color w:val="auto"/>
              </w:rPr>
              <w:t>43,981</w:t>
            </w:r>
          </w:p>
        </w:tc>
        <w:tc>
          <w:tcPr>
            <w:tcW w:w="40" w:type="dxa"/>
            <w:vAlign w:val="bottom"/>
            <w:tcBorders>
              <w:right w:val="single" w:sz="8" w:color="808080"/>
            </w:tcBorders>
          </w:tcPr>
          <w:p>
            <w:pPr>
              <w:spacing w:after="0"/>
              <w:rPr>
                <w:sz w:val="15"/>
                <w:szCs w:val="15"/>
                <w:color w:val="auto"/>
              </w:rPr>
            </w:pPr>
          </w:p>
        </w:tc>
      </w:tr>
      <w:tr>
        <w:trPr>
          <w:trHeight w:val="20"/>
        </w:trPr>
        <w:tc>
          <w:tcPr>
            <w:tcW w:w="5260" w:type="dxa"/>
            <w:vAlign w:val="bottom"/>
            <w:tcBorders>
              <w:left w:val="single" w:sz="8" w:color="808080"/>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20"/>
        </w:trPr>
        <w:tc>
          <w:tcPr>
            <w:tcW w:w="5260" w:type="dxa"/>
            <w:vAlign w:val="bottom"/>
            <w:tcBorders>
              <w:left w:val="single" w:sz="8" w:color="808080"/>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3" w:name="page4"/>
    <w:bookmarkEnd w:id="3"/>
    <w:p>
      <w:pPr>
        <w:jc w:val="center"/>
        <w:ind w:left="1300" w:right="144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OPERATIONS (Dollars in thousands, except per share amounts)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680" w:type="dxa"/>
            <w:vAlign w:val="bottom"/>
            <w:tcBorders>
              <w:top w:val="single" w:sz="8" w:color="808080"/>
              <w:left w:val="single" w:sz="8" w:color="808080"/>
            </w:tcBorders>
          </w:tcPr>
          <w:p>
            <w:pPr>
              <w:spacing w:after="0"/>
              <w:rPr>
                <w:sz w:val="19"/>
                <w:szCs w:val="19"/>
                <w:color w:val="auto"/>
              </w:rPr>
            </w:pPr>
          </w:p>
        </w:tc>
        <w:tc>
          <w:tcPr>
            <w:tcW w:w="280" w:type="dxa"/>
            <w:vAlign w:val="bottom"/>
            <w:tcBorders>
              <w:top w:val="single" w:sz="8" w:color="808080"/>
            </w:tcBorders>
          </w:tcPr>
          <w:p>
            <w:pPr>
              <w:spacing w:after="0"/>
              <w:rPr>
                <w:sz w:val="19"/>
                <w:szCs w:val="19"/>
                <w:color w:val="auto"/>
              </w:rPr>
            </w:pPr>
          </w:p>
        </w:tc>
        <w:tc>
          <w:tcPr>
            <w:tcW w:w="2960" w:type="dxa"/>
            <w:vAlign w:val="bottom"/>
            <w:tcBorders>
              <w:top w:val="single" w:sz="8" w:color="808080"/>
            </w:tcBorders>
            <w:gridSpan w:val="5"/>
          </w:tcPr>
          <w:p>
            <w:pPr>
              <w:jc w:val="right"/>
              <w:ind w:right="81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top w:val="single" w:sz="8" w:color="808080"/>
            </w:tcBorders>
          </w:tcPr>
          <w:p>
            <w:pPr>
              <w:spacing w:after="0"/>
              <w:rPr>
                <w:sz w:val="19"/>
                <w:szCs w:val="19"/>
                <w:color w:val="auto"/>
              </w:rPr>
            </w:pPr>
          </w:p>
        </w:tc>
        <w:tc>
          <w:tcPr>
            <w:tcW w:w="260" w:type="dxa"/>
            <w:vAlign w:val="bottom"/>
            <w:tcBorders>
              <w:top w:val="single" w:sz="8" w:color="808080"/>
            </w:tcBorders>
          </w:tcPr>
          <w:p>
            <w:pPr>
              <w:spacing w:after="0"/>
              <w:rPr>
                <w:sz w:val="19"/>
                <w:szCs w:val="19"/>
                <w:color w:val="auto"/>
              </w:rPr>
            </w:pPr>
          </w:p>
        </w:tc>
        <w:tc>
          <w:tcPr>
            <w:tcW w:w="2840" w:type="dxa"/>
            <w:vAlign w:val="bottom"/>
            <w:tcBorders>
              <w:top w:val="single" w:sz="8" w:color="808080"/>
              <w:right w:val="single" w:sz="8" w:color="808080"/>
            </w:tcBorders>
            <w:gridSpan w:val="4"/>
          </w:tcPr>
          <w:p>
            <w:pPr>
              <w:jc w:val="center"/>
              <w:ind w:right="32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3680" w:type="dxa"/>
            <w:vAlign w:val="bottom"/>
            <w:tcBorders>
              <w:left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gridSpan w:val="4"/>
          </w:tcPr>
          <w:p>
            <w:pPr>
              <w:jc w:val="right"/>
              <w:ind w:right="103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Borders>
              <w:right w:val="single" w:sz="8" w:color="808080"/>
            </w:tcBorders>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04"/>
        </w:trPr>
        <w:tc>
          <w:tcPr>
            <w:tcW w:w="3680" w:type="dxa"/>
            <w:vAlign w:val="bottom"/>
            <w:tcBorders>
              <w:left w:val="single" w:sz="8" w:color="808080"/>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right w:val="single" w:sz="8" w:color="808080"/>
            </w:tcBorders>
          </w:tcPr>
          <w:p>
            <w:pPr>
              <w:spacing w:after="0"/>
              <w:rPr>
                <w:sz w:val="17"/>
                <w:szCs w:val="17"/>
                <w:color w:val="auto"/>
              </w:rPr>
            </w:pPr>
          </w:p>
        </w:tc>
      </w:tr>
      <w:tr>
        <w:trPr>
          <w:trHeight w:val="215"/>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1DD"/>
          </w:tcPr>
          <w:p>
            <w:pPr>
              <w:jc w:val="right"/>
              <w:spacing w:after="0"/>
              <w:rPr>
                <w:sz w:val="20"/>
                <w:szCs w:val="20"/>
                <w:color w:val="auto"/>
              </w:rPr>
            </w:pPr>
            <w:r>
              <w:rPr>
                <w:rFonts w:ascii="Arial" w:cs="Arial" w:eastAsia="Arial" w:hAnsi="Arial"/>
                <w:sz w:val="18"/>
                <w:szCs w:val="18"/>
                <w:color w:val="auto"/>
              </w:rPr>
              <w:t>11,511</w:t>
            </w:r>
          </w:p>
        </w:tc>
        <w:tc>
          <w:tcPr>
            <w:tcW w:w="940" w:type="dxa"/>
            <w:vAlign w:val="bottom"/>
            <w:gridSpan w:val="3"/>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10,359</w:t>
            </w:r>
          </w:p>
        </w:tc>
        <w:tc>
          <w:tcPr>
            <w:tcW w:w="580" w:type="dxa"/>
            <w:vAlign w:val="bottom"/>
            <w:gridSpan w:val="2"/>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1DD"/>
          </w:tcPr>
          <w:p>
            <w:pPr>
              <w:jc w:val="right"/>
              <w:ind w:right="230"/>
              <w:spacing w:after="0"/>
              <w:rPr>
                <w:sz w:val="20"/>
                <w:szCs w:val="20"/>
                <w:color w:val="auto"/>
              </w:rPr>
            </w:pPr>
            <w:r>
              <w:rPr>
                <w:rFonts w:ascii="Arial" w:cs="Arial" w:eastAsia="Arial" w:hAnsi="Arial"/>
                <w:sz w:val="18"/>
                <w:szCs w:val="18"/>
                <w:color w:val="auto"/>
              </w:rPr>
              <w:t>34,102</w:t>
            </w:r>
          </w:p>
        </w:tc>
        <w:tc>
          <w:tcPr>
            <w:tcW w:w="420" w:type="dxa"/>
            <w:vAlign w:val="bottom"/>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rPr>
              <w:t>28,652</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EAF1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4,105</w:t>
            </w:r>
          </w:p>
        </w:tc>
        <w:tc>
          <w:tcPr>
            <w:tcW w:w="320" w:type="dxa"/>
            <w:vAlign w:val="bottom"/>
            <w:tcBorders>
              <w:bottom w:val="single" w:sz="8" w:color="EAF1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13,666</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11,542</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bottom w:val="single" w:sz="8" w:color="EAF1DD"/>
            </w:tcBorders>
            <w:shd w:val="clear" w:color="auto" w:fill="EAF1DD"/>
          </w:tcPr>
          <w:p>
            <w:pPr>
              <w:ind w:left="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EAF1DD"/>
          </w:tcPr>
          <w:p>
            <w:pPr>
              <w:spacing w:after="0"/>
              <w:rPr>
                <w:sz w:val="18"/>
                <w:szCs w:val="18"/>
                <w:color w:val="auto"/>
              </w:rPr>
            </w:pPr>
          </w:p>
        </w:tc>
        <w:tc>
          <w:tcPr>
            <w:tcW w:w="84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8"/>
                <w:szCs w:val="18"/>
                <w:color w:val="auto"/>
              </w:rPr>
              <w:t>6,977</w:t>
            </w:r>
          </w:p>
        </w:tc>
        <w:tc>
          <w:tcPr>
            <w:tcW w:w="340" w:type="dxa"/>
            <w:vAlign w:val="bottom"/>
            <w:tcBorders>
              <w:bottom w:val="single" w:sz="8" w:color="auto"/>
            </w:tcBorders>
            <w:shd w:val="clear" w:color="auto" w:fill="EAF1DD"/>
          </w:tcPr>
          <w:p>
            <w:pPr>
              <w:spacing w:after="0"/>
              <w:rPr>
                <w:sz w:val="18"/>
                <w:szCs w:val="18"/>
                <w:color w:val="auto"/>
              </w:rPr>
            </w:pPr>
          </w:p>
        </w:tc>
        <w:tc>
          <w:tcPr>
            <w:tcW w:w="320" w:type="dxa"/>
            <w:vAlign w:val="bottom"/>
            <w:tcBorders>
              <w:bottom w:val="single" w:sz="8" w:color="EAF1DD"/>
            </w:tcBorders>
            <w:shd w:val="clear" w:color="auto" w:fill="EAF1DD"/>
          </w:tcPr>
          <w:p>
            <w:pPr>
              <w:spacing w:after="0"/>
              <w:rPr>
                <w:sz w:val="18"/>
                <w:szCs w:val="18"/>
                <w:color w:val="auto"/>
              </w:rPr>
            </w:pPr>
          </w:p>
        </w:tc>
        <w:tc>
          <w:tcPr>
            <w:tcW w:w="280" w:type="dxa"/>
            <w:vAlign w:val="bottom"/>
            <w:tcBorders>
              <w:bottom w:val="single" w:sz="8" w:color="auto"/>
            </w:tcBorders>
            <w:shd w:val="clear" w:color="auto" w:fill="EAF1DD"/>
          </w:tcPr>
          <w:p>
            <w:pPr>
              <w:spacing w:after="0"/>
              <w:rPr>
                <w:sz w:val="18"/>
                <w:szCs w:val="18"/>
                <w:color w:val="auto"/>
              </w:rPr>
            </w:pPr>
          </w:p>
        </w:tc>
        <w:tc>
          <w:tcPr>
            <w:tcW w:w="1180" w:type="dxa"/>
            <w:vAlign w:val="bottom"/>
            <w:tcBorders>
              <w:bottom w:val="single" w:sz="8" w:color="auto"/>
            </w:tcBorders>
            <w:shd w:val="clear" w:color="auto" w:fill="EAF1DD"/>
          </w:tcPr>
          <w:p>
            <w:pPr>
              <w:jc w:val="right"/>
              <w:ind w:right="330"/>
              <w:spacing w:after="0"/>
              <w:rPr>
                <w:sz w:val="20"/>
                <w:szCs w:val="20"/>
                <w:color w:val="auto"/>
              </w:rPr>
            </w:pPr>
            <w:r>
              <w:rPr>
                <w:rFonts w:ascii="Arial" w:cs="Arial" w:eastAsia="Arial" w:hAnsi="Arial"/>
                <w:sz w:val="18"/>
                <w:szCs w:val="18"/>
                <w:color w:val="auto"/>
              </w:rPr>
              <w:t>6,254</w:t>
            </w:r>
          </w:p>
        </w:tc>
        <w:tc>
          <w:tcPr>
            <w:tcW w:w="320" w:type="dxa"/>
            <w:vAlign w:val="bottom"/>
            <w:tcBorders>
              <w:bottom w:val="single" w:sz="8" w:color="EAF1DD"/>
            </w:tcBorders>
            <w:shd w:val="clear" w:color="auto" w:fill="EAF1DD"/>
          </w:tcPr>
          <w:p>
            <w:pPr>
              <w:spacing w:after="0"/>
              <w:rPr>
                <w:sz w:val="18"/>
                <w:szCs w:val="18"/>
                <w:color w:val="auto"/>
              </w:rPr>
            </w:pPr>
          </w:p>
        </w:tc>
        <w:tc>
          <w:tcPr>
            <w:tcW w:w="260" w:type="dxa"/>
            <w:vAlign w:val="bottom"/>
            <w:tcBorders>
              <w:bottom w:val="single" w:sz="8" w:color="auto"/>
            </w:tcBorders>
            <w:shd w:val="clear" w:color="auto" w:fill="EAF1DD"/>
          </w:tcPr>
          <w:p>
            <w:pPr>
              <w:spacing w:after="0"/>
              <w:rPr>
                <w:sz w:val="18"/>
                <w:szCs w:val="18"/>
                <w:color w:val="auto"/>
              </w:rPr>
            </w:pPr>
          </w:p>
        </w:tc>
        <w:tc>
          <w:tcPr>
            <w:tcW w:w="1100" w:type="dxa"/>
            <w:vAlign w:val="bottom"/>
            <w:tcBorders>
              <w:bottom w:val="single" w:sz="8" w:color="auto"/>
            </w:tcBorders>
            <w:shd w:val="clear" w:color="auto" w:fill="EAF1DD"/>
          </w:tcPr>
          <w:p>
            <w:pPr>
              <w:jc w:val="right"/>
              <w:ind w:right="230"/>
              <w:spacing w:after="0"/>
              <w:rPr>
                <w:sz w:val="20"/>
                <w:szCs w:val="20"/>
                <w:color w:val="auto"/>
              </w:rPr>
            </w:pPr>
            <w:r>
              <w:rPr>
                <w:rFonts w:ascii="Arial" w:cs="Arial" w:eastAsia="Arial" w:hAnsi="Arial"/>
                <w:sz w:val="18"/>
                <w:szCs w:val="18"/>
                <w:color w:val="auto"/>
              </w:rPr>
              <w:t>20,436</w:t>
            </w:r>
          </w:p>
        </w:tc>
        <w:tc>
          <w:tcPr>
            <w:tcW w:w="420" w:type="dxa"/>
            <w:vAlign w:val="bottom"/>
            <w:tcBorders>
              <w:bottom w:val="single" w:sz="8" w:color="auto"/>
            </w:tcBorders>
            <w:shd w:val="clear" w:color="auto" w:fill="EAF1DD"/>
          </w:tcPr>
          <w:p>
            <w:pPr>
              <w:spacing w:after="0"/>
              <w:rPr>
                <w:sz w:val="18"/>
                <w:szCs w:val="18"/>
                <w:color w:val="auto"/>
              </w:rPr>
            </w:pPr>
          </w:p>
        </w:tc>
        <w:tc>
          <w:tcPr>
            <w:tcW w:w="1280" w:type="dxa"/>
            <w:vAlign w:val="bottom"/>
            <w:tcBorders>
              <w:bottom w:val="single" w:sz="8" w:color="auto"/>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rPr>
              <w:t>17,110</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spacing w:after="0"/>
              <w:rPr>
                <w:sz w:val="18"/>
                <w:szCs w:val="18"/>
                <w:color w:val="auto"/>
              </w:rPr>
            </w:pP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spacing w:after="0"/>
              <w:rPr>
                <w:sz w:val="18"/>
                <w:szCs w:val="18"/>
                <w:color w:val="auto"/>
              </w:rPr>
            </w:pP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6,274</w:t>
            </w:r>
          </w:p>
        </w:tc>
        <w:tc>
          <w:tcPr>
            <w:tcW w:w="4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6,328</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Research and product development</w:t>
            </w: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jc w:val="right"/>
              <w:spacing w:after="0"/>
              <w:rPr>
                <w:sz w:val="20"/>
                <w:szCs w:val="20"/>
                <w:color w:val="auto"/>
              </w:rPr>
            </w:pPr>
            <w:r>
              <w:rPr>
                <w:rFonts w:ascii="Arial" w:cs="Arial" w:eastAsia="Arial" w:hAnsi="Arial"/>
                <w:sz w:val="18"/>
                <w:szCs w:val="18"/>
                <w:color w:val="auto"/>
              </w:rPr>
              <w:t>1,796</w:t>
            </w: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2,124</w:t>
            </w: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jc w:val="right"/>
              <w:ind w:right="230"/>
              <w:spacing w:after="0"/>
              <w:rPr>
                <w:sz w:val="20"/>
                <w:szCs w:val="20"/>
                <w:color w:val="auto"/>
              </w:rPr>
            </w:pPr>
            <w:r>
              <w:rPr>
                <w:rFonts w:ascii="Arial" w:cs="Arial" w:eastAsia="Arial" w:hAnsi="Arial"/>
                <w:sz w:val="18"/>
                <w:szCs w:val="18"/>
                <w:color w:val="auto"/>
              </w:rPr>
              <w:t>5,249</w:t>
            </w: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rPr>
              <w:t>5,772</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1,106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4,166</w:t>
            </w:r>
          </w:p>
        </w:tc>
        <w:tc>
          <w:tcPr>
            <w:tcW w:w="4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3,252</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Proceeds from litigation</w:t>
            </w:r>
          </w:p>
        </w:tc>
        <w:tc>
          <w:tcPr>
            <w:tcW w:w="280" w:type="dxa"/>
            <w:vAlign w:val="bottom"/>
            <w:tcBorders>
              <w:bottom w:val="single" w:sz="8" w:color="auto"/>
            </w:tcBorders>
            <w:shd w:val="clear" w:color="auto" w:fill="EAF1DD"/>
          </w:tcPr>
          <w:p>
            <w:pPr>
              <w:spacing w:after="0"/>
              <w:rPr>
                <w:sz w:val="18"/>
                <w:szCs w:val="18"/>
                <w:color w:val="auto"/>
              </w:rPr>
            </w:pPr>
          </w:p>
        </w:tc>
        <w:tc>
          <w:tcPr>
            <w:tcW w:w="84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8"/>
                <w:szCs w:val="18"/>
                <w:color w:val="auto"/>
              </w:rPr>
              <w:t>(3,702)</w:t>
            </w:r>
          </w:p>
        </w:tc>
        <w:tc>
          <w:tcPr>
            <w:tcW w:w="340" w:type="dxa"/>
            <w:vAlign w:val="bottom"/>
            <w:tcBorders>
              <w:bottom w:val="single" w:sz="8" w:color="auto"/>
            </w:tcBorders>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tcBorders>
              <w:bottom w:val="single" w:sz="8" w:color="auto"/>
            </w:tcBorders>
            <w:shd w:val="clear" w:color="auto" w:fill="EAF1DD"/>
          </w:tcPr>
          <w:p>
            <w:pPr>
              <w:spacing w:after="0"/>
              <w:rPr>
                <w:sz w:val="18"/>
                <w:szCs w:val="18"/>
                <w:color w:val="auto"/>
              </w:rPr>
            </w:pPr>
          </w:p>
        </w:tc>
        <w:tc>
          <w:tcPr>
            <w:tcW w:w="1180" w:type="dxa"/>
            <w:vAlign w:val="bottom"/>
            <w:tcBorders>
              <w:bottom w:val="single" w:sz="8" w:color="auto"/>
            </w:tcBorders>
            <w:shd w:val="clear" w:color="auto" w:fill="EAF1DD"/>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1DD"/>
          </w:tcPr>
          <w:p>
            <w:pPr>
              <w:spacing w:after="0"/>
              <w:rPr>
                <w:sz w:val="18"/>
                <w:szCs w:val="18"/>
                <w:color w:val="auto"/>
              </w:rPr>
            </w:pPr>
          </w:p>
        </w:tc>
        <w:tc>
          <w:tcPr>
            <w:tcW w:w="260" w:type="dxa"/>
            <w:vAlign w:val="bottom"/>
            <w:tcBorders>
              <w:bottom w:val="single" w:sz="8" w:color="auto"/>
            </w:tcBorders>
            <w:shd w:val="clear" w:color="auto" w:fill="EAF1DD"/>
          </w:tcPr>
          <w:p>
            <w:pPr>
              <w:spacing w:after="0"/>
              <w:rPr>
                <w:sz w:val="18"/>
                <w:szCs w:val="18"/>
                <w:color w:val="auto"/>
              </w:rPr>
            </w:pPr>
          </w:p>
        </w:tc>
        <w:tc>
          <w:tcPr>
            <w:tcW w:w="1100" w:type="dxa"/>
            <w:vAlign w:val="bottom"/>
            <w:tcBorders>
              <w:bottom w:val="single" w:sz="8" w:color="auto"/>
            </w:tcBorders>
            <w:shd w:val="clear" w:color="auto" w:fill="EAF1DD"/>
          </w:tcPr>
          <w:p>
            <w:pPr>
              <w:ind w:left="300"/>
              <w:spacing w:after="0"/>
              <w:rPr>
                <w:sz w:val="20"/>
                <w:szCs w:val="20"/>
                <w:color w:val="auto"/>
              </w:rPr>
            </w:pPr>
            <w:r>
              <w:rPr>
                <w:rFonts w:ascii="Arial" w:cs="Arial" w:eastAsia="Arial" w:hAnsi="Arial"/>
                <w:sz w:val="18"/>
                <w:szCs w:val="18"/>
                <w:color w:val="auto"/>
              </w:rPr>
              <w:t>(3,702)</w:t>
            </w:r>
          </w:p>
        </w:tc>
        <w:tc>
          <w:tcPr>
            <w:tcW w:w="420" w:type="dxa"/>
            <w:vAlign w:val="bottom"/>
            <w:tcBorders>
              <w:bottom w:val="single" w:sz="8" w:color="auto"/>
            </w:tcBorders>
            <w:shd w:val="clear" w:color="auto" w:fill="EAF1DD"/>
          </w:tcPr>
          <w:p>
            <w:pPr>
              <w:spacing w:after="0"/>
              <w:rPr>
                <w:sz w:val="18"/>
                <w:szCs w:val="18"/>
                <w:color w:val="auto"/>
              </w:rPr>
            </w:pPr>
          </w:p>
        </w:tc>
        <w:tc>
          <w:tcPr>
            <w:tcW w:w="1280" w:type="dxa"/>
            <w:vAlign w:val="bottom"/>
            <w:tcBorders>
              <w:bottom w:val="single" w:sz="8" w:color="auto"/>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5,473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11,987</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15,352</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tcBorders>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spacing w:after="0"/>
              <w:rPr>
                <w:sz w:val="18"/>
                <w:szCs w:val="18"/>
                <w:color w:val="auto"/>
              </w:rPr>
            </w:pP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spacing w:after="0"/>
              <w:rPr>
                <w:sz w:val="18"/>
                <w:szCs w:val="18"/>
                <w:color w:val="auto"/>
              </w:rPr>
            </w:pP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8,449</w:t>
            </w:r>
          </w:p>
        </w:tc>
        <w:tc>
          <w:tcPr>
            <w:tcW w:w="4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1,758</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spacing w:after="0"/>
              <w:rPr>
                <w:sz w:val="18"/>
                <w:szCs w:val="18"/>
                <w:color w:val="auto"/>
              </w:rPr>
            </w:pP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spacing w:after="0"/>
              <w:rPr>
                <w:sz w:val="18"/>
                <w:szCs w:val="18"/>
                <w:color w:val="auto"/>
              </w:rPr>
            </w:pP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(120)</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tcBorders>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spacing w:after="0"/>
              <w:rPr>
                <w:sz w:val="18"/>
                <w:szCs w:val="18"/>
                <w:color w:val="auto"/>
              </w:rPr>
            </w:pP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spacing w:after="0"/>
              <w:rPr>
                <w:sz w:val="18"/>
                <w:szCs w:val="18"/>
                <w:color w:val="auto"/>
              </w:rPr>
            </w:pP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8,464</w:t>
            </w:r>
          </w:p>
        </w:tc>
        <w:tc>
          <w:tcPr>
            <w:tcW w:w="4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1,638</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bottom w:val="single" w:sz="8" w:color="EAF1DD"/>
            </w:tcBorders>
            <w:shd w:val="clear" w:color="auto" w:fill="EAF1DD"/>
          </w:tcPr>
          <w:p>
            <w:pPr>
              <w:ind w:left="8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Borders>
              <w:bottom w:val="single" w:sz="8" w:color="auto"/>
            </w:tcBorders>
            <w:shd w:val="clear" w:color="auto" w:fill="EAF1DD"/>
          </w:tcPr>
          <w:p>
            <w:pPr>
              <w:spacing w:after="0"/>
              <w:rPr>
                <w:sz w:val="18"/>
                <w:szCs w:val="18"/>
                <w:color w:val="auto"/>
              </w:rPr>
            </w:pPr>
          </w:p>
        </w:tc>
        <w:tc>
          <w:tcPr>
            <w:tcW w:w="84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8"/>
                <w:szCs w:val="18"/>
                <w:color w:val="auto"/>
              </w:rPr>
              <w:t>(1,987)</w:t>
            </w:r>
          </w:p>
        </w:tc>
        <w:tc>
          <w:tcPr>
            <w:tcW w:w="340" w:type="dxa"/>
            <w:vAlign w:val="bottom"/>
            <w:tcBorders>
              <w:bottom w:val="single" w:sz="8" w:color="auto"/>
            </w:tcBorders>
            <w:shd w:val="clear" w:color="auto" w:fill="EAF1DD"/>
          </w:tcPr>
          <w:p>
            <w:pPr>
              <w:spacing w:after="0"/>
              <w:rPr>
                <w:sz w:val="18"/>
                <w:szCs w:val="18"/>
                <w:color w:val="auto"/>
              </w:rPr>
            </w:pPr>
          </w:p>
        </w:tc>
        <w:tc>
          <w:tcPr>
            <w:tcW w:w="320" w:type="dxa"/>
            <w:vAlign w:val="bottom"/>
            <w:tcBorders>
              <w:bottom w:val="single" w:sz="8" w:color="EAF1DD"/>
            </w:tcBorders>
            <w:shd w:val="clear" w:color="auto" w:fill="EAF1DD"/>
          </w:tcPr>
          <w:p>
            <w:pPr>
              <w:spacing w:after="0"/>
              <w:rPr>
                <w:sz w:val="18"/>
                <w:szCs w:val="18"/>
                <w:color w:val="auto"/>
              </w:rPr>
            </w:pPr>
          </w:p>
        </w:tc>
        <w:tc>
          <w:tcPr>
            <w:tcW w:w="280" w:type="dxa"/>
            <w:vAlign w:val="bottom"/>
            <w:tcBorders>
              <w:bottom w:val="single" w:sz="8" w:color="auto"/>
            </w:tcBorders>
            <w:shd w:val="clear" w:color="auto" w:fill="EAF1DD"/>
          </w:tcPr>
          <w:p>
            <w:pPr>
              <w:spacing w:after="0"/>
              <w:rPr>
                <w:sz w:val="18"/>
                <w:szCs w:val="18"/>
                <w:color w:val="auto"/>
              </w:rPr>
            </w:pPr>
          </w:p>
        </w:tc>
        <w:tc>
          <w:tcPr>
            <w:tcW w:w="1180" w:type="dxa"/>
            <w:vAlign w:val="bottom"/>
            <w:tcBorders>
              <w:bottom w:val="single" w:sz="8" w:color="auto"/>
            </w:tcBorders>
            <w:shd w:val="clear" w:color="auto" w:fill="EAF1DD"/>
          </w:tcPr>
          <w:p>
            <w:pPr>
              <w:jc w:val="right"/>
              <w:ind w:right="330"/>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EAF1DD"/>
            </w:tcBorders>
            <w:shd w:val="clear" w:color="auto" w:fill="EAF1DD"/>
          </w:tcPr>
          <w:p>
            <w:pPr>
              <w:spacing w:after="0"/>
              <w:rPr>
                <w:sz w:val="18"/>
                <w:szCs w:val="18"/>
                <w:color w:val="auto"/>
              </w:rPr>
            </w:pPr>
          </w:p>
        </w:tc>
        <w:tc>
          <w:tcPr>
            <w:tcW w:w="260" w:type="dxa"/>
            <w:vAlign w:val="bottom"/>
            <w:tcBorders>
              <w:bottom w:val="single" w:sz="8" w:color="auto"/>
            </w:tcBorders>
            <w:shd w:val="clear" w:color="auto" w:fill="EAF1DD"/>
          </w:tcPr>
          <w:p>
            <w:pPr>
              <w:spacing w:after="0"/>
              <w:rPr>
                <w:sz w:val="18"/>
                <w:szCs w:val="18"/>
                <w:color w:val="auto"/>
              </w:rPr>
            </w:pPr>
          </w:p>
        </w:tc>
        <w:tc>
          <w:tcPr>
            <w:tcW w:w="1100" w:type="dxa"/>
            <w:vAlign w:val="bottom"/>
            <w:tcBorders>
              <w:bottom w:val="single" w:sz="8" w:color="auto"/>
            </w:tcBorders>
            <w:shd w:val="clear" w:color="auto" w:fill="EAF1DD"/>
          </w:tcPr>
          <w:p>
            <w:pPr>
              <w:ind w:left="300"/>
              <w:spacing w:after="0"/>
              <w:rPr>
                <w:sz w:val="20"/>
                <w:szCs w:val="20"/>
                <w:color w:val="auto"/>
              </w:rPr>
            </w:pPr>
            <w:r>
              <w:rPr>
                <w:rFonts w:ascii="Arial" w:cs="Arial" w:eastAsia="Arial" w:hAnsi="Arial"/>
                <w:sz w:val="18"/>
                <w:szCs w:val="18"/>
                <w:color w:val="auto"/>
              </w:rPr>
              <w:t>(2,956)</w:t>
            </w:r>
          </w:p>
        </w:tc>
        <w:tc>
          <w:tcPr>
            <w:tcW w:w="420" w:type="dxa"/>
            <w:vAlign w:val="bottom"/>
            <w:tcBorders>
              <w:bottom w:val="single" w:sz="8" w:color="auto"/>
            </w:tcBorders>
            <w:shd w:val="clear" w:color="auto" w:fill="EAF1DD"/>
          </w:tcPr>
          <w:p>
            <w:pPr>
              <w:spacing w:after="0"/>
              <w:rPr>
                <w:sz w:val="18"/>
                <w:szCs w:val="18"/>
                <w:color w:val="auto"/>
              </w:rPr>
            </w:pPr>
          </w:p>
        </w:tc>
        <w:tc>
          <w:tcPr>
            <w:tcW w:w="1280" w:type="dxa"/>
            <w:vAlign w:val="bottom"/>
            <w:tcBorders>
              <w:bottom w:val="single" w:sz="8" w:color="auto"/>
              <w:right w:val="single" w:sz="8" w:color="EAF1DD"/>
            </w:tcBorders>
            <w:shd w:val="clear" w:color="auto" w:fill="EAF1DD"/>
          </w:tcPr>
          <w:p>
            <w:pPr>
              <w:jc w:val="right"/>
              <w:ind w:right="350"/>
              <w:spacing w:after="0"/>
              <w:rPr>
                <w:sz w:val="20"/>
                <w:szCs w:val="20"/>
                <w:color w:val="auto"/>
              </w:rPr>
            </w:pPr>
            <w:r>
              <w:rPr>
                <w:rFonts w:ascii="Arial" w:cs="Arial" w:eastAsia="Arial" w:hAnsi="Arial"/>
                <w:sz w:val="18"/>
                <w:szCs w:val="18"/>
                <w:color w:val="auto"/>
              </w:rPr>
              <w:t>(81)</w:t>
            </w:r>
          </w:p>
        </w:tc>
        <w:tc>
          <w:tcPr>
            <w:tcW w:w="40" w:type="dxa"/>
            <w:vAlign w:val="bottom"/>
            <w:tcBorders>
              <w:right w:val="single" w:sz="8" w:color="808080"/>
            </w:tcBorders>
          </w:tcPr>
          <w:p>
            <w:pPr>
              <w:spacing w:after="0"/>
              <w:rPr>
                <w:sz w:val="18"/>
                <w:szCs w:val="18"/>
                <w:color w:val="auto"/>
              </w:rPr>
            </w:pPr>
          </w:p>
        </w:tc>
      </w:tr>
      <w:tr>
        <w:trPr>
          <w:trHeight w:val="210"/>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5,508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1,557</w:t>
            </w:r>
          </w:p>
        </w:tc>
        <w:tc>
          <w:tcPr>
            <w:tcW w:w="40" w:type="dxa"/>
            <w:vAlign w:val="bottom"/>
            <w:tcBorders>
              <w:right w:val="single" w:sz="8" w:color="808080"/>
            </w:tcBorders>
          </w:tcPr>
          <w:p>
            <w:pPr>
              <w:spacing w:after="0"/>
              <w:rPr>
                <w:sz w:val="18"/>
                <w:szCs w:val="18"/>
                <w:color w:val="auto"/>
              </w:rPr>
            </w:pPr>
          </w:p>
        </w:tc>
      </w:tr>
      <w:tr>
        <w:trPr>
          <w:trHeight w:val="20"/>
        </w:trPr>
        <w:tc>
          <w:tcPr>
            <w:tcW w:w="3680" w:type="dxa"/>
            <w:vAlign w:val="bottom"/>
            <w:tcBorders>
              <w:left w:val="single" w:sz="8" w:color="808080"/>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197"/>
        </w:trPr>
        <w:tc>
          <w:tcPr>
            <w:tcW w:w="3680" w:type="dxa"/>
            <w:vAlign w:val="bottom"/>
            <w:tcBorders>
              <w:left w:val="single" w:sz="8" w:color="808080"/>
            </w:tcBorders>
            <w:shd w:val="clear" w:color="auto" w:fill="EAF1DD"/>
          </w:tcPr>
          <w:p>
            <w:pPr>
              <w:spacing w:after="0"/>
              <w:rPr>
                <w:sz w:val="17"/>
                <w:szCs w:val="17"/>
                <w:color w:val="auto"/>
              </w:rPr>
            </w:pPr>
          </w:p>
        </w:tc>
        <w:tc>
          <w:tcPr>
            <w:tcW w:w="280" w:type="dxa"/>
            <w:vAlign w:val="bottom"/>
            <w:shd w:val="clear" w:color="auto" w:fill="EAF1DD"/>
          </w:tcPr>
          <w:p>
            <w:pPr>
              <w:spacing w:after="0"/>
              <w:rPr>
                <w:sz w:val="17"/>
                <w:szCs w:val="17"/>
                <w:color w:val="auto"/>
              </w:rPr>
            </w:pPr>
          </w:p>
        </w:tc>
        <w:tc>
          <w:tcPr>
            <w:tcW w:w="840" w:type="dxa"/>
            <w:vAlign w:val="bottom"/>
            <w:shd w:val="clear" w:color="auto" w:fill="EAF1DD"/>
          </w:tcPr>
          <w:p>
            <w:pPr>
              <w:spacing w:after="0"/>
              <w:rPr>
                <w:sz w:val="17"/>
                <w:szCs w:val="17"/>
                <w:color w:val="auto"/>
              </w:rPr>
            </w:pPr>
          </w:p>
        </w:tc>
        <w:tc>
          <w:tcPr>
            <w:tcW w:w="940" w:type="dxa"/>
            <w:vAlign w:val="bottom"/>
            <w:gridSpan w:val="3"/>
            <w:shd w:val="clear" w:color="auto" w:fill="EAF1DD"/>
          </w:tcPr>
          <w:p>
            <w:pPr>
              <w:spacing w:after="0"/>
              <w:rPr>
                <w:sz w:val="17"/>
                <w:szCs w:val="17"/>
                <w:color w:val="auto"/>
              </w:rPr>
            </w:pPr>
          </w:p>
        </w:tc>
        <w:tc>
          <w:tcPr>
            <w:tcW w:w="1180" w:type="dxa"/>
            <w:vAlign w:val="bottom"/>
            <w:shd w:val="clear" w:color="auto" w:fill="EAF1DD"/>
          </w:tcPr>
          <w:p>
            <w:pPr>
              <w:spacing w:after="0"/>
              <w:rPr>
                <w:sz w:val="17"/>
                <w:szCs w:val="17"/>
                <w:color w:val="auto"/>
              </w:rPr>
            </w:pPr>
          </w:p>
        </w:tc>
        <w:tc>
          <w:tcPr>
            <w:tcW w:w="580" w:type="dxa"/>
            <w:vAlign w:val="bottom"/>
            <w:gridSpan w:val="2"/>
            <w:shd w:val="clear" w:color="auto" w:fill="EAF1DD"/>
          </w:tcPr>
          <w:p>
            <w:pPr>
              <w:spacing w:after="0"/>
              <w:rPr>
                <w:sz w:val="17"/>
                <w:szCs w:val="17"/>
                <w:color w:val="auto"/>
              </w:rPr>
            </w:pPr>
          </w:p>
        </w:tc>
        <w:tc>
          <w:tcPr>
            <w:tcW w:w="1100" w:type="dxa"/>
            <w:vAlign w:val="bottom"/>
            <w:shd w:val="clear" w:color="auto" w:fill="EAF1DD"/>
          </w:tcPr>
          <w:p>
            <w:pPr>
              <w:spacing w:after="0"/>
              <w:rPr>
                <w:sz w:val="17"/>
                <w:szCs w:val="17"/>
                <w:color w:val="auto"/>
              </w:rPr>
            </w:pPr>
          </w:p>
        </w:tc>
        <w:tc>
          <w:tcPr>
            <w:tcW w:w="420" w:type="dxa"/>
            <w:vAlign w:val="bottom"/>
            <w:shd w:val="clear" w:color="auto" w:fill="EAF1DD"/>
          </w:tcPr>
          <w:p>
            <w:pPr>
              <w:spacing w:after="0"/>
              <w:rPr>
                <w:sz w:val="17"/>
                <w:szCs w:val="17"/>
                <w:color w:val="auto"/>
              </w:rPr>
            </w:pPr>
          </w:p>
        </w:tc>
        <w:tc>
          <w:tcPr>
            <w:tcW w:w="1280" w:type="dxa"/>
            <w:vAlign w:val="bottom"/>
            <w:tcBorders>
              <w:right w:val="single" w:sz="8" w:color="EAF1DD"/>
            </w:tcBorders>
            <w:shd w:val="clear" w:color="auto" w:fill="EAF1DD"/>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6"/>
        </w:trPr>
        <w:tc>
          <w:tcPr>
            <w:tcW w:w="36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0.61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0.17</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1DD"/>
          </w:tcPr>
          <w:p>
            <w:pPr>
              <w:jc w:val="right"/>
              <w:spacing w:after="0"/>
              <w:rPr>
                <w:sz w:val="20"/>
                <w:szCs w:val="20"/>
                <w:color w:val="auto"/>
              </w:rPr>
            </w:pPr>
            <w:r>
              <w:rPr>
                <w:rFonts w:ascii="Arial" w:cs="Arial" w:eastAsia="Arial" w:hAnsi="Arial"/>
                <w:sz w:val="18"/>
                <w:szCs w:val="18"/>
                <w:color w:val="auto"/>
              </w:rPr>
              <w:t>0.36</w:t>
            </w:r>
          </w:p>
        </w:tc>
        <w:tc>
          <w:tcPr>
            <w:tcW w:w="940" w:type="dxa"/>
            <w:vAlign w:val="bottom"/>
            <w:gridSpan w:val="3"/>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0.11</w:t>
            </w:r>
          </w:p>
        </w:tc>
        <w:tc>
          <w:tcPr>
            <w:tcW w:w="580" w:type="dxa"/>
            <w:vAlign w:val="bottom"/>
            <w:gridSpan w:val="2"/>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1DD"/>
          </w:tcPr>
          <w:p>
            <w:pPr>
              <w:jc w:val="right"/>
              <w:ind w:right="230"/>
              <w:spacing w:after="0"/>
              <w:rPr>
                <w:sz w:val="20"/>
                <w:szCs w:val="20"/>
                <w:color w:val="auto"/>
              </w:rPr>
            </w:pPr>
            <w:r>
              <w:rPr>
                <w:rFonts w:ascii="Arial" w:cs="Arial" w:eastAsia="Arial" w:hAnsi="Arial"/>
                <w:sz w:val="18"/>
                <w:szCs w:val="18"/>
                <w:color w:val="auto"/>
              </w:rPr>
              <w:t>0.59</w:t>
            </w:r>
          </w:p>
        </w:tc>
        <w:tc>
          <w:tcPr>
            <w:tcW w:w="420" w:type="dxa"/>
            <w:vAlign w:val="bottom"/>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rPr>
              <w:t>0.17</w:t>
            </w: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36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shd w:val="clear" w:color="auto" w:fill="EAF1DD"/>
          </w:tcPr>
          <w:p>
            <w:pPr>
              <w:spacing w:after="0"/>
              <w:rPr>
                <w:sz w:val="18"/>
                <w:szCs w:val="18"/>
                <w:color w:val="auto"/>
              </w:rPr>
            </w:pPr>
          </w:p>
        </w:tc>
        <w:tc>
          <w:tcPr>
            <w:tcW w:w="840" w:type="dxa"/>
            <w:vAlign w:val="bottom"/>
            <w:shd w:val="clear" w:color="auto" w:fill="EAF1DD"/>
          </w:tcPr>
          <w:p>
            <w:pPr>
              <w:jc w:val="right"/>
              <w:spacing w:after="0"/>
              <w:rPr>
                <w:sz w:val="20"/>
                <w:szCs w:val="20"/>
                <w:color w:val="auto"/>
              </w:rPr>
            </w:pPr>
            <w:r>
              <w:rPr>
                <w:rFonts w:ascii="Arial" w:cs="Arial" w:eastAsia="Arial" w:hAnsi="Arial"/>
                <w:sz w:val="18"/>
                <w:szCs w:val="18"/>
                <w:color w:val="auto"/>
                <w:w w:val="94"/>
              </w:rPr>
              <w:t>9,089,919</w:t>
            </w:r>
          </w:p>
        </w:tc>
        <w:tc>
          <w:tcPr>
            <w:tcW w:w="34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w w:val="92"/>
              </w:rPr>
              <w:t>8,929,342</w:t>
            </w:r>
          </w:p>
        </w:tc>
        <w:tc>
          <w:tcPr>
            <w:tcW w:w="320" w:type="dxa"/>
            <w:vAlign w:val="bottom"/>
            <w:shd w:val="clear" w:color="auto" w:fill="EAF1DD"/>
          </w:tcPr>
          <w:p>
            <w:pPr>
              <w:spacing w:after="0"/>
              <w:rPr>
                <w:sz w:val="18"/>
                <w:szCs w:val="18"/>
                <w:color w:val="auto"/>
              </w:rPr>
            </w:pPr>
          </w:p>
        </w:tc>
        <w:tc>
          <w:tcPr>
            <w:tcW w:w="260" w:type="dxa"/>
            <w:vAlign w:val="bottom"/>
            <w:shd w:val="clear" w:color="auto" w:fill="EAF1DD"/>
          </w:tcPr>
          <w:p>
            <w:pPr>
              <w:spacing w:after="0"/>
              <w:rPr>
                <w:sz w:val="18"/>
                <w:szCs w:val="18"/>
                <w:color w:val="auto"/>
              </w:rPr>
            </w:pPr>
          </w:p>
        </w:tc>
        <w:tc>
          <w:tcPr>
            <w:tcW w:w="1100" w:type="dxa"/>
            <w:vAlign w:val="bottom"/>
            <w:shd w:val="clear" w:color="auto" w:fill="EAF1DD"/>
          </w:tcPr>
          <w:p>
            <w:pPr>
              <w:jc w:val="right"/>
              <w:ind w:right="230"/>
              <w:spacing w:after="0"/>
              <w:rPr>
                <w:sz w:val="20"/>
                <w:szCs w:val="20"/>
                <w:color w:val="auto"/>
              </w:rPr>
            </w:pPr>
            <w:r>
              <w:rPr>
                <w:rFonts w:ascii="Arial" w:cs="Arial" w:eastAsia="Arial" w:hAnsi="Arial"/>
                <w:sz w:val="18"/>
                <w:szCs w:val="18"/>
                <w:color w:val="auto"/>
                <w:w w:val="94"/>
              </w:rPr>
              <w:t>9,005,221</w:t>
            </w:r>
          </w:p>
        </w:tc>
        <w:tc>
          <w:tcPr>
            <w:tcW w:w="420" w:type="dxa"/>
            <w:vAlign w:val="bottom"/>
            <w:shd w:val="clear" w:color="auto" w:fill="EAF1DD"/>
          </w:tcPr>
          <w:p>
            <w:pPr>
              <w:spacing w:after="0"/>
              <w:rPr>
                <w:sz w:val="18"/>
                <w:szCs w:val="18"/>
                <w:color w:val="auto"/>
              </w:rPr>
            </w:pPr>
          </w:p>
        </w:tc>
        <w:tc>
          <w:tcPr>
            <w:tcW w:w="1280" w:type="dxa"/>
            <w:vAlign w:val="bottom"/>
            <w:tcBorders>
              <w:right w:val="single" w:sz="8" w:color="EAF1DD"/>
            </w:tcBorders>
            <w:shd w:val="clear" w:color="auto" w:fill="EAF1DD"/>
          </w:tcPr>
          <w:p>
            <w:pPr>
              <w:jc w:val="right"/>
              <w:ind w:right="390"/>
              <w:spacing w:after="0"/>
              <w:rPr>
                <w:sz w:val="20"/>
                <w:szCs w:val="20"/>
                <w:color w:val="auto"/>
              </w:rPr>
            </w:pPr>
            <w:r>
              <w:rPr>
                <w:rFonts w:ascii="Arial" w:cs="Arial" w:eastAsia="Arial" w:hAnsi="Arial"/>
                <w:sz w:val="18"/>
                <w:szCs w:val="18"/>
                <w:color w:val="auto"/>
                <w:w w:val="97"/>
              </w:rPr>
              <w:t>8,929,266</w:t>
            </w:r>
          </w:p>
        </w:tc>
        <w:tc>
          <w:tcPr>
            <w:tcW w:w="40" w:type="dxa"/>
            <w:vAlign w:val="bottom"/>
            <w:tcBorders>
              <w:right w:val="single" w:sz="8" w:color="808080"/>
            </w:tcBorders>
          </w:tcPr>
          <w:p>
            <w:pPr>
              <w:spacing w:after="0"/>
              <w:rPr>
                <w:sz w:val="18"/>
                <w:szCs w:val="18"/>
                <w:color w:val="auto"/>
              </w:rPr>
            </w:pPr>
          </w:p>
        </w:tc>
      </w:tr>
      <w:tr>
        <w:trPr>
          <w:trHeight w:val="226"/>
        </w:trPr>
        <w:tc>
          <w:tcPr>
            <w:tcW w:w="3680" w:type="dxa"/>
            <w:vAlign w:val="bottom"/>
            <w:tcBorders>
              <w:left w:val="single" w:sz="8" w:color="808080"/>
              <w:bottom w:val="single" w:sz="8" w:color="808080"/>
            </w:tcBorders>
          </w:tcPr>
          <w:p>
            <w:pPr>
              <w:ind w:left="80"/>
              <w:spacing w:after="0"/>
              <w:rPr>
                <w:sz w:val="20"/>
                <w:szCs w:val="20"/>
                <w:color w:val="auto"/>
              </w:rPr>
            </w:pPr>
            <w:r>
              <w:rPr>
                <w:rFonts w:ascii="Arial" w:cs="Arial" w:eastAsia="Arial" w:hAnsi="Arial"/>
                <w:sz w:val="18"/>
                <w:szCs w:val="18"/>
                <w:color w:val="auto"/>
                <w:w w:val="99"/>
              </w:rPr>
              <w:t>Diluted weighted average shares outstanding</w:t>
            </w:r>
          </w:p>
        </w:tc>
        <w:tc>
          <w:tcPr>
            <w:tcW w:w="2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4"/>
              </w:rPr>
              <w:t>9,358,292</w:t>
            </w: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jc w:val="right"/>
              <w:ind w:right="330"/>
              <w:spacing w:after="0"/>
              <w:rPr>
                <w:sz w:val="20"/>
                <w:szCs w:val="20"/>
                <w:color w:val="auto"/>
              </w:rPr>
            </w:pPr>
            <w:r>
              <w:rPr>
                <w:rFonts w:ascii="Arial" w:cs="Arial" w:eastAsia="Arial" w:hAnsi="Arial"/>
                <w:sz w:val="18"/>
                <w:szCs w:val="18"/>
                <w:color w:val="auto"/>
                <w:w w:val="92"/>
              </w:rPr>
              <w:t>9,108,102</w:t>
            </w: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jc w:val="right"/>
              <w:ind w:right="230"/>
              <w:spacing w:after="0"/>
              <w:rPr>
                <w:sz w:val="20"/>
                <w:szCs w:val="20"/>
                <w:color w:val="auto"/>
              </w:rPr>
            </w:pPr>
            <w:r>
              <w:rPr>
                <w:rFonts w:ascii="Arial" w:cs="Arial" w:eastAsia="Arial" w:hAnsi="Arial"/>
                <w:sz w:val="18"/>
                <w:szCs w:val="18"/>
                <w:color w:val="auto"/>
                <w:w w:val="94"/>
              </w:rPr>
              <w:t>9,276,619</w:t>
            </w:r>
          </w:p>
        </w:tc>
        <w:tc>
          <w:tcPr>
            <w:tcW w:w="4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jc w:val="right"/>
              <w:ind w:right="390"/>
              <w:spacing w:after="0"/>
              <w:rPr>
                <w:sz w:val="20"/>
                <w:szCs w:val="20"/>
                <w:color w:val="auto"/>
              </w:rPr>
            </w:pPr>
            <w:r>
              <w:rPr>
                <w:rFonts w:ascii="Arial" w:cs="Arial" w:eastAsia="Arial" w:hAnsi="Arial"/>
                <w:sz w:val="18"/>
                <w:szCs w:val="18"/>
                <w:color w:val="auto"/>
                <w:w w:val="97"/>
              </w:rPr>
              <w:t>9,095,879</w:t>
            </w:r>
          </w:p>
        </w:tc>
        <w:tc>
          <w:tcPr>
            <w:tcW w:w="40" w:type="dxa"/>
            <w:vAlign w:val="bottom"/>
            <w:tcBorders>
              <w:bottom w:val="single" w:sz="8" w:color="808080"/>
              <w:right w:val="single" w:sz="8" w:color="808080"/>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2466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0340"/>
          </w:cols>
          <w:pgMar w:left="260" w:top="355" w:right="1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3"/>
        </w:trPr>
        <w:tc>
          <w:tcPr>
            <w:tcW w:w="7440" w:type="dxa"/>
            <w:vAlign w:val="bottom"/>
            <w:gridSpan w:val="5"/>
          </w:tcPr>
          <w:p>
            <w:pPr>
              <w:jc w:val="center"/>
              <w:ind w:left="3289"/>
              <w:spacing w:after="0"/>
              <w:rPr>
                <w:sz w:val="20"/>
                <w:szCs w:val="20"/>
                <w:color w:val="auto"/>
              </w:rPr>
            </w:pPr>
            <w:r>
              <w:rPr>
                <w:rFonts w:ascii="Arial" w:cs="Arial" w:eastAsia="Arial" w:hAnsi="Arial"/>
                <w:sz w:val="22"/>
                <w:szCs w:val="22"/>
                <w:b w:val="1"/>
                <w:bCs w:val="1"/>
                <w:color w:val="auto"/>
              </w:rPr>
              <w:t>CLEARONE COMMUNICATIONS, INC.</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9140" w:type="dxa"/>
            <w:vAlign w:val="bottom"/>
            <w:gridSpan w:val="8"/>
          </w:tcPr>
          <w:p>
            <w:pPr>
              <w:jc w:val="center"/>
              <w:ind w:left="1589"/>
              <w:spacing w:after="0" w:line="243" w:lineRule="exact"/>
              <w:rPr>
                <w:sz w:val="20"/>
                <w:szCs w:val="20"/>
                <w:color w:val="auto"/>
              </w:rPr>
            </w:pPr>
            <w:r>
              <w:rPr>
                <w:rFonts w:ascii="Arial" w:cs="Arial" w:eastAsia="Arial" w:hAnsi="Arial"/>
                <w:sz w:val="22"/>
                <w:szCs w:val="22"/>
                <w:b w:val="1"/>
                <w:bCs w:val="1"/>
                <w:color w:val="auto"/>
                <w:w w:val="98"/>
              </w:rPr>
              <w:t>UNAUDITED CONSOLIDATED STATEMENTS OF CASH FLOWS</w:t>
            </w:r>
          </w:p>
        </w:tc>
      </w:tr>
      <w:tr>
        <w:trPr>
          <w:trHeight w:val="281"/>
        </w:trPr>
        <w:tc>
          <w:tcPr>
            <w:tcW w:w="7440" w:type="dxa"/>
            <w:vAlign w:val="bottom"/>
            <w:gridSpan w:val="5"/>
          </w:tcPr>
          <w:p>
            <w:pPr>
              <w:jc w:val="center"/>
              <w:ind w:left="3289"/>
              <w:spacing w:after="0"/>
              <w:rPr>
                <w:sz w:val="20"/>
                <w:szCs w:val="20"/>
                <w:color w:val="auto"/>
              </w:rPr>
            </w:pPr>
            <w:r>
              <w:rPr>
                <w:rFonts w:ascii="Arial" w:cs="Arial" w:eastAsia="Arial" w:hAnsi="Arial"/>
                <w:sz w:val="22"/>
                <w:szCs w:val="22"/>
                <w:b w:val="1"/>
                <w:bCs w:val="1"/>
                <w:color w:val="auto"/>
                <w:w w:val="88"/>
              </w:rPr>
              <w:t>(Dollars in thousands)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30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gridSpan w:val="2"/>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r>
        <w:trPr>
          <w:trHeight w:val="210"/>
        </w:trPr>
        <w:tc>
          <w:tcPr>
            <w:tcW w:w="5300" w:type="dxa"/>
            <w:vAlign w:val="bottom"/>
            <w:tcBorders>
              <w:left w:val="single" w:sz="8" w:color="808080"/>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tcBorders>
              <w:bottom w:val="single" w:sz="8" w:color="auto"/>
            </w:tcBorders>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199"/>
        </w:trPr>
        <w:tc>
          <w:tcPr>
            <w:tcW w:w="5300" w:type="dxa"/>
            <w:vAlign w:val="bottom"/>
            <w:tcBorders>
              <w:left w:val="single" w:sz="8" w:color="808080"/>
            </w:tcBorders>
          </w:tcPr>
          <w:p>
            <w:pPr>
              <w:spacing w:after="0"/>
              <w:rPr>
                <w:sz w:val="17"/>
                <w:szCs w:val="17"/>
                <w:color w:val="auto"/>
              </w:rPr>
            </w:pPr>
          </w:p>
        </w:tc>
        <w:tc>
          <w:tcPr>
            <w:tcW w:w="2140" w:type="dxa"/>
            <w:vAlign w:val="bottom"/>
            <w:gridSpan w:val="4"/>
          </w:tcPr>
          <w:p>
            <w:pPr>
              <w:ind w:left="180"/>
              <w:spacing w:after="0"/>
              <w:rPr>
                <w:sz w:val="20"/>
                <w:szCs w:val="20"/>
                <w:color w:val="auto"/>
              </w:rPr>
            </w:pPr>
            <w:r>
              <w:rPr>
                <w:rFonts w:ascii="Arial" w:cs="Arial" w:eastAsia="Arial" w:hAnsi="Arial"/>
                <w:sz w:val="16"/>
                <w:szCs w:val="16"/>
                <w:b w:val="1"/>
                <w:bCs w:val="1"/>
                <w:color w:val="auto"/>
              </w:rPr>
              <w:t>September 30, 2011</w:t>
            </w:r>
          </w:p>
        </w:tc>
        <w:tc>
          <w:tcPr>
            <w:tcW w:w="16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95"/>
              </w:rPr>
              <w:t>September 30, 2010</w:t>
            </w:r>
          </w:p>
        </w:tc>
        <w:tc>
          <w:tcPr>
            <w:tcW w:w="40" w:type="dxa"/>
            <w:vAlign w:val="bottom"/>
            <w:tcBorders>
              <w:right w:val="single" w:sz="8" w:color="808080"/>
            </w:tcBorders>
          </w:tcPr>
          <w:p>
            <w:pPr>
              <w:spacing w:after="0"/>
              <w:rPr>
                <w:sz w:val="17"/>
                <w:szCs w:val="17"/>
                <w:color w:val="auto"/>
              </w:rPr>
            </w:pPr>
          </w:p>
        </w:tc>
      </w:tr>
      <w:tr>
        <w:trPr>
          <w:trHeight w:val="210"/>
        </w:trPr>
        <w:tc>
          <w:tcPr>
            <w:tcW w:w="53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top w:val="single" w:sz="8" w:color="auto"/>
            </w:tcBorders>
            <w:shd w:val="clear" w:color="auto" w:fill="EAF1DD"/>
          </w:tcPr>
          <w:p>
            <w:pPr>
              <w:spacing w:after="0"/>
              <w:rPr>
                <w:sz w:val="18"/>
                <w:szCs w:val="18"/>
                <w:color w:val="auto"/>
              </w:rPr>
            </w:pPr>
          </w:p>
        </w:tc>
        <w:tc>
          <w:tcPr>
            <w:tcW w:w="1180" w:type="dxa"/>
            <w:vAlign w:val="bottom"/>
            <w:tcBorders>
              <w:top w:val="single" w:sz="8" w:color="auto"/>
            </w:tcBorders>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40" w:type="dxa"/>
            <w:vAlign w:val="bottom"/>
            <w:tcBorders>
              <w:top w:val="single" w:sz="8" w:color="auto"/>
            </w:tcBorders>
            <w:shd w:val="clear" w:color="auto" w:fill="EAF1DD"/>
          </w:tcPr>
          <w:p>
            <w:pPr>
              <w:spacing w:after="0"/>
              <w:rPr>
                <w:sz w:val="18"/>
                <w:szCs w:val="18"/>
                <w:color w:val="auto"/>
              </w:rPr>
            </w:pPr>
          </w:p>
        </w:tc>
        <w:tc>
          <w:tcPr>
            <w:tcW w:w="600" w:type="dxa"/>
            <w:vAlign w:val="bottom"/>
            <w:tcBorders>
              <w:top w:val="single" w:sz="8" w:color="auto"/>
            </w:tcBorders>
            <w:shd w:val="clear" w:color="auto" w:fill="EAF1DD"/>
          </w:tcPr>
          <w:p>
            <w:pPr>
              <w:spacing w:after="0"/>
              <w:rPr>
                <w:sz w:val="18"/>
                <w:szCs w:val="18"/>
                <w:color w:val="auto"/>
              </w:rPr>
            </w:pPr>
          </w:p>
        </w:tc>
        <w:tc>
          <w:tcPr>
            <w:tcW w:w="1060" w:type="dxa"/>
            <w:vAlign w:val="bottom"/>
            <w:tcBorders>
              <w:top w:val="single" w:sz="8" w:color="auto"/>
            </w:tcBorders>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5,508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1,557</w:t>
            </w:r>
          </w:p>
        </w:tc>
        <w:tc>
          <w:tcPr>
            <w:tcW w:w="40" w:type="dxa"/>
            <w:vAlign w:val="bottom"/>
            <w:tcBorders>
              <w:right w:val="single" w:sz="8" w:color="808080"/>
            </w:tcBorders>
          </w:tcPr>
          <w:p>
            <w:pPr>
              <w:spacing w:after="0"/>
              <w:rPr>
                <w:sz w:val="18"/>
                <w:szCs w:val="18"/>
                <w:color w:val="auto"/>
              </w:rPr>
            </w:pPr>
          </w:p>
        </w:tc>
      </w:tr>
      <w:tr>
        <w:trPr>
          <w:trHeight w:val="202"/>
        </w:trPr>
        <w:tc>
          <w:tcPr>
            <w:tcW w:w="5300" w:type="dxa"/>
            <w:vAlign w:val="bottom"/>
            <w:tcBorders>
              <w:left w:val="single" w:sz="8" w:color="808080"/>
            </w:tcBorders>
            <w:shd w:val="clear" w:color="auto" w:fill="EAF1DD"/>
          </w:tcPr>
          <w:p>
            <w:pPr>
              <w:ind w:left="8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540" w:type="dxa"/>
            <w:vAlign w:val="bottom"/>
            <w:shd w:val="clear" w:color="auto" w:fill="EAF1DD"/>
          </w:tcPr>
          <w:p>
            <w:pPr>
              <w:spacing w:after="0"/>
              <w:rPr>
                <w:sz w:val="17"/>
                <w:szCs w:val="17"/>
                <w:color w:val="auto"/>
              </w:rPr>
            </w:pPr>
          </w:p>
        </w:tc>
        <w:tc>
          <w:tcPr>
            <w:tcW w:w="1180" w:type="dxa"/>
            <w:vAlign w:val="bottom"/>
            <w:shd w:val="clear" w:color="auto" w:fill="EAF1DD"/>
          </w:tcPr>
          <w:p>
            <w:pPr>
              <w:spacing w:after="0"/>
              <w:rPr>
                <w:sz w:val="17"/>
                <w:szCs w:val="17"/>
                <w:color w:val="auto"/>
              </w:rPr>
            </w:pPr>
          </w:p>
        </w:tc>
        <w:tc>
          <w:tcPr>
            <w:tcW w:w="280" w:type="dxa"/>
            <w:vAlign w:val="bottom"/>
            <w:shd w:val="clear" w:color="auto" w:fill="EAF1DD"/>
          </w:tcPr>
          <w:p>
            <w:pPr>
              <w:spacing w:after="0"/>
              <w:rPr>
                <w:sz w:val="17"/>
                <w:szCs w:val="17"/>
                <w:color w:val="auto"/>
              </w:rPr>
            </w:pPr>
          </w:p>
        </w:tc>
        <w:tc>
          <w:tcPr>
            <w:tcW w:w="140" w:type="dxa"/>
            <w:vAlign w:val="bottom"/>
            <w:shd w:val="clear" w:color="auto" w:fill="EAF1DD"/>
          </w:tcPr>
          <w:p>
            <w:pPr>
              <w:spacing w:after="0"/>
              <w:rPr>
                <w:sz w:val="17"/>
                <w:szCs w:val="17"/>
                <w:color w:val="auto"/>
              </w:rPr>
            </w:pPr>
          </w:p>
        </w:tc>
        <w:tc>
          <w:tcPr>
            <w:tcW w:w="600" w:type="dxa"/>
            <w:vAlign w:val="bottom"/>
            <w:shd w:val="clear" w:color="auto" w:fill="EAF1DD"/>
          </w:tcPr>
          <w:p>
            <w:pPr>
              <w:spacing w:after="0"/>
              <w:rPr>
                <w:sz w:val="17"/>
                <w:szCs w:val="17"/>
                <w:color w:val="auto"/>
              </w:rPr>
            </w:pPr>
          </w:p>
        </w:tc>
        <w:tc>
          <w:tcPr>
            <w:tcW w:w="1060" w:type="dxa"/>
            <w:vAlign w:val="bottom"/>
            <w:shd w:val="clear" w:color="auto" w:fill="EAF1DD"/>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30"/>
        </w:trPr>
        <w:tc>
          <w:tcPr>
            <w:tcW w:w="53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EAF1DD"/>
          </w:tcPr>
          <w:p>
            <w:pPr>
              <w:spacing w:after="0"/>
              <w:rPr>
                <w:sz w:val="20"/>
                <w:szCs w:val="20"/>
                <w:color w:val="auto"/>
              </w:rPr>
            </w:pPr>
          </w:p>
        </w:tc>
        <w:tc>
          <w:tcPr>
            <w:tcW w:w="1180" w:type="dxa"/>
            <w:vAlign w:val="bottom"/>
            <w:shd w:val="clear" w:color="auto" w:fill="EAF1DD"/>
          </w:tcPr>
          <w:p>
            <w:pPr>
              <w:spacing w:after="0"/>
              <w:rPr>
                <w:sz w:val="20"/>
                <w:szCs w:val="20"/>
                <w:color w:val="auto"/>
              </w:rPr>
            </w:pPr>
          </w:p>
        </w:tc>
        <w:tc>
          <w:tcPr>
            <w:tcW w:w="280" w:type="dxa"/>
            <w:vAlign w:val="bottom"/>
            <w:shd w:val="clear" w:color="auto" w:fill="EAF1DD"/>
          </w:tcPr>
          <w:p>
            <w:pPr>
              <w:spacing w:after="0"/>
              <w:rPr>
                <w:sz w:val="20"/>
                <w:szCs w:val="20"/>
                <w:color w:val="auto"/>
              </w:rPr>
            </w:pPr>
          </w:p>
        </w:tc>
        <w:tc>
          <w:tcPr>
            <w:tcW w:w="140" w:type="dxa"/>
            <w:vAlign w:val="bottom"/>
            <w:shd w:val="clear" w:color="auto" w:fill="EAF1DD"/>
          </w:tcPr>
          <w:p>
            <w:pPr>
              <w:spacing w:after="0"/>
              <w:rPr>
                <w:sz w:val="20"/>
                <w:szCs w:val="20"/>
                <w:color w:val="auto"/>
              </w:rPr>
            </w:pPr>
          </w:p>
        </w:tc>
        <w:tc>
          <w:tcPr>
            <w:tcW w:w="600" w:type="dxa"/>
            <w:vAlign w:val="bottom"/>
            <w:shd w:val="clear" w:color="auto" w:fill="EAF1DD"/>
          </w:tcPr>
          <w:p>
            <w:pPr>
              <w:spacing w:after="0"/>
              <w:rPr>
                <w:sz w:val="20"/>
                <w:szCs w:val="20"/>
                <w:color w:val="auto"/>
              </w:rPr>
            </w:pPr>
          </w:p>
        </w:tc>
        <w:tc>
          <w:tcPr>
            <w:tcW w:w="1060" w:type="dxa"/>
            <w:vAlign w:val="bottom"/>
            <w:shd w:val="clear" w:color="auto" w:fill="EAF1DD"/>
          </w:tcPr>
          <w:p>
            <w:pPr>
              <w:spacing w:after="0"/>
              <w:rPr>
                <w:sz w:val="20"/>
                <w:szCs w:val="20"/>
                <w:color w:val="auto"/>
              </w:rPr>
            </w:pPr>
          </w:p>
        </w:tc>
        <w:tc>
          <w:tcPr>
            <w:tcW w:w="40" w:type="dxa"/>
            <w:vAlign w:val="bottom"/>
            <w:tcBorders>
              <w:right w:val="single" w:sz="8" w:color="808080"/>
            </w:tcBorders>
          </w:tcPr>
          <w:p>
            <w:pPr>
              <w:spacing w:after="0"/>
              <w:rPr>
                <w:sz w:val="20"/>
                <w:szCs w:val="20"/>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Depreciation and amortization expense</w:t>
            </w:r>
          </w:p>
        </w:tc>
        <w:tc>
          <w:tcPr>
            <w:tcW w:w="5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900</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224</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Provision for doubtful accounts</w:t>
            </w:r>
          </w:p>
        </w:tc>
        <w:tc>
          <w:tcPr>
            <w:tcW w:w="5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207</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Write-down of inventory to net realizable value</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145</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Loss on disposal of assets</w:t>
            </w:r>
          </w:p>
        </w:tc>
        <w:tc>
          <w:tcPr>
            <w:tcW w:w="5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Proceeds from litigation</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(3,702)</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1,179</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(2,441)</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(1,916)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2,344</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1,418</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203</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609</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177</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(1,768)</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1,324</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Deferred product revenue</w:t>
            </w:r>
          </w:p>
        </w:tc>
        <w:tc>
          <w:tcPr>
            <w:tcW w:w="5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EAF1DD"/>
          </w:tcPr>
          <w:p>
            <w:pPr>
              <w:spacing w:after="0"/>
              <w:rPr>
                <w:sz w:val="18"/>
                <w:szCs w:val="18"/>
                <w:color w:val="auto"/>
              </w:rPr>
            </w:pPr>
          </w:p>
        </w:tc>
        <w:tc>
          <w:tcPr>
            <w:tcW w:w="1180" w:type="dxa"/>
            <w:vAlign w:val="bottom"/>
            <w:tcBorders>
              <w:bottom w:val="single" w:sz="8" w:color="auto"/>
            </w:tcBorders>
            <w:shd w:val="clear" w:color="auto" w:fill="EAF1DD"/>
          </w:tcPr>
          <w:p>
            <w:pPr>
              <w:jc w:val="right"/>
              <w:ind w:right="35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EAF1DD"/>
          </w:tcPr>
          <w:p>
            <w:pPr>
              <w:spacing w:after="0"/>
              <w:rPr>
                <w:sz w:val="18"/>
                <w:szCs w:val="18"/>
                <w:color w:val="auto"/>
              </w:rPr>
            </w:pPr>
          </w:p>
        </w:tc>
        <w:tc>
          <w:tcPr>
            <w:tcW w:w="140" w:type="dxa"/>
            <w:vAlign w:val="bottom"/>
            <w:tcBorders>
              <w:bottom w:val="single" w:sz="8" w:color="auto"/>
            </w:tcBorders>
            <w:shd w:val="clear" w:color="auto" w:fill="EAF1DD"/>
          </w:tcPr>
          <w:p>
            <w:pPr>
              <w:spacing w:after="0"/>
              <w:rPr>
                <w:sz w:val="18"/>
                <w:szCs w:val="18"/>
                <w:color w:val="auto"/>
              </w:rPr>
            </w:pPr>
          </w:p>
        </w:tc>
        <w:tc>
          <w:tcPr>
            <w:tcW w:w="600" w:type="dxa"/>
            <w:vAlign w:val="bottom"/>
            <w:tcBorders>
              <w:bottom w:val="single" w:sz="8" w:color="auto"/>
            </w:tcBorders>
            <w:shd w:val="clear" w:color="auto" w:fill="EAF1DD"/>
          </w:tcPr>
          <w:p>
            <w:pPr>
              <w:spacing w:after="0"/>
              <w:rPr>
                <w:sz w:val="18"/>
                <w:szCs w:val="18"/>
                <w:color w:val="auto"/>
              </w:rPr>
            </w:pPr>
          </w:p>
        </w:tc>
        <w:tc>
          <w:tcPr>
            <w:tcW w:w="1060" w:type="dxa"/>
            <w:vAlign w:val="bottom"/>
            <w:tcBorders>
              <w:bottom w:val="single" w:sz="8" w:color="auto"/>
            </w:tcBorders>
            <w:shd w:val="clear" w:color="auto" w:fill="EAF1DD"/>
          </w:tcPr>
          <w:p>
            <w:pPr>
              <w:jc w:val="right"/>
              <w:ind w:right="290"/>
              <w:spacing w:after="0"/>
              <w:rPr>
                <w:sz w:val="20"/>
                <w:szCs w:val="20"/>
                <w:color w:val="auto"/>
              </w:rPr>
            </w:pPr>
            <w:r>
              <w:rPr>
                <w:rFonts w:ascii="Arial" w:cs="Arial" w:eastAsia="Arial" w:hAnsi="Arial"/>
                <w:sz w:val="18"/>
                <w:szCs w:val="18"/>
                <w:color w:val="auto"/>
              </w:rPr>
              <w:t>(932)</w:t>
            </w:r>
          </w:p>
        </w:tc>
        <w:tc>
          <w:tcPr>
            <w:tcW w:w="40" w:type="dxa"/>
            <w:vAlign w:val="bottom"/>
            <w:tcBorders>
              <w:right w:val="single" w:sz="8" w:color="808080"/>
            </w:tcBorders>
          </w:tcPr>
          <w:p>
            <w:pPr>
              <w:spacing w:after="0"/>
              <w:rPr>
                <w:sz w:val="18"/>
                <w:szCs w:val="18"/>
                <w:color w:val="auto"/>
              </w:rPr>
            </w:pPr>
          </w:p>
        </w:tc>
      </w:tr>
      <w:tr>
        <w:trPr>
          <w:trHeight w:val="183"/>
        </w:trPr>
        <w:tc>
          <w:tcPr>
            <w:tcW w:w="5300" w:type="dxa"/>
            <w:vAlign w:val="bottom"/>
            <w:tcBorders>
              <w:left w:val="single" w:sz="8" w:color="808080"/>
            </w:tcBorders>
          </w:tcPr>
          <w:p>
            <w:pPr>
              <w:ind w:left="80"/>
              <w:spacing w:after="0" w:line="182" w:lineRule="exact"/>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2,034</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4,420</w:t>
            </w:r>
          </w:p>
        </w:tc>
        <w:tc>
          <w:tcPr>
            <w:tcW w:w="40" w:type="dxa"/>
            <w:vAlign w:val="bottom"/>
            <w:tcBorders>
              <w:right w:val="single" w:sz="8" w:color="808080"/>
            </w:tcBorders>
          </w:tcPr>
          <w:p>
            <w:pPr>
              <w:spacing w:after="0"/>
              <w:rPr>
                <w:sz w:val="15"/>
                <w:szCs w:val="15"/>
                <w:color w:val="auto"/>
              </w:rPr>
            </w:pPr>
          </w:p>
        </w:tc>
      </w:tr>
      <w:tr>
        <w:trPr>
          <w:trHeight w:val="210"/>
        </w:trPr>
        <w:tc>
          <w:tcPr>
            <w:tcW w:w="5300" w:type="dxa"/>
            <w:vAlign w:val="bottom"/>
            <w:tcBorders>
              <w:left w:val="single" w:sz="8" w:color="808080"/>
            </w:tcBorders>
            <w:shd w:val="clear" w:color="auto" w:fill="EAF1DD"/>
          </w:tcPr>
          <w:p>
            <w:pPr>
              <w:spacing w:after="0"/>
              <w:rPr>
                <w:sz w:val="18"/>
                <w:szCs w:val="18"/>
                <w:color w:val="auto"/>
              </w:rPr>
            </w:pP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Escrow proceeds received pursuant to NetStreams acquisition</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350</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Payment towards acquisition of MagicBox business</w:t>
            </w:r>
          </w:p>
        </w:tc>
        <w:tc>
          <w:tcPr>
            <w:tcW w:w="5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Purchase of property and equipment</w:t>
            </w:r>
          </w:p>
        </w:tc>
        <w:tc>
          <w:tcPr>
            <w:tcW w:w="540" w:type="dxa"/>
            <w:vAlign w:val="bottom"/>
            <w:tcBorders>
              <w:bottom w:val="single" w:sz="8" w:color="auto"/>
            </w:tcBorders>
            <w:shd w:val="clear" w:color="auto" w:fill="EAF1DD"/>
          </w:tcPr>
          <w:p>
            <w:pPr>
              <w:spacing w:after="0"/>
              <w:rPr>
                <w:sz w:val="18"/>
                <w:szCs w:val="18"/>
                <w:color w:val="auto"/>
              </w:rPr>
            </w:pPr>
          </w:p>
        </w:tc>
        <w:tc>
          <w:tcPr>
            <w:tcW w:w="1180" w:type="dxa"/>
            <w:vAlign w:val="bottom"/>
            <w:tcBorders>
              <w:bottom w:val="single" w:sz="8" w:color="auto"/>
            </w:tcBorders>
            <w:shd w:val="clear" w:color="auto" w:fill="EAF1DD"/>
          </w:tcPr>
          <w:p>
            <w:pPr>
              <w:jc w:val="right"/>
              <w:ind w:right="29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EAF1DD"/>
          </w:tcPr>
          <w:p>
            <w:pPr>
              <w:spacing w:after="0"/>
              <w:rPr>
                <w:sz w:val="18"/>
                <w:szCs w:val="18"/>
                <w:color w:val="auto"/>
              </w:rPr>
            </w:pPr>
          </w:p>
        </w:tc>
        <w:tc>
          <w:tcPr>
            <w:tcW w:w="140" w:type="dxa"/>
            <w:vAlign w:val="bottom"/>
            <w:tcBorders>
              <w:bottom w:val="single" w:sz="8" w:color="auto"/>
            </w:tcBorders>
            <w:shd w:val="clear" w:color="auto" w:fill="EAF1DD"/>
          </w:tcPr>
          <w:p>
            <w:pPr>
              <w:spacing w:after="0"/>
              <w:rPr>
                <w:sz w:val="18"/>
                <w:szCs w:val="18"/>
                <w:color w:val="auto"/>
              </w:rPr>
            </w:pPr>
          </w:p>
        </w:tc>
        <w:tc>
          <w:tcPr>
            <w:tcW w:w="600" w:type="dxa"/>
            <w:vAlign w:val="bottom"/>
            <w:tcBorders>
              <w:bottom w:val="single" w:sz="8" w:color="auto"/>
            </w:tcBorders>
            <w:shd w:val="clear" w:color="auto" w:fill="EAF1DD"/>
          </w:tcPr>
          <w:p>
            <w:pPr>
              <w:spacing w:after="0"/>
              <w:rPr>
                <w:sz w:val="18"/>
                <w:szCs w:val="18"/>
                <w:color w:val="auto"/>
              </w:rPr>
            </w:pPr>
          </w:p>
        </w:tc>
        <w:tc>
          <w:tcPr>
            <w:tcW w:w="1060" w:type="dxa"/>
            <w:vAlign w:val="bottom"/>
            <w:tcBorders>
              <w:bottom w:val="single" w:sz="8" w:color="auto"/>
            </w:tcBorders>
            <w:shd w:val="clear" w:color="auto" w:fill="EAF1DD"/>
          </w:tcPr>
          <w:p>
            <w:pPr>
              <w:jc w:val="right"/>
              <w:ind w:right="290"/>
              <w:spacing w:after="0"/>
              <w:rPr>
                <w:sz w:val="20"/>
                <w:szCs w:val="20"/>
                <w:color w:val="auto"/>
              </w:rPr>
            </w:pPr>
            <w:r>
              <w:rPr>
                <w:rFonts w:ascii="Arial" w:cs="Arial" w:eastAsia="Arial" w:hAnsi="Arial"/>
                <w:sz w:val="18"/>
                <w:szCs w:val="18"/>
                <w:color w:val="auto"/>
              </w:rPr>
              <w:t>(748)</w:t>
            </w:r>
          </w:p>
        </w:tc>
        <w:tc>
          <w:tcPr>
            <w:tcW w:w="40" w:type="dxa"/>
            <w:vAlign w:val="bottom"/>
            <w:tcBorders>
              <w:right w:val="single" w:sz="8" w:color="808080"/>
            </w:tcBorders>
          </w:tcPr>
          <w:p>
            <w:pPr>
              <w:spacing w:after="0"/>
              <w:rPr>
                <w:sz w:val="18"/>
                <w:szCs w:val="18"/>
                <w:color w:val="auto"/>
              </w:rPr>
            </w:pPr>
          </w:p>
        </w:tc>
      </w:tr>
      <w:tr>
        <w:trPr>
          <w:trHeight w:val="183"/>
        </w:trPr>
        <w:tc>
          <w:tcPr>
            <w:tcW w:w="5300" w:type="dxa"/>
            <w:vAlign w:val="bottom"/>
            <w:tcBorders>
              <w:left w:val="single" w:sz="8" w:color="808080"/>
            </w:tcBorders>
          </w:tcPr>
          <w:p>
            <w:pPr>
              <w:ind w:left="80"/>
              <w:spacing w:after="0" w:line="182" w:lineRule="exact"/>
              <w:rPr>
                <w:sz w:val="20"/>
                <w:szCs w:val="20"/>
                <w:color w:val="auto"/>
              </w:rPr>
            </w:pPr>
            <w:r>
              <w:rPr>
                <w:rFonts w:ascii="Arial" w:cs="Arial" w:eastAsia="Arial" w:hAnsi="Arial"/>
                <w:sz w:val="18"/>
                <w:szCs w:val="18"/>
                <w:color w:val="auto"/>
              </w:rPr>
              <w:t>Net cash used in investing activities</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(1,059)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(398)</w:t>
            </w:r>
          </w:p>
        </w:tc>
        <w:tc>
          <w:tcPr>
            <w:tcW w:w="40" w:type="dxa"/>
            <w:vAlign w:val="bottom"/>
            <w:tcBorders>
              <w:right w:val="single" w:sz="8" w:color="808080"/>
            </w:tcBorders>
          </w:tcPr>
          <w:p>
            <w:pPr>
              <w:spacing w:after="0"/>
              <w:rPr>
                <w:sz w:val="15"/>
                <w:szCs w:val="15"/>
                <w:color w:val="auto"/>
              </w:rPr>
            </w:pPr>
          </w:p>
        </w:tc>
      </w:tr>
      <w:tr>
        <w:trPr>
          <w:trHeight w:val="210"/>
        </w:trPr>
        <w:tc>
          <w:tcPr>
            <w:tcW w:w="5300" w:type="dxa"/>
            <w:vAlign w:val="bottom"/>
            <w:tcBorders>
              <w:left w:val="single" w:sz="8" w:color="808080"/>
            </w:tcBorders>
            <w:shd w:val="clear" w:color="auto" w:fill="EAF1DD"/>
          </w:tcPr>
          <w:p>
            <w:pPr>
              <w:spacing w:after="0"/>
              <w:rPr>
                <w:sz w:val="18"/>
                <w:szCs w:val="18"/>
                <w:color w:val="auto"/>
              </w:rPr>
            </w:pP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Proceeds from the issuance of common stock – options</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bottom w:val="single" w:sz="8" w:color="EAF1DD"/>
            </w:tcBorders>
          </w:tcPr>
          <w:p>
            <w:pPr>
              <w:ind w:left="260"/>
              <w:spacing w:after="0"/>
              <w:rPr>
                <w:sz w:val="20"/>
                <w:szCs w:val="20"/>
                <w:color w:val="auto"/>
              </w:rPr>
            </w:pPr>
            <w:r>
              <w:rPr>
                <w:rFonts w:ascii="Arial" w:cs="Arial" w:eastAsia="Arial" w:hAnsi="Arial"/>
                <w:sz w:val="18"/>
                <w:szCs w:val="18"/>
                <w:color w:val="auto"/>
              </w:rPr>
              <w:t>Principal payments on long-term debt</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1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(2,000)</w:t>
            </w:r>
          </w:p>
        </w:tc>
        <w:tc>
          <w:tcPr>
            <w:tcW w:w="40" w:type="dxa"/>
            <w:vAlign w:val="bottom"/>
            <w:tcBorders>
              <w:right w:val="single" w:sz="8" w:color="808080"/>
            </w:tcBorders>
          </w:tcPr>
          <w:p>
            <w:pPr>
              <w:spacing w:after="0"/>
              <w:rPr>
                <w:sz w:val="18"/>
                <w:szCs w:val="18"/>
                <w:color w:val="auto"/>
              </w:rPr>
            </w:pPr>
          </w:p>
        </w:tc>
      </w:tr>
      <w:tr>
        <w:trPr>
          <w:trHeight w:val="183"/>
        </w:trPr>
        <w:tc>
          <w:tcPr>
            <w:tcW w:w="5300" w:type="dxa"/>
            <w:vAlign w:val="bottom"/>
            <w:tcBorders>
              <w:left w:val="single" w:sz="8" w:color="808080"/>
              <w:bottom w:val="single" w:sz="8" w:color="EAF1DD"/>
            </w:tcBorders>
            <w:shd w:val="clear" w:color="auto" w:fill="EAF1DD"/>
          </w:tcPr>
          <w:p>
            <w:pPr>
              <w:ind w:left="80"/>
              <w:spacing w:after="0" w:line="182" w:lineRule="exact"/>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bottom w:val="single" w:sz="8" w:color="auto"/>
            </w:tcBorders>
            <w:shd w:val="clear" w:color="auto" w:fill="EAF1DD"/>
          </w:tcPr>
          <w:p>
            <w:pPr>
              <w:spacing w:after="0"/>
              <w:rPr>
                <w:sz w:val="15"/>
                <w:szCs w:val="15"/>
                <w:color w:val="auto"/>
              </w:rPr>
            </w:pPr>
          </w:p>
        </w:tc>
        <w:tc>
          <w:tcPr>
            <w:tcW w:w="1180" w:type="dxa"/>
            <w:vAlign w:val="bottom"/>
            <w:tcBorders>
              <w:bottom w:val="single" w:sz="8" w:color="auto"/>
            </w:tcBorders>
            <w:shd w:val="clear" w:color="auto" w:fill="EAF1DD"/>
          </w:tcPr>
          <w:p>
            <w:pPr>
              <w:jc w:val="right"/>
              <w:ind w:right="350"/>
              <w:spacing w:after="0" w:line="182" w:lineRule="exact"/>
              <w:rPr>
                <w:sz w:val="20"/>
                <w:szCs w:val="20"/>
                <w:color w:val="auto"/>
              </w:rPr>
            </w:pPr>
            <w:r>
              <w:rPr>
                <w:rFonts w:ascii="Arial" w:cs="Arial" w:eastAsia="Arial" w:hAnsi="Arial"/>
                <w:sz w:val="18"/>
                <w:szCs w:val="18"/>
                <w:color w:val="auto"/>
              </w:rPr>
              <w:t>732</w:t>
            </w:r>
          </w:p>
        </w:tc>
        <w:tc>
          <w:tcPr>
            <w:tcW w:w="280" w:type="dxa"/>
            <w:vAlign w:val="bottom"/>
            <w:tcBorders>
              <w:bottom w:val="single" w:sz="8" w:color="EAF1DD"/>
            </w:tcBorders>
            <w:shd w:val="clear" w:color="auto" w:fill="EAF1DD"/>
          </w:tcPr>
          <w:p>
            <w:pPr>
              <w:spacing w:after="0"/>
              <w:rPr>
                <w:sz w:val="15"/>
                <w:szCs w:val="15"/>
                <w:color w:val="auto"/>
              </w:rPr>
            </w:pPr>
          </w:p>
        </w:tc>
        <w:tc>
          <w:tcPr>
            <w:tcW w:w="140" w:type="dxa"/>
            <w:vAlign w:val="bottom"/>
            <w:tcBorders>
              <w:bottom w:val="single" w:sz="8" w:color="auto"/>
            </w:tcBorders>
            <w:shd w:val="clear" w:color="auto" w:fill="EAF1DD"/>
          </w:tcPr>
          <w:p>
            <w:pPr>
              <w:spacing w:after="0"/>
              <w:rPr>
                <w:sz w:val="15"/>
                <w:szCs w:val="15"/>
                <w:color w:val="auto"/>
              </w:rPr>
            </w:pPr>
          </w:p>
        </w:tc>
        <w:tc>
          <w:tcPr>
            <w:tcW w:w="600" w:type="dxa"/>
            <w:vAlign w:val="bottom"/>
            <w:tcBorders>
              <w:bottom w:val="single" w:sz="8" w:color="auto"/>
            </w:tcBorders>
            <w:shd w:val="clear" w:color="auto" w:fill="EAF1DD"/>
          </w:tcPr>
          <w:p>
            <w:pPr>
              <w:spacing w:after="0"/>
              <w:rPr>
                <w:sz w:val="15"/>
                <w:szCs w:val="15"/>
                <w:color w:val="auto"/>
              </w:rPr>
            </w:pPr>
          </w:p>
        </w:tc>
        <w:tc>
          <w:tcPr>
            <w:tcW w:w="1060" w:type="dxa"/>
            <w:vAlign w:val="bottom"/>
            <w:tcBorders>
              <w:bottom w:val="single" w:sz="8" w:color="auto"/>
            </w:tcBorders>
            <w:shd w:val="clear" w:color="auto" w:fill="EAF1DD"/>
          </w:tcPr>
          <w:p>
            <w:pPr>
              <w:jc w:val="right"/>
              <w:ind w:right="290"/>
              <w:spacing w:after="0" w:line="182" w:lineRule="exact"/>
              <w:rPr>
                <w:sz w:val="20"/>
                <w:szCs w:val="20"/>
                <w:color w:val="auto"/>
              </w:rPr>
            </w:pPr>
            <w:r>
              <w:rPr>
                <w:rFonts w:ascii="Arial" w:cs="Arial" w:eastAsia="Arial" w:hAnsi="Arial"/>
                <w:sz w:val="18"/>
                <w:szCs w:val="18"/>
                <w:color w:val="auto"/>
              </w:rPr>
              <w:t>(2,000)</w:t>
            </w:r>
          </w:p>
        </w:tc>
        <w:tc>
          <w:tcPr>
            <w:tcW w:w="40" w:type="dxa"/>
            <w:vAlign w:val="bottom"/>
            <w:tcBorders>
              <w:right w:val="single" w:sz="8" w:color="808080"/>
            </w:tcBorders>
          </w:tcPr>
          <w:p>
            <w:pPr>
              <w:spacing w:after="0"/>
              <w:rPr>
                <w:sz w:val="15"/>
                <w:szCs w:val="15"/>
                <w:color w:val="auto"/>
              </w:rPr>
            </w:pPr>
          </w:p>
        </w:tc>
      </w:tr>
      <w:tr>
        <w:trPr>
          <w:trHeight w:val="210"/>
        </w:trPr>
        <w:tc>
          <w:tcPr>
            <w:tcW w:w="5300" w:type="dxa"/>
            <w:vAlign w:val="bottom"/>
            <w:tcBorders>
              <w:left w:val="single" w:sz="8" w:color="808080"/>
            </w:tcBorders>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1,707</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2,022</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Cash and cash equivalents at the beginning of the period</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11,431</w:t>
            </w:r>
          </w:p>
        </w:tc>
        <w:tc>
          <w:tcPr>
            <w:tcW w:w="280" w:type="dxa"/>
            <w:vAlign w:val="bottom"/>
            <w:tcBorders>
              <w:bottom w:val="single" w:sz="8" w:color="EAF1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9,494</w:t>
            </w:r>
          </w:p>
        </w:tc>
        <w:tc>
          <w:tcPr>
            <w:tcW w:w="40" w:type="dxa"/>
            <w:vAlign w:val="bottom"/>
            <w:tcBorders>
              <w:right w:val="single" w:sz="8" w:color="808080"/>
            </w:tcBorders>
          </w:tcPr>
          <w:p>
            <w:pPr>
              <w:spacing w:after="0"/>
              <w:rPr>
                <w:sz w:val="18"/>
                <w:szCs w:val="18"/>
                <w:color w:val="auto"/>
              </w:rPr>
            </w:pPr>
          </w:p>
        </w:tc>
      </w:tr>
      <w:tr>
        <w:trPr>
          <w:trHeight w:val="223"/>
        </w:trPr>
        <w:tc>
          <w:tcPr>
            <w:tcW w:w="5300" w:type="dxa"/>
            <w:vAlign w:val="bottom"/>
            <w:tcBorders>
              <w:left w:val="single" w:sz="8" w:color="808080"/>
              <w:bottom w:val="single" w:sz="8" w:color="EAF1DD"/>
            </w:tcBorders>
            <w:shd w:val="clear" w:color="auto" w:fill="EAF1DD"/>
          </w:tcPr>
          <w:p>
            <w:pPr>
              <w:ind w:left="80"/>
              <w:spacing w:after="0" w:line="182" w:lineRule="exact"/>
              <w:rPr>
                <w:sz w:val="20"/>
                <w:szCs w:val="20"/>
                <w:color w:val="auto"/>
              </w:rPr>
            </w:pPr>
            <w:r>
              <w:rPr>
                <w:rFonts w:ascii="Arial" w:cs="Arial" w:eastAsia="Arial" w:hAnsi="Arial"/>
                <w:sz w:val="18"/>
                <w:szCs w:val="18"/>
                <w:color w:val="auto"/>
              </w:rPr>
              <w:t>Cash and cash equivalents at the end of the period</w:t>
            </w:r>
          </w:p>
        </w:tc>
        <w:tc>
          <w:tcPr>
            <w:tcW w:w="54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AF1DD"/>
          </w:tcPr>
          <w:p>
            <w:pPr>
              <w:jc w:val="right"/>
              <w:ind w:right="350"/>
              <w:spacing w:after="0" w:line="182" w:lineRule="exact"/>
              <w:rPr>
                <w:sz w:val="20"/>
                <w:szCs w:val="20"/>
                <w:color w:val="auto"/>
              </w:rPr>
            </w:pPr>
            <w:r>
              <w:rPr>
                <w:rFonts w:ascii="Arial" w:cs="Arial" w:eastAsia="Arial" w:hAnsi="Arial"/>
                <w:sz w:val="18"/>
                <w:szCs w:val="18"/>
                <w:color w:val="auto"/>
              </w:rPr>
              <w:t>13,138</w:t>
            </w:r>
          </w:p>
        </w:tc>
        <w:tc>
          <w:tcPr>
            <w:tcW w:w="280" w:type="dxa"/>
            <w:vAlign w:val="bottom"/>
            <w:tcBorders>
              <w:bottom w:val="single" w:sz="8" w:color="EAF1DD"/>
            </w:tcBorders>
            <w:shd w:val="clear" w:color="auto" w:fill="EAF1DD"/>
          </w:tcPr>
          <w:p>
            <w:pPr>
              <w:spacing w:after="0"/>
              <w:rPr>
                <w:sz w:val="19"/>
                <w:szCs w:val="19"/>
                <w:color w:val="auto"/>
              </w:rPr>
            </w:pPr>
          </w:p>
        </w:tc>
        <w:tc>
          <w:tcPr>
            <w:tcW w:w="140" w:type="dxa"/>
            <w:vAlign w:val="bottom"/>
            <w:tcBorders>
              <w:bottom w:val="single" w:sz="8" w:color="auto"/>
            </w:tcBorders>
            <w:shd w:val="clear" w:color="auto" w:fill="EAF1DD"/>
          </w:tcPr>
          <w:p>
            <w:pPr>
              <w:spacing w:after="0"/>
              <w:rPr>
                <w:sz w:val="19"/>
                <w:szCs w:val="19"/>
                <w:color w:val="auto"/>
              </w:rPr>
            </w:pPr>
          </w:p>
        </w:tc>
        <w:tc>
          <w:tcPr>
            <w:tcW w:w="600" w:type="dxa"/>
            <w:vAlign w:val="bottom"/>
            <w:tcBorders>
              <w:bottom w:val="single" w:sz="8" w:color="auto"/>
            </w:tcBorders>
            <w:shd w:val="clear" w:color="auto" w:fill="EAF1DD"/>
          </w:tcPr>
          <w:p>
            <w:pPr>
              <w:jc w:val="right"/>
              <w:ind w:right="371"/>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AF1DD"/>
          </w:tcPr>
          <w:p>
            <w:pPr>
              <w:jc w:val="right"/>
              <w:ind w:right="330"/>
              <w:spacing w:after="0" w:line="182" w:lineRule="exact"/>
              <w:rPr>
                <w:sz w:val="20"/>
                <w:szCs w:val="20"/>
                <w:color w:val="auto"/>
              </w:rPr>
            </w:pPr>
            <w:r>
              <w:rPr>
                <w:rFonts w:ascii="Arial" w:cs="Arial" w:eastAsia="Arial" w:hAnsi="Arial"/>
                <w:sz w:val="18"/>
                <w:szCs w:val="18"/>
                <w:color w:val="auto"/>
              </w:rPr>
              <w:t>11,516</w:t>
            </w:r>
          </w:p>
        </w:tc>
        <w:tc>
          <w:tcPr>
            <w:tcW w:w="40" w:type="dxa"/>
            <w:vAlign w:val="bottom"/>
            <w:tcBorders>
              <w:right w:val="single" w:sz="8" w:color="808080"/>
            </w:tcBorders>
          </w:tcPr>
          <w:p>
            <w:pPr>
              <w:spacing w:after="0"/>
              <w:rPr>
                <w:sz w:val="19"/>
                <w:szCs w:val="19"/>
                <w:color w:val="auto"/>
              </w:rPr>
            </w:pPr>
          </w:p>
        </w:tc>
      </w:tr>
      <w:tr>
        <w:trPr>
          <w:trHeight w:val="197"/>
        </w:trPr>
        <w:tc>
          <w:tcPr>
            <w:tcW w:w="5300" w:type="dxa"/>
            <w:vAlign w:val="bottom"/>
            <w:tcBorders>
              <w:left w:val="single" w:sz="8" w:color="808080"/>
            </w:tcBorders>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6"/>
        </w:trPr>
        <w:tc>
          <w:tcPr>
            <w:tcW w:w="53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Cash paid for interest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61</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Cash paid for income taxes</w:t>
            </w:r>
          </w:p>
        </w:tc>
        <w:tc>
          <w:tcPr>
            <w:tcW w:w="540" w:type="dxa"/>
            <w:vAlign w:val="bottom"/>
            <w:shd w:val="clear" w:color="auto" w:fill="EAF1DD"/>
          </w:tcPr>
          <w:p>
            <w:pPr>
              <w:ind w:lef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53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Supplemental disclosure of non-cash activities:</w:t>
            </w:r>
          </w:p>
        </w:tc>
        <w:tc>
          <w:tcPr>
            <w:tcW w:w="540" w:type="dxa"/>
            <w:vAlign w:val="bottom"/>
            <w:shd w:val="clear" w:color="auto" w:fill="EAF1DD"/>
          </w:tcPr>
          <w:p>
            <w:pPr>
              <w:spacing w:after="0"/>
              <w:rPr>
                <w:sz w:val="18"/>
                <w:szCs w:val="18"/>
                <w:color w:val="auto"/>
              </w:rPr>
            </w:pPr>
          </w:p>
        </w:tc>
        <w:tc>
          <w:tcPr>
            <w:tcW w:w="1180" w:type="dxa"/>
            <w:vAlign w:val="bottom"/>
            <w:shd w:val="clear" w:color="auto" w:fill="EAF1DD"/>
          </w:tcPr>
          <w:p>
            <w:pPr>
              <w:spacing w:after="0"/>
              <w:rPr>
                <w:sz w:val="18"/>
                <w:szCs w:val="18"/>
                <w:color w:val="auto"/>
              </w:rPr>
            </w:pP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spacing w:after="0"/>
              <w:rPr>
                <w:sz w:val="18"/>
                <w:szCs w:val="18"/>
                <w:color w:val="auto"/>
              </w:rPr>
            </w:pPr>
          </w:p>
        </w:tc>
        <w:tc>
          <w:tcPr>
            <w:tcW w:w="106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02"/>
        </w:trPr>
        <w:tc>
          <w:tcPr>
            <w:tcW w:w="5300" w:type="dxa"/>
            <w:vAlign w:val="bottom"/>
            <w:tcBorders>
              <w:left w:val="single" w:sz="8" w:color="808080"/>
            </w:tcBorders>
          </w:tcPr>
          <w:p>
            <w:pPr>
              <w:ind w:left="260"/>
              <w:spacing w:after="0" w:line="201" w:lineRule="exact"/>
              <w:rPr>
                <w:sz w:val="20"/>
                <w:szCs w:val="20"/>
                <w:color w:val="auto"/>
              </w:rPr>
            </w:pPr>
            <w:r>
              <w:rPr>
                <w:rFonts w:ascii="Arial" w:cs="Arial" w:eastAsia="Arial" w:hAnsi="Arial"/>
                <w:sz w:val="18"/>
                <w:szCs w:val="18"/>
                <w:color w:val="auto"/>
                <w:w w:val="90"/>
              </w:rPr>
              <w:t>Exchanged accounts receivable from a vendor with accounts payable</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30"/>
        </w:trPr>
        <w:tc>
          <w:tcPr>
            <w:tcW w:w="53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to the same vendor</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293</w:t>
            </w:r>
          </w:p>
        </w:tc>
        <w:tc>
          <w:tcPr>
            <w:tcW w:w="40" w:type="dxa"/>
            <w:vAlign w:val="bottom"/>
            <w:tcBorders>
              <w:right w:val="single" w:sz="8" w:color="808080"/>
            </w:tcBorders>
          </w:tcPr>
          <w:p>
            <w:pPr>
              <w:spacing w:after="0"/>
              <w:rPr>
                <w:sz w:val="20"/>
                <w:szCs w:val="20"/>
                <w:color w:val="auto"/>
              </w:rPr>
            </w:pPr>
          </w:p>
        </w:tc>
      </w:tr>
      <w:tr>
        <w:trPr>
          <w:trHeight w:val="216"/>
        </w:trPr>
        <w:tc>
          <w:tcPr>
            <w:tcW w:w="530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Current liabilities reclassed to deferred rent</w:t>
            </w:r>
          </w:p>
        </w:tc>
        <w:tc>
          <w:tcPr>
            <w:tcW w:w="540" w:type="dxa"/>
            <w:vAlign w:val="bottom"/>
            <w:shd w:val="clear" w:color="auto" w:fill="EAF1DD"/>
          </w:tcPr>
          <w:p>
            <w:pPr>
              <w:ind w:lef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1DD"/>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600" w:type="dxa"/>
            <w:vAlign w:val="bottom"/>
            <w:shd w:val="clear" w:color="auto" w:fill="EAF1DD"/>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1DD"/>
          </w:tcPr>
          <w:p>
            <w:pPr>
              <w:jc w:val="right"/>
              <w:ind w:right="330"/>
              <w:spacing w:after="0"/>
              <w:rPr>
                <w:sz w:val="20"/>
                <w:szCs w:val="20"/>
                <w:color w:val="auto"/>
              </w:rPr>
            </w:pPr>
            <w:r>
              <w:rPr>
                <w:rFonts w:ascii="Arial" w:cs="Arial" w:eastAsia="Arial" w:hAnsi="Arial"/>
                <w:sz w:val="18"/>
                <w:szCs w:val="18"/>
                <w:color w:val="auto"/>
              </w:rPr>
              <w:t>176</w:t>
            </w:r>
          </w:p>
        </w:tc>
        <w:tc>
          <w:tcPr>
            <w:tcW w:w="40" w:type="dxa"/>
            <w:vAlign w:val="bottom"/>
            <w:tcBorders>
              <w:right w:val="single" w:sz="8" w:color="808080"/>
            </w:tcBorders>
          </w:tcPr>
          <w:p>
            <w:pPr>
              <w:spacing w:after="0"/>
              <w:rPr>
                <w:sz w:val="18"/>
                <w:szCs w:val="18"/>
                <w:color w:val="auto"/>
              </w:rPr>
            </w:pPr>
          </w:p>
        </w:tc>
      </w:tr>
      <w:tr>
        <w:trPr>
          <w:trHeight w:val="226"/>
        </w:trPr>
        <w:tc>
          <w:tcPr>
            <w:tcW w:w="5300" w:type="dxa"/>
            <w:vAlign w:val="bottom"/>
            <w:tcBorders>
              <w:left w:val="single" w:sz="8" w:color="808080"/>
              <w:bottom w:val="single" w:sz="8" w:color="808080"/>
            </w:tcBorders>
          </w:tcPr>
          <w:p>
            <w:pPr>
              <w:ind w:left="260"/>
              <w:spacing w:after="0"/>
              <w:rPr>
                <w:sz w:val="20"/>
                <w:szCs w:val="20"/>
                <w:color w:val="auto"/>
              </w:rPr>
            </w:pPr>
            <w:r>
              <w:rPr>
                <w:rFonts w:ascii="Arial" w:cs="Arial" w:eastAsia="Arial" w:hAnsi="Arial"/>
                <w:sz w:val="18"/>
                <w:szCs w:val="18"/>
                <w:color w:val="auto"/>
              </w:rPr>
              <w:t>Transfer from property and equipment to inventory</w:t>
            </w:r>
          </w:p>
        </w:tc>
        <w:tc>
          <w:tcPr>
            <w:tcW w:w="540" w:type="dxa"/>
            <w:vAlign w:val="bottom"/>
            <w:tcBorders>
              <w:bottom w:val="single" w:sz="8" w:color="808080"/>
            </w:tcBorders>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808080"/>
            </w:tcBorders>
          </w:tcPr>
          <w:p>
            <w:pPr>
              <w:jc w:val="right"/>
              <w:ind w:right="350"/>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jc w:val="right"/>
              <w:ind w:right="3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808080"/>
            </w:tcBorders>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808080"/>
              <w:right w:val="single" w:sz="8" w:color="808080"/>
            </w:tcBorders>
          </w:tcPr>
          <w:p>
            <w:pPr>
              <w:spacing w:after="0"/>
              <w:rPr>
                <w:sz w:val="19"/>
                <w:szCs w:val="19"/>
                <w:color w:val="auto"/>
              </w:rPr>
            </w:pPr>
          </w:p>
        </w:tc>
      </w:tr>
    </w:tbl>
    <w:p>
      <w:pPr>
        <w:spacing w:after="0" w:line="232"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2466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0199"/>
          </w:cols>
          <w:pgMar w:left="260" w:top="345" w:right="1440" w:bottom="1440" w:gutter="0" w:footer="0" w:header="0"/>
        </w:sectPr>
      </w:pPr>
    </w:p>
    <w:bookmarkStart w:id="5" w:name="page6"/>
    <w:bookmarkEnd w:id="5"/>
    <w:p>
      <w:pPr>
        <w:jc w:val="center"/>
        <w:ind w:left="2080" w:right="36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CASH FLOWS (Dollars in thousands)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Company acquired the business of MagicBox, Inc. and recorded the following assets and liabilities:</w:t>
      </w:r>
    </w:p>
    <w:p>
      <w:pPr>
        <w:spacing w:after="0" w:line="279" w:lineRule="exact"/>
        <w:rPr>
          <w:sz w:val="20"/>
          <w:szCs w:val="20"/>
          <w:color w:val="auto"/>
        </w:rPr>
      </w:pPr>
    </w:p>
    <w:tbl>
      <w:tblPr>
        <w:tblLayout w:type="fixed"/>
        <w:tblInd w:w="30" w:type="dxa"/>
        <w:tblCellMar>
          <w:top w:w="0" w:type="dxa"/>
          <w:left w:w="0" w:type="dxa"/>
          <w:bottom w:w="0" w:type="dxa"/>
          <w:right w:w="0" w:type="dxa"/>
        </w:tblCellMar>
      </w:tblPr>
      <w:tr>
        <w:trPr>
          <w:trHeight w:val="40"/>
        </w:trPr>
        <w:tc>
          <w:tcPr>
            <w:tcW w:w="4600" w:type="dxa"/>
            <w:vAlign w:val="bottom"/>
            <w:tcBorders>
              <w:top w:val="single" w:sz="8" w:color="808080"/>
              <w:left w:val="single" w:sz="8" w:color="808080"/>
            </w:tcBorders>
          </w:tcPr>
          <w:p>
            <w:pPr>
              <w:spacing w:after="0"/>
              <w:rPr>
                <w:sz w:val="3"/>
                <w:szCs w:val="3"/>
                <w:color w:val="auto"/>
              </w:rPr>
            </w:pPr>
          </w:p>
        </w:tc>
        <w:tc>
          <w:tcPr>
            <w:tcW w:w="480" w:type="dxa"/>
            <w:vAlign w:val="bottom"/>
            <w:tcBorders>
              <w:top w:val="single" w:sz="8" w:color="808080"/>
            </w:tcBorders>
          </w:tcPr>
          <w:p>
            <w:pPr>
              <w:spacing w:after="0"/>
              <w:rPr>
                <w:sz w:val="3"/>
                <w:szCs w:val="3"/>
                <w:color w:val="auto"/>
              </w:rPr>
            </w:pPr>
          </w:p>
        </w:tc>
        <w:tc>
          <w:tcPr>
            <w:tcW w:w="960" w:type="dxa"/>
            <w:vAlign w:val="bottom"/>
            <w:tcBorders>
              <w:top w:val="single" w:sz="8" w:color="808080"/>
              <w:right w:val="single" w:sz="8" w:color="808080"/>
            </w:tcBorders>
          </w:tcPr>
          <w:p>
            <w:pPr>
              <w:spacing w:after="0"/>
              <w:rPr>
                <w:sz w:val="3"/>
                <w:szCs w:val="3"/>
                <w:color w:val="auto"/>
              </w:rPr>
            </w:pPr>
          </w:p>
        </w:tc>
      </w:tr>
      <w:tr>
        <w:trPr>
          <w:trHeight w:val="20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EAF1DD"/>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81</w:t>
            </w:r>
          </w:p>
        </w:tc>
      </w:tr>
      <w:tr>
        <w:trPr>
          <w:trHeight w:val="216"/>
        </w:trPr>
        <w:tc>
          <w:tcPr>
            <w:tcW w:w="4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960" w:type="dxa"/>
            <w:vAlign w:val="bottom"/>
            <w:tcBorders>
              <w:right w:val="single" w:sz="8" w:color="808080"/>
            </w:tcBorders>
          </w:tcPr>
          <w:p>
            <w:pPr>
              <w:jc w:val="right"/>
              <w:ind w:right="370"/>
              <w:spacing w:after="0"/>
              <w:rPr>
                <w:sz w:val="20"/>
                <w:szCs w:val="20"/>
                <w:color w:val="auto"/>
              </w:rPr>
            </w:pPr>
            <w:r>
              <w:rPr>
                <w:rFonts w:ascii="Arial" w:cs="Arial" w:eastAsia="Arial" w:hAnsi="Arial"/>
                <w:sz w:val="18"/>
                <w:szCs w:val="18"/>
                <w:color w:val="auto"/>
              </w:rPr>
              <w:t>117</w:t>
            </w:r>
          </w:p>
        </w:tc>
      </w:tr>
      <w:tr>
        <w:trPr>
          <w:trHeight w:val="21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EAF1DD"/>
          </w:tcPr>
          <w:p>
            <w:pPr>
              <w:spacing w:after="0"/>
              <w:rPr>
                <w:sz w:val="18"/>
                <w:szCs w:val="18"/>
                <w:color w:val="auto"/>
              </w:rPr>
            </w:pP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12</w:t>
            </w:r>
          </w:p>
        </w:tc>
      </w:tr>
      <w:tr>
        <w:trPr>
          <w:trHeight w:val="216"/>
        </w:trPr>
        <w:tc>
          <w:tcPr>
            <w:tcW w:w="4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960" w:type="dxa"/>
            <w:vAlign w:val="bottom"/>
            <w:tcBorders>
              <w:right w:val="single" w:sz="8" w:color="808080"/>
            </w:tcBorders>
          </w:tcPr>
          <w:p>
            <w:pPr>
              <w:jc w:val="right"/>
              <w:ind w:right="310"/>
              <w:spacing w:after="0"/>
              <w:rPr>
                <w:sz w:val="20"/>
                <w:szCs w:val="20"/>
                <w:color w:val="auto"/>
              </w:rPr>
            </w:pPr>
            <w:r>
              <w:rPr>
                <w:rFonts w:ascii="Arial" w:cs="Arial" w:eastAsia="Arial" w:hAnsi="Arial"/>
                <w:sz w:val="18"/>
                <w:szCs w:val="18"/>
                <w:color w:val="auto"/>
              </w:rPr>
              <w:t>(4)</w:t>
            </w:r>
          </w:p>
        </w:tc>
      </w:tr>
      <w:tr>
        <w:trPr>
          <w:trHeight w:val="21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EAF1DD"/>
          </w:tcPr>
          <w:p>
            <w:pPr>
              <w:spacing w:after="0"/>
              <w:rPr>
                <w:sz w:val="18"/>
                <w:szCs w:val="18"/>
                <w:color w:val="auto"/>
              </w:rPr>
            </w:pP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9</w:t>
            </w:r>
          </w:p>
        </w:tc>
      </w:tr>
      <w:tr>
        <w:trPr>
          <w:trHeight w:val="216"/>
        </w:trPr>
        <w:tc>
          <w:tcPr>
            <w:tcW w:w="460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Intangibles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808080"/>
            </w:tcBorders>
          </w:tcPr>
          <w:p>
            <w:pPr>
              <w:jc w:val="right"/>
              <w:ind w:right="370"/>
              <w:spacing w:after="0"/>
              <w:rPr>
                <w:sz w:val="20"/>
                <w:szCs w:val="20"/>
                <w:color w:val="auto"/>
              </w:rPr>
            </w:pPr>
            <w:r>
              <w:rPr>
                <w:rFonts w:ascii="Arial" w:cs="Arial" w:eastAsia="Arial" w:hAnsi="Arial"/>
                <w:sz w:val="18"/>
                <w:szCs w:val="18"/>
                <w:color w:val="auto"/>
              </w:rPr>
              <w:t>765</w:t>
            </w:r>
          </w:p>
        </w:tc>
      </w:tr>
      <w:tr>
        <w:trPr>
          <w:trHeight w:val="183"/>
        </w:trPr>
        <w:tc>
          <w:tcPr>
            <w:tcW w:w="4600" w:type="dxa"/>
            <w:vAlign w:val="bottom"/>
            <w:tcBorders>
              <w:left w:val="single" w:sz="8" w:color="808080"/>
              <w:bottom w:val="single" w:sz="8" w:color="EAF1DD"/>
            </w:tcBorders>
            <w:shd w:val="clear" w:color="auto" w:fill="EAF1DD"/>
          </w:tcPr>
          <w:p>
            <w:pPr>
              <w:spacing w:after="0"/>
              <w:rPr>
                <w:sz w:val="15"/>
                <w:szCs w:val="15"/>
                <w:color w:val="auto"/>
              </w:rPr>
            </w:pPr>
          </w:p>
        </w:tc>
        <w:tc>
          <w:tcPr>
            <w:tcW w:w="480" w:type="dxa"/>
            <w:vAlign w:val="bottom"/>
            <w:tcBorders>
              <w:bottom w:val="single" w:sz="8" w:color="auto"/>
            </w:tcBorders>
            <w:shd w:val="clear" w:color="auto" w:fill="EAF1DD"/>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808080"/>
            </w:tcBorders>
            <w:shd w:val="clear" w:color="auto" w:fill="EAF1DD"/>
          </w:tcPr>
          <w:p>
            <w:pPr>
              <w:jc w:val="right"/>
              <w:ind w:right="370"/>
              <w:spacing w:after="0" w:line="182" w:lineRule="exact"/>
              <w:rPr>
                <w:sz w:val="20"/>
                <w:szCs w:val="20"/>
                <w:color w:val="auto"/>
              </w:rPr>
            </w:pPr>
            <w:r>
              <w:rPr>
                <w:rFonts w:ascii="Arial" w:cs="Arial" w:eastAsia="Arial" w:hAnsi="Arial"/>
                <w:sz w:val="18"/>
                <w:szCs w:val="18"/>
                <w:color w:val="auto"/>
              </w:rPr>
              <w:t>980</w:t>
            </w:r>
          </w:p>
        </w:tc>
      </w:tr>
      <w:tr>
        <w:trPr>
          <w:trHeight w:val="210"/>
        </w:trPr>
        <w:tc>
          <w:tcPr>
            <w:tcW w:w="4600" w:type="dxa"/>
            <w:vAlign w:val="bottom"/>
            <w:tcBorders>
              <w:left w:val="single" w:sz="8" w:color="808080"/>
            </w:tcBorders>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right w:val="single" w:sz="8" w:color="808080"/>
            </w:tcBorders>
          </w:tcPr>
          <w:p>
            <w:pPr>
              <w:spacing w:after="0"/>
              <w:rPr>
                <w:sz w:val="18"/>
                <w:szCs w:val="18"/>
                <w:color w:val="auto"/>
              </w:rPr>
            </w:pPr>
          </w:p>
        </w:tc>
      </w:tr>
      <w:tr>
        <w:trPr>
          <w:trHeight w:val="21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EAF1DD"/>
          </w:tcPr>
          <w:p>
            <w:pPr>
              <w:spacing w:after="0"/>
              <w:rPr>
                <w:sz w:val="18"/>
                <w:szCs w:val="18"/>
                <w:color w:val="auto"/>
              </w:rPr>
            </w:pP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750</w:t>
            </w:r>
          </w:p>
        </w:tc>
      </w:tr>
      <w:tr>
        <w:trPr>
          <w:trHeight w:val="202"/>
        </w:trPr>
        <w:tc>
          <w:tcPr>
            <w:tcW w:w="4600" w:type="dxa"/>
            <w:vAlign w:val="bottom"/>
            <w:tcBorders>
              <w:left w:val="single" w:sz="8" w:color="808080"/>
            </w:tcBorders>
          </w:tcPr>
          <w:p>
            <w:pPr>
              <w:ind w:left="80"/>
              <w:spacing w:after="0" w:line="201" w:lineRule="exact"/>
              <w:rPr>
                <w:sz w:val="20"/>
                <w:szCs w:val="20"/>
                <w:color w:val="auto"/>
              </w:rPr>
            </w:pPr>
            <w:r>
              <w:rPr>
                <w:rFonts w:ascii="Arial" w:cs="Arial" w:eastAsia="Arial" w:hAnsi="Arial"/>
                <w:sz w:val="18"/>
                <w:szCs w:val="18"/>
                <w:color w:val="auto"/>
                <w:w w:val="94"/>
              </w:rPr>
              <w:t>Amount payable to sellers of MagicBox business included in</w:t>
            </w:r>
          </w:p>
        </w:tc>
        <w:tc>
          <w:tcPr>
            <w:tcW w:w="480" w:type="dxa"/>
            <w:vAlign w:val="bottom"/>
          </w:tcPr>
          <w:p>
            <w:pPr>
              <w:spacing w:after="0"/>
              <w:rPr>
                <w:sz w:val="17"/>
                <w:szCs w:val="17"/>
                <w:color w:val="auto"/>
              </w:rPr>
            </w:pPr>
          </w:p>
        </w:tc>
        <w:tc>
          <w:tcPr>
            <w:tcW w:w="960" w:type="dxa"/>
            <w:vAlign w:val="bottom"/>
            <w:tcBorders>
              <w:right w:val="single" w:sz="8" w:color="808080"/>
            </w:tcBorders>
          </w:tcPr>
          <w:p>
            <w:pPr>
              <w:jc w:val="right"/>
              <w:ind w:right="370"/>
              <w:spacing w:after="0" w:line="201" w:lineRule="exact"/>
              <w:rPr>
                <w:sz w:val="20"/>
                <w:szCs w:val="20"/>
                <w:color w:val="auto"/>
              </w:rPr>
            </w:pPr>
            <w:r>
              <w:rPr>
                <w:rFonts w:ascii="Arial" w:cs="Arial" w:eastAsia="Arial" w:hAnsi="Arial"/>
                <w:sz w:val="18"/>
                <w:szCs w:val="18"/>
                <w:color w:val="auto"/>
              </w:rPr>
              <w:t>230</w:t>
            </w:r>
          </w:p>
        </w:tc>
      </w:tr>
      <w:tr>
        <w:trPr>
          <w:trHeight w:val="230"/>
        </w:trPr>
        <w:tc>
          <w:tcPr>
            <w:tcW w:w="460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808080"/>
            </w:tcBorders>
          </w:tcPr>
          <w:p>
            <w:pPr>
              <w:spacing w:after="0"/>
              <w:rPr>
                <w:sz w:val="20"/>
                <w:szCs w:val="20"/>
                <w:color w:val="auto"/>
              </w:rPr>
            </w:pPr>
          </w:p>
        </w:tc>
      </w:tr>
      <w:tr>
        <w:trPr>
          <w:trHeight w:val="183"/>
        </w:trPr>
        <w:tc>
          <w:tcPr>
            <w:tcW w:w="4600" w:type="dxa"/>
            <w:vAlign w:val="bottom"/>
            <w:tcBorders>
              <w:left w:val="single" w:sz="8" w:color="808080"/>
              <w:bottom w:val="single" w:sz="8" w:color="EAF1DD"/>
            </w:tcBorders>
            <w:shd w:val="clear" w:color="auto" w:fill="EAF1DD"/>
          </w:tcPr>
          <w:p>
            <w:pPr>
              <w:spacing w:after="0"/>
              <w:rPr>
                <w:sz w:val="15"/>
                <w:szCs w:val="15"/>
                <w:color w:val="auto"/>
              </w:rPr>
            </w:pPr>
          </w:p>
        </w:tc>
        <w:tc>
          <w:tcPr>
            <w:tcW w:w="480" w:type="dxa"/>
            <w:vAlign w:val="bottom"/>
            <w:tcBorders>
              <w:bottom w:val="single" w:sz="8" w:color="auto"/>
            </w:tcBorders>
            <w:shd w:val="clear" w:color="auto" w:fill="EAF1DD"/>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808080"/>
            </w:tcBorders>
            <w:shd w:val="clear" w:color="auto" w:fill="EAF1DD"/>
          </w:tcPr>
          <w:p>
            <w:pPr>
              <w:jc w:val="right"/>
              <w:ind w:right="370"/>
              <w:spacing w:after="0" w:line="182" w:lineRule="exact"/>
              <w:rPr>
                <w:sz w:val="20"/>
                <w:szCs w:val="20"/>
                <w:color w:val="auto"/>
              </w:rPr>
            </w:pPr>
            <w:r>
              <w:rPr>
                <w:rFonts w:ascii="Arial" w:cs="Arial" w:eastAsia="Arial" w:hAnsi="Arial"/>
                <w:sz w:val="18"/>
                <w:szCs w:val="18"/>
                <w:color w:val="auto"/>
              </w:rPr>
              <w:t>980</w:t>
            </w:r>
          </w:p>
        </w:tc>
      </w:tr>
      <w:tr>
        <w:trPr>
          <w:trHeight w:val="20"/>
        </w:trPr>
        <w:tc>
          <w:tcPr>
            <w:tcW w:w="4600" w:type="dxa"/>
            <w:vAlign w:val="bottom"/>
            <w:tcBorders>
              <w:left w:val="single" w:sz="8" w:color="808080"/>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19"/>
        <w:spacing w:after="0"/>
        <w:rPr>
          <w:sz w:val="20"/>
          <w:szCs w:val="20"/>
          <w:color w:val="auto"/>
        </w:rPr>
      </w:pPr>
      <w:r>
        <w:rPr>
          <w:rFonts w:ascii="Arial" w:cs="Arial" w:eastAsia="Arial" w:hAnsi="Arial"/>
          <w:sz w:val="22"/>
          <w:szCs w:val="22"/>
          <w:b w:val="1"/>
          <w:bCs w:val="1"/>
          <w:color w:val="auto"/>
        </w:rPr>
        <w:t>(Unaudited – Dollars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fiscal year for ClearOne Communications, Inc. and its subsidiaries (collectively, “ClearOne” or the “Company”) is the 12 months ending on December 31</w:t>
      </w:r>
      <w:r>
        <w:rPr>
          <w:rFonts w:ascii="Arial" w:cs="Arial" w:eastAsia="Arial" w:hAnsi="Arial"/>
          <w:sz w:val="12"/>
          <w:szCs w:val="12"/>
          <w:color w:val="auto"/>
        </w:rPr>
        <w:t>st</w:t>
      </w:r>
      <w:r>
        <w:rPr>
          <w:rFonts w:ascii="Arial" w:cs="Arial" w:eastAsia="Arial" w:hAnsi="Arial"/>
          <w:sz w:val="22"/>
          <w:szCs w:val="22"/>
          <w:color w:val="auto"/>
        </w:rPr>
        <w:t>. The consolidated financial statements include the accounts of ClearOne and its subsidiaries. All significant intercompany accounts and transactions have been eliminated.</w:t>
      </w:r>
    </w:p>
    <w:p>
      <w:pPr>
        <w:spacing w:after="0" w:line="21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accompanying interim consolidated financial statements for the three and nine months ended September 30, 2011 and 2010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September 30, 2011 and 2010, the results of operations for the three and nine months ended September 30, 2011 and 2010, and the statements of cash flows for the nine months ended September 30, 2011 and 2010. The results of operations for the three and nine months ended September 30, 2011 and 2010 are not necessarily indicative of the results for a full-year period. These interim consolidated financial statements should be read in conjunction with the financial statements included in our Annual Report on Form 10-K for the year ended December 31, 2010 filed with the SEC.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Business Combination and Intangibles</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On September 2, 2011, the Company acquired the digital signage business of Oregon based MagicBox, Inc. through an asset purchase agreement and recorded an allocation of the associated purchase price. As a result of this acquisition and the combination of StreamNet and Magicbox technologies, we believe we are the only company to offer a complete end-to-end digital signage content management, IP streaming, and control solution. The acquisition presents us with new global market opportunities and accelerated product development to grow.</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was allocated as follows:</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40"/>
        </w:trPr>
        <w:tc>
          <w:tcPr>
            <w:tcW w:w="4600" w:type="dxa"/>
            <w:vAlign w:val="bottom"/>
            <w:tcBorders>
              <w:top w:val="single" w:sz="8" w:color="808080"/>
              <w:left w:val="single" w:sz="8" w:color="808080"/>
            </w:tcBorders>
          </w:tcPr>
          <w:p>
            <w:pPr>
              <w:spacing w:after="0"/>
              <w:rPr>
                <w:sz w:val="3"/>
                <w:szCs w:val="3"/>
                <w:color w:val="auto"/>
              </w:rPr>
            </w:pPr>
          </w:p>
        </w:tc>
        <w:tc>
          <w:tcPr>
            <w:tcW w:w="480" w:type="dxa"/>
            <w:vAlign w:val="bottom"/>
            <w:tcBorders>
              <w:top w:val="single" w:sz="8" w:color="808080"/>
            </w:tcBorders>
          </w:tcPr>
          <w:p>
            <w:pPr>
              <w:spacing w:after="0"/>
              <w:rPr>
                <w:sz w:val="3"/>
                <w:szCs w:val="3"/>
                <w:color w:val="auto"/>
              </w:rPr>
            </w:pPr>
          </w:p>
        </w:tc>
        <w:tc>
          <w:tcPr>
            <w:tcW w:w="960" w:type="dxa"/>
            <w:vAlign w:val="bottom"/>
            <w:tcBorders>
              <w:top w:val="single" w:sz="8" w:color="808080"/>
              <w:right w:val="single" w:sz="8" w:color="808080"/>
            </w:tcBorders>
          </w:tcPr>
          <w:p>
            <w:pPr>
              <w:spacing w:after="0"/>
              <w:rPr>
                <w:sz w:val="3"/>
                <w:szCs w:val="3"/>
                <w:color w:val="auto"/>
              </w:rPr>
            </w:pPr>
          </w:p>
        </w:tc>
      </w:tr>
      <w:tr>
        <w:trPr>
          <w:trHeight w:val="20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EAF1DD"/>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81</w:t>
            </w:r>
          </w:p>
        </w:tc>
      </w:tr>
      <w:tr>
        <w:trPr>
          <w:trHeight w:val="216"/>
        </w:trPr>
        <w:tc>
          <w:tcPr>
            <w:tcW w:w="4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960" w:type="dxa"/>
            <w:vAlign w:val="bottom"/>
            <w:tcBorders>
              <w:right w:val="single" w:sz="8" w:color="808080"/>
            </w:tcBorders>
          </w:tcPr>
          <w:p>
            <w:pPr>
              <w:jc w:val="right"/>
              <w:ind w:right="370"/>
              <w:spacing w:after="0"/>
              <w:rPr>
                <w:sz w:val="20"/>
                <w:szCs w:val="20"/>
                <w:color w:val="auto"/>
              </w:rPr>
            </w:pPr>
            <w:r>
              <w:rPr>
                <w:rFonts w:ascii="Arial" w:cs="Arial" w:eastAsia="Arial" w:hAnsi="Arial"/>
                <w:sz w:val="18"/>
                <w:szCs w:val="18"/>
                <w:color w:val="auto"/>
              </w:rPr>
              <w:t>117</w:t>
            </w:r>
          </w:p>
        </w:tc>
      </w:tr>
      <w:tr>
        <w:trPr>
          <w:trHeight w:val="21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EAF1DD"/>
          </w:tcPr>
          <w:p>
            <w:pPr>
              <w:spacing w:after="0"/>
              <w:rPr>
                <w:sz w:val="18"/>
                <w:szCs w:val="18"/>
                <w:color w:val="auto"/>
              </w:rPr>
            </w:pP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12</w:t>
            </w:r>
          </w:p>
        </w:tc>
      </w:tr>
      <w:tr>
        <w:trPr>
          <w:trHeight w:val="216"/>
        </w:trPr>
        <w:tc>
          <w:tcPr>
            <w:tcW w:w="4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960" w:type="dxa"/>
            <w:vAlign w:val="bottom"/>
            <w:tcBorders>
              <w:right w:val="single" w:sz="8" w:color="808080"/>
            </w:tcBorders>
          </w:tcPr>
          <w:p>
            <w:pPr>
              <w:jc w:val="right"/>
              <w:ind w:right="310"/>
              <w:spacing w:after="0"/>
              <w:rPr>
                <w:sz w:val="20"/>
                <w:szCs w:val="20"/>
                <w:color w:val="auto"/>
              </w:rPr>
            </w:pPr>
            <w:r>
              <w:rPr>
                <w:rFonts w:ascii="Arial" w:cs="Arial" w:eastAsia="Arial" w:hAnsi="Arial"/>
                <w:sz w:val="18"/>
                <w:szCs w:val="18"/>
                <w:color w:val="auto"/>
              </w:rPr>
              <w:t>(4)</w:t>
            </w:r>
          </w:p>
        </w:tc>
      </w:tr>
      <w:tr>
        <w:trPr>
          <w:trHeight w:val="216"/>
        </w:trPr>
        <w:tc>
          <w:tcPr>
            <w:tcW w:w="4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EAF1DD"/>
          </w:tcPr>
          <w:p>
            <w:pPr>
              <w:spacing w:after="0"/>
              <w:rPr>
                <w:sz w:val="18"/>
                <w:szCs w:val="18"/>
                <w:color w:val="auto"/>
              </w:rPr>
            </w:pPr>
          </w:p>
        </w:tc>
        <w:tc>
          <w:tcPr>
            <w:tcW w:w="960" w:type="dxa"/>
            <w:vAlign w:val="bottom"/>
            <w:tcBorders>
              <w:right w:val="single" w:sz="8" w:color="808080"/>
            </w:tcBorders>
            <w:shd w:val="clear" w:color="auto" w:fill="EAF1DD"/>
          </w:tcPr>
          <w:p>
            <w:pPr>
              <w:jc w:val="right"/>
              <w:ind w:right="370"/>
              <w:spacing w:after="0"/>
              <w:rPr>
                <w:sz w:val="20"/>
                <w:szCs w:val="20"/>
                <w:color w:val="auto"/>
              </w:rPr>
            </w:pPr>
            <w:r>
              <w:rPr>
                <w:rFonts w:ascii="Arial" w:cs="Arial" w:eastAsia="Arial" w:hAnsi="Arial"/>
                <w:sz w:val="18"/>
                <w:szCs w:val="18"/>
                <w:color w:val="auto"/>
              </w:rPr>
              <w:t>9</w:t>
            </w:r>
          </w:p>
        </w:tc>
      </w:tr>
      <w:tr>
        <w:trPr>
          <w:trHeight w:val="216"/>
        </w:trPr>
        <w:tc>
          <w:tcPr>
            <w:tcW w:w="460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Intangibles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808080"/>
            </w:tcBorders>
          </w:tcPr>
          <w:p>
            <w:pPr>
              <w:jc w:val="right"/>
              <w:ind w:right="370"/>
              <w:spacing w:after="0"/>
              <w:rPr>
                <w:sz w:val="20"/>
                <w:szCs w:val="20"/>
                <w:color w:val="auto"/>
              </w:rPr>
            </w:pPr>
            <w:r>
              <w:rPr>
                <w:rFonts w:ascii="Arial" w:cs="Arial" w:eastAsia="Arial" w:hAnsi="Arial"/>
                <w:sz w:val="18"/>
                <w:szCs w:val="18"/>
                <w:color w:val="auto"/>
              </w:rPr>
              <w:t>765</w:t>
            </w:r>
          </w:p>
        </w:tc>
      </w:tr>
      <w:tr>
        <w:trPr>
          <w:trHeight w:val="183"/>
        </w:trPr>
        <w:tc>
          <w:tcPr>
            <w:tcW w:w="4600" w:type="dxa"/>
            <w:vAlign w:val="bottom"/>
            <w:tcBorders>
              <w:left w:val="single" w:sz="8" w:color="808080"/>
              <w:bottom w:val="single" w:sz="8" w:color="EAF1DD"/>
            </w:tcBorders>
            <w:shd w:val="clear" w:color="auto" w:fill="EAF1DD"/>
          </w:tcPr>
          <w:p>
            <w:pPr>
              <w:spacing w:after="0"/>
              <w:rPr>
                <w:sz w:val="15"/>
                <w:szCs w:val="15"/>
                <w:color w:val="auto"/>
              </w:rPr>
            </w:pPr>
          </w:p>
        </w:tc>
        <w:tc>
          <w:tcPr>
            <w:tcW w:w="480" w:type="dxa"/>
            <w:vAlign w:val="bottom"/>
            <w:tcBorders>
              <w:bottom w:val="single" w:sz="8" w:color="auto"/>
            </w:tcBorders>
            <w:shd w:val="clear" w:color="auto" w:fill="EAF1DD"/>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808080"/>
            </w:tcBorders>
            <w:shd w:val="clear" w:color="auto" w:fill="EAF1DD"/>
          </w:tcPr>
          <w:p>
            <w:pPr>
              <w:jc w:val="right"/>
              <w:ind w:right="370"/>
              <w:spacing w:after="0" w:line="182" w:lineRule="exact"/>
              <w:rPr>
                <w:sz w:val="20"/>
                <w:szCs w:val="20"/>
                <w:color w:val="auto"/>
              </w:rPr>
            </w:pPr>
            <w:r>
              <w:rPr>
                <w:rFonts w:ascii="Arial" w:cs="Arial" w:eastAsia="Arial" w:hAnsi="Arial"/>
                <w:sz w:val="18"/>
                <w:szCs w:val="18"/>
                <w:color w:val="auto"/>
              </w:rPr>
              <w:t>980</w:t>
            </w:r>
          </w:p>
        </w:tc>
      </w:tr>
      <w:tr>
        <w:trPr>
          <w:trHeight w:val="20"/>
        </w:trPr>
        <w:tc>
          <w:tcPr>
            <w:tcW w:w="4600" w:type="dxa"/>
            <w:vAlign w:val="bottom"/>
            <w:tcBorders>
              <w:left w:val="single" w:sz="8" w:color="808080"/>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Intangibles acquired through the purchase of MagicBox business consisted of the following:</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19"/>
        </w:trPr>
        <w:tc>
          <w:tcPr>
            <w:tcW w:w="3340" w:type="dxa"/>
            <w:vAlign w:val="bottom"/>
            <w:tcBorders>
              <w:top w:val="single" w:sz="8" w:color="808080"/>
              <w:left w:val="single" w:sz="8" w:color="808080"/>
            </w:tcBorders>
          </w:tcPr>
          <w:p>
            <w:pPr>
              <w:spacing w:after="0"/>
              <w:rPr>
                <w:sz w:val="19"/>
                <w:szCs w:val="19"/>
                <w:color w:val="auto"/>
              </w:rPr>
            </w:pPr>
          </w:p>
        </w:tc>
        <w:tc>
          <w:tcPr>
            <w:tcW w:w="126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90"/>
              </w:rPr>
              <w:t>Estimated useful</w:t>
            </w:r>
          </w:p>
        </w:tc>
        <w:tc>
          <w:tcPr>
            <w:tcW w:w="200" w:type="dxa"/>
            <w:vAlign w:val="bottom"/>
            <w:tcBorders>
              <w:top w:val="single" w:sz="8" w:color="808080"/>
            </w:tcBorders>
          </w:tcPr>
          <w:p>
            <w:pPr>
              <w:spacing w:after="0"/>
              <w:rPr>
                <w:sz w:val="19"/>
                <w:szCs w:val="19"/>
                <w:color w:val="auto"/>
              </w:rPr>
            </w:pPr>
          </w:p>
        </w:tc>
        <w:tc>
          <w:tcPr>
            <w:tcW w:w="340" w:type="dxa"/>
            <w:vAlign w:val="bottom"/>
            <w:tcBorders>
              <w:top w:val="single" w:sz="8" w:color="808080"/>
            </w:tcBorders>
          </w:tcPr>
          <w:p>
            <w:pPr>
              <w:spacing w:after="0"/>
              <w:rPr>
                <w:sz w:val="19"/>
                <w:szCs w:val="19"/>
                <w:color w:val="auto"/>
              </w:rPr>
            </w:pPr>
          </w:p>
        </w:tc>
        <w:tc>
          <w:tcPr>
            <w:tcW w:w="1020" w:type="dxa"/>
            <w:vAlign w:val="bottom"/>
            <w:tcBorders>
              <w:top w:val="single" w:sz="8" w:color="808080"/>
              <w:right w:val="single" w:sz="8" w:color="808080"/>
            </w:tcBorders>
          </w:tcPr>
          <w:p>
            <w:pPr>
              <w:spacing w:after="0"/>
              <w:rPr>
                <w:sz w:val="19"/>
                <w:szCs w:val="19"/>
                <w:color w:val="auto"/>
              </w:rPr>
            </w:pPr>
          </w:p>
        </w:tc>
      </w:tr>
      <w:tr>
        <w:trPr>
          <w:trHeight w:val="210"/>
        </w:trPr>
        <w:tc>
          <w:tcPr>
            <w:tcW w:w="3340" w:type="dxa"/>
            <w:vAlign w:val="bottom"/>
            <w:tcBorders>
              <w:left w:val="single" w:sz="8" w:color="808080"/>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lives (Years)</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808080"/>
            </w:tcBorders>
          </w:tcPr>
          <w:p>
            <w:pPr>
              <w:jc w:val="right"/>
              <w:ind w:right="312"/>
              <w:spacing w:after="0"/>
              <w:rPr>
                <w:sz w:val="20"/>
                <w:szCs w:val="20"/>
                <w:color w:val="auto"/>
              </w:rPr>
            </w:pPr>
            <w:r>
              <w:rPr>
                <w:rFonts w:ascii="Arial" w:cs="Arial" w:eastAsia="Arial" w:hAnsi="Arial"/>
                <w:sz w:val="16"/>
                <w:szCs w:val="16"/>
                <w:b w:val="1"/>
                <w:bCs w:val="1"/>
                <w:color w:val="auto"/>
                <w:w w:val="99"/>
              </w:rPr>
              <w:t>Amount</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Proprietary Software</w:t>
            </w:r>
          </w:p>
        </w:tc>
        <w:tc>
          <w:tcPr>
            <w:tcW w:w="1260" w:type="dxa"/>
            <w:vAlign w:val="bottom"/>
            <w:shd w:val="clear" w:color="auto" w:fill="EAF1DD"/>
          </w:tcPr>
          <w:p>
            <w:pPr>
              <w:jc w:val="right"/>
              <w:ind w:right="294"/>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808080"/>
            </w:tcBorders>
            <w:shd w:val="clear" w:color="auto" w:fill="EAF1DD"/>
          </w:tcPr>
          <w:p>
            <w:pPr>
              <w:jc w:val="right"/>
              <w:ind w:right="312"/>
              <w:spacing w:after="0"/>
              <w:rPr>
                <w:sz w:val="20"/>
                <w:szCs w:val="20"/>
                <w:color w:val="auto"/>
              </w:rPr>
            </w:pPr>
            <w:r>
              <w:rPr>
                <w:rFonts w:ascii="Arial" w:cs="Arial" w:eastAsia="Arial" w:hAnsi="Arial"/>
                <w:sz w:val="18"/>
                <w:szCs w:val="18"/>
                <w:color w:val="auto"/>
              </w:rPr>
              <w:t>665</w:t>
            </w:r>
          </w:p>
        </w:tc>
      </w:tr>
      <w:tr>
        <w:trPr>
          <w:trHeight w:val="216"/>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right w:val="single" w:sz="8" w:color="808080"/>
            </w:tcBorders>
          </w:tcPr>
          <w:p>
            <w:pPr>
              <w:jc w:val="right"/>
              <w:ind w:right="312"/>
              <w:spacing w:after="0"/>
              <w:rPr>
                <w:sz w:val="20"/>
                <w:szCs w:val="20"/>
                <w:color w:val="auto"/>
              </w:rPr>
            </w:pPr>
            <w:r>
              <w:rPr>
                <w:rFonts w:ascii="Arial" w:cs="Arial" w:eastAsia="Arial" w:hAnsi="Arial"/>
                <w:sz w:val="18"/>
                <w:szCs w:val="18"/>
                <w:color w:val="auto"/>
              </w:rPr>
              <w:t>75</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Tradename</w:t>
            </w:r>
          </w:p>
        </w:tc>
        <w:tc>
          <w:tcPr>
            <w:tcW w:w="1260" w:type="dxa"/>
            <w:vAlign w:val="bottom"/>
            <w:shd w:val="clear" w:color="auto" w:fill="EAF1DD"/>
          </w:tcPr>
          <w:p>
            <w:pPr>
              <w:jc w:val="right"/>
              <w:ind w:right="294"/>
              <w:spacing w:after="0"/>
              <w:rPr>
                <w:sz w:val="20"/>
                <w:szCs w:val="20"/>
                <w:color w:val="auto"/>
              </w:rPr>
            </w:pPr>
            <w:r>
              <w:rPr>
                <w:rFonts w:ascii="Arial" w:cs="Arial" w:eastAsia="Arial" w:hAnsi="Arial"/>
                <w:sz w:val="18"/>
                <w:szCs w:val="18"/>
                <w:color w:val="auto"/>
              </w:rPr>
              <w:t>3</w:t>
            </w:r>
          </w:p>
        </w:tc>
        <w:tc>
          <w:tcPr>
            <w:tcW w:w="200" w:type="dxa"/>
            <w:vAlign w:val="bottom"/>
            <w:shd w:val="clear" w:color="auto" w:fill="EAF1DD"/>
          </w:tcPr>
          <w:p>
            <w:pPr>
              <w:spacing w:after="0"/>
              <w:rPr>
                <w:sz w:val="18"/>
                <w:szCs w:val="18"/>
                <w:color w:val="auto"/>
              </w:rPr>
            </w:pPr>
          </w:p>
        </w:tc>
        <w:tc>
          <w:tcPr>
            <w:tcW w:w="340" w:type="dxa"/>
            <w:vAlign w:val="bottom"/>
            <w:tcBorders>
              <w:bottom w:val="single" w:sz="8" w:color="auto"/>
            </w:tcBorders>
            <w:shd w:val="clear" w:color="auto" w:fill="EAF1DD"/>
          </w:tcPr>
          <w:p>
            <w:pPr>
              <w:spacing w:after="0"/>
              <w:rPr>
                <w:sz w:val="18"/>
                <w:szCs w:val="18"/>
                <w:color w:val="auto"/>
              </w:rPr>
            </w:pPr>
          </w:p>
        </w:tc>
        <w:tc>
          <w:tcPr>
            <w:tcW w:w="1020" w:type="dxa"/>
            <w:vAlign w:val="bottom"/>
            <w:tcBorders>
              <w:bottom w:val="single" w:sz="8" w:color="auto"/>
              <w:right w:val="single" w:sz="8" w:color="808080"/>
            </w:tcBorders>
            <w:shd w:val="clear" w:color="auto" w:fill="EAF1DD"/>
          </w:tcPr>
          <w:p>
            <w:pPr>
              <w:jc w:val="right"/>
              <w:ind w:right="312"/>
              <w:spacing w:after="0"/>
              <w:rPr>
                <w:sz w:val="20"/>
                <w:szCs w:val="20"/>
                <w:color w:val="auto"/>
              </w:rPr>
            </w:pPr>
            <w:r>
              <w:rPr>
                <w:rFonts w:ascii="Arial" w:cs="Arial" w:eastAsia="Arial" w:hAnsi="Arial"/>
                <w:sz w:val="18"/>
                <w:szCs w:val="18"/>
                <w:color w:val="auto"/>
              </w:rPr>
              <w:t>25</w:t>
            </w:r>
          </w:p>
        </w:tc>
      </w:tr>
      <w:tr>
        <w:trPr>
          <w:trHeight w:val="183"/>
        </w:trPr>
        <w:tc>
          <w:tcPr>
            <w:tcW w:w="3340" w:type="dxa"/>
            <w:vAlign w:val="bottom"/>
            <w:tcBorders>
              <w:left w:val="single" w:sz="8" w:color="808080"/>
            </w:tcBorders>
          </w:tcPr>
          <w:p>
            <w:pPr>
              <w:ind w:left="260"/>
              <w:spacing w:after="0" w:line="182" w:lineRule="exact"/>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808080"/>
            </w:tcBorders>
          </w:tcPr>
          <w:p>
            <w:pPr>
              <w:jc w:val="right"/>
              <w:ind w:right="312"/>
              <w:spacing w:after="0" w:line="182" w:lineRule="exact"/>
              <w:rPr>
                <w:sz w:val="20"/>
                <w:szCs w:val="20"/>
                <w:color w:val="auto"/>
              </w:rPr>
            </w:pPr>
            <w:r>
              <w:rPr>
                <w:rFonts w:ascii="Arial" w:cs="Arial" w:eastAsia="Arial" w:hAnsi="Arial"/>
                <w:sz w:val="18"/>
                <w:szCs w:val="18"/>
                <w:color w:val="auto"/>
              </w:rPr>
              <w:t>765</w:t>
            </w:r>
          </w:p>
        </w:tc>
      </w:tr>
      <w:tr>
        <w:trPr>
          <w:trHeight w:val="20"/>
        </w:trPr>
        <w:tc>
          <w:tcPr>
            <w:tcW w:w="3340" w:type="dxa"/>
            <w:vAlign w:val="bottom"/>
            <w:tcBorders>
              <w:left w:val="single" w:sz="8" w:color="808080"/>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The valuation assigned to intangible assets are provisional in nature and may change after the final expert valuation.</w:t>
      </w:r>
    </w:p>
    <w:p>
      <w:pPr>
        <w:sectPr>
          <w:pgSz w:w="11900" w:h="16838" w:orient="portrait"/>
          <w:cols w:equalWidth="0" w:num="1">
            <w:col w:w="11360"/>
          </w:cols>
          <w:pgMar w:left="240" w:top="11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5</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type w:val="continuous"/>
        </w:sectPr>
      </w:pPr>
    </w:p>
    <w:bookmarkStart w:id="7" w:name="page8"/>
    <w:bookmarkEnd w:id="7"/>
    <w:p>
      <w:pPr>
        <w:spacing w:after="0" w:line="7" w:lineRule="exact"/>
        <w:rPr>
          <w:sz w:val="20"/>
          <w:szCs w:val="20"/>
          <w:color w:val="auto"/>
        </w:rPr>
      </w:pPr>
    </w:p>
    <w:p>
      <w:pPr>
        <w:jc w:val="center"/>
        <w:ind w:left="340" w:right="27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Intangibles as of September 30, 2011</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19"/>
        </w:trPr>
        <w:tc>
          <w:tcPr>
            <w:tcW w:w="3340" w:type="dxa"/>
            <w:vAlign w:val="bottom"/>
            <w:tcBorders>
              <w:top w:val="single" w:sz="8" w:color="808080"/>
              <w:left w:val="single" w:sz="8" w:color="808080"/>
            </w:tcBorders>
          </w:tcPr>
          <w:p>
            <w:pPr>
              <w:spacing w:after="0"/>
              <w:rPr>
                <w:sz w:val="19"/>
                <w:szCs w:val="19"/>
                <w:color w:val="auto"/>
              </w:rPr>
            </w:pPr>
          </w:p>
        </w:tc>
        <w:tc>
          <w:tcPr>
            <w:tcW w:w="122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Borders>
              <w:top w:val="single" w:sz="8" w:color="808080"/>
            </w:tcBorders>
          </w:tcPr>
          <w:p>
            <w:pPr>
              <w:spacing w:after="0"/>
              <w:rPr>
                <w:sz w:val="19"/>
                <w:szCs w:val="19"/>
                <w:color w:val="auto"/>
              </w:rPr>
            </w:pPr>
          </w:p>
        </w:tc>
        <w:tc>
          <w:tcPr>
            <w:tcW w:w="320" w:type="dxa"/>
            <w:vAlign w:val="bottom"/>
            <w:tcBorders>
              <w:top w:val="single" w:sz="8" w:color="808080"/>
            </w:tcBorders>
          </w:tcPr>
          <w:p>
            <w:pPr>
              <w:spacing w:after="0"/>
              <w:rPr>
                <w:sz w:val="19"/>
                <w:szCs w:val="19"/>
                <w:color w:val="auto"/>
              </w:rPr>
            </w:pPr>
          </w:p>
        </w:tc>
        <w:tc>
          <w:tcPr>
            <w:tcW w:w="1000" w:type="dxa"/>
            <w:vAlign w:val="bottom"/>
            <w:tcBorders>
              <w:top w:val="single" w:sz="8" w:color="808080"/>
            </w:tcBorders>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480" w:type="dxa"/>
            <w:vAlign w:val="bottom"/>
            <w:tcBorders>
              <w:top w:val="single" w:sz="8" w:color="808080"/>
            </w:tcBorders>
          </w:tcPr>
          <w:p>
            <w:pPr>
              <w:spacing w:after="0"/>
              <w:rPr>
                <w:sz w:val="19"/>
                <w:szCs w:val="19"/>
                <w:color w:val="auto"/>
              </w:rPr>
            </w:pPr>
          </w:p>
        </w:tc>
        <w:tc>
          <w:tcPr>
            <w:tcW w:w="840" w:type="dxa"/>
            <w:vAlign w:val="bottom"/>
            <w:tcBorders>
              <w:top w:val="single" w:sz="8" w:color="808080"/>
            </w:tcBorders>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420" w:type="dxa"/>
            <w:vAlign w:val="bottom"/>
            <w:tcBorders>
              <w:top w:val="single" w:sz="8" w:color="808080"/>
            </w:tcBorders>
          </w:tcPr>
          <w:p>
            <w:pPr>
              <w:spacing w:after="0"/>
              <w:rPr>
                <w:sz w:val="19"/>
                <w:szCs w:val="19"/>
                <w:color w:val="auto"/>
              </w:rPr>
            </w:pPr>
          </w:p>
        </w:tc>
        <w:tc>
          <w:tcPr>
            <w:tcW w:w="940" w:type="dxa"/>
            <w:vAlign w:val="bottom"/>
            <w:tcBorders>
              <w:top w:val="single" w:sz="8" w:color="808080"/>
              <w:right w:val="single" w:sz="8" w:color="808080"/>
            </w:tcBorders>
          </w:tcPr>
          <w:p>
            <w:pPr>
              <w:spacing w:after="0"/>
              <w:rPr>
                <w:sz w:val="19"/>
                <w:szCs w:val="19"/>
                <w:color w:val="auto"/>
              </w:rPr>
            </w:pPr>
          </w:p>
        </w:tc>
      </w:tr>
      <w:tr>
        <w:trPr>
          <w:trHeight w:val="203"/>
        </w:trPr>
        <w:tc>
          <w:tcPr>
            <w:tcW w:w="3340" w:type="dxa"/>
            <w:vAlign w:val="bottom"/>
            <w:tcBorders>
              <w:left w:val="single" w:sz="8" w:color="808080"/>
            </w:tcBorders>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useful lives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Borders>
              <w:right w:val="single" w:sz="8" w:color="808080"/>
            </w:tcBorders>
          </w:tcPr>
          <w:p>
            <w:pPr>
              <w:spacing w:after="0"/>
              <w:rPr>
                <w:sz w:val="17"/>
                <w:szCs w:val="17"/>
                <w:color w:val="auto"/>
              </w:rPr>
            </w:pPr>
          </w:p>
        </w:tc>
      </w:tr>
      <w:tr>
        <w:trPr>
          <w:trHeight w:val="210"/>
        </w:trPr>
        <w:tc>
          <w:tcPr>
            <w:tcW w:w="3340" w:type="dxa"/>
            <w:vAlign w:val="bottom"/>
            <w:tcBorders>
              <w:left w:val="single" w:sz="8" w:color="808080"/>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808080"/>
            </w:tcBorders>
          </w:tcPr>
          <w:p>
            <w:pPr>
              <w:jc w:val="right"/>
              <w:spacing w:after="0"/>
              <w:rPr>
                <w:sz w:val="20"/>
                <w:szCs w:val="20"/>
                <w:color w:val="auto"/>
              </w:rPr>
            </w:pPr>
            <w:r>
              <w:rPr>
                <w:rFonts w:ascii="Arial" w:cs="Arial" w:eastAsia="Arial" w:hAnsi="Arial"/>
                <w:sz w:val="16"/>
                <w:szCs w:val="16"/>
                <w:b w:val="1"/>
                <w:bCs w:val="1"/>
                <w:color w:val="auto"/>
              </w:rPr>
              <w:t>Net</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Tradename (NetStreams)</w:t>
            </w:r>
          </w:p>
        </w:tc>
        <w:tc>
          <w:tcPr>
            <w:tcW w:w="122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EAF1DD"/>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435</w:t>
            </w:r>
          </w:p>
        </w:tc>
        <w:tc>
          <w:tcPr>
            <w:tcW w:w="680" w:type="dxa"/>
            <w:vAlign w:val="bottom"/>
            <w:gridSpan w:val="2"/>
            <w:shd w:val="clear" w:color="auto" w:fill="EAF1DD"/>
          </w:tcPr>
          <w:p>
            <w:pPr>
              <w:jc w:val="right"/>
              <w:ind w:right="139"/>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119</w:t>
            </w:r>
          </w:p>
        </w:tc>
        <w:tc>
          <w:tcPr>
            <w:tcW w:w="620" w:type="dxa"/>
            <w:vAlign w:val="bottom"/>
            <w:gridSpan w:val="2"/>
            <w:shd w:val="clear" w:color="auto" w:fill="EAF1DD"/>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316</w:t>
            </w:r>
          </w:p>
        </w:tc>
      </w:tr>
      <w:tr>
        <w:trPr>
          <w:trHeight w:val="216"/>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Tradename (MagicBox)</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808080"/>
            </w:tcBorders>
          </w:tcPr>
          <w:p>
            <w:pPr>
              <w:jc w:val="right"/>
              <w:ind w:right="311"/>
              <w:spacing w:after="0"/>
              <w:rPr>
                <w:sz w:val="20"/>
                <w:szCs w:val="20"/>
                <w:color w:val="auto"/>
              </w:rPr>
            </w:pPr>
            <w:r>
              <w:rPr>
                <w:rFonts w:ascii="Arial" w:cs="Arial" w:eastAsia="Arial" w:hAnsi="Arial"/>
                <w:sz w:val="18"/>
                <w:szCs w:val="18"/>
                <w:color w:val="auto"/>
              </w:rPr>
              <w:t>25</w:t>
            </w:r>
          </w:p>
        </w:tc>
      </w:tr>
      <w:tr>
        <w:trPr>
          <w:trHeight w:val="202"/>
        </w:trPr>
        <w:tc>
          <w:tcPr>
            <w:tcW w:w="3340" w:type="dxa"/>
            <w:vAlign w:val="bottom"/>
            <w:tcBorders>
              <w:left w:val="single" w:sz="8" w:color="808080"/>
            </w:tcBorders>
            <w:shd w:val="clear" w:color="auto" w:fill="EAF1DD"/>
          </w:tcPr>
          <w:p>
            <w:pPr>
              <w:ind w:left="80"/>
              <w:spacing w:after="0" w:line="201" w:lineRule="exact"/>
              <w:rPr>
                <w:sz w:val="20"/>
                <w:szCs w:val="20"/>
                <w:color w:val="auto"/>
              </w:rPr>
            </w:pPr>
            <w:r>
              <w:rPr>
                <w:rFonts w:ascii="Arial" w:cs="Arial" w:eastAsia="Arial" w:hAnsi="Arial"/>
                <w:sz w:val="18"/>
                <w:szCs w:val="18"/>
                <w:color w:val="auto"/>
              </w:rPr>
              <w:t>Patents and technological know-how</w:t>
            </w:r>
          </w:p>
        </w:tc>
        <w:tc>
          <w:tcPr>
            <w:tcW w:w="1220" w:type="dxa"/>
            <w:vAlign w:val="bottom"/>
            <w:shd w:val="clear" w:color="auto" w:fill="EAF1DD"/>
          </w:tcPr>
          <w:p>
            <w:pPr>
              <w:spacing w:after="0"/>
              <w:rPr>
                <w:sz w:val="17"/>
                <w:szCs w:val="17"/>
                <w:color w:val="auto"/>
              </w:rPr>
            </w:pPr>
          </w:p>
        </w:tc>
        <w:tc>
          <w:tcPr>
            <w:tcW w:w="200" w:type="dxa"/>
            <w:vAlign w:val="bottom"/>
            <w:shd w:val="clear" w:color="auto" w:fill="EAF1DD"/>
          </w:tcPr>
          <w:p>
            <w:pPr>
              <w:spacing w:after="0"/>
              <w:rPr>
                <w:sz w:val="17"/>
                <w:szCs w:val="17"/>
                <w:color w:val="auto"/>
              </w:rPr>
            </w:pPr>
          </w:p>
        </w:tc>
        <w:tc>
          <w:tcPr>
            <w:tcW w:w="320" w:type="dxa"/>
            <w:vAlign w:val="bottom"/>
            <w:shd w:val="clear" w:color="auto" w:fill="EAF1DD"/>
          </w:tcPr>
          <w:p>
            <w:pPr>
              <w:spacing w:after="0"/>
              <w:rPr>
                <w:sz w:val="17"/>
                <w:szCs w:val="17"/>
                <w:color w:val="auto"/>
              </w:rPr>
            </w:pPr>
          </w:p>
        </w:tc>
        <w:tc>
          <w:tcPr>
            <w:tcW w:w="1000" w:type="dxa"/>
            <w:vAlign w:val="bottom"/>
            <w:shd w:val="clear" w:color="auto" w:fill="EAF1DD"/>
          </w:tcPr>
          <w:p>
            <w:pPr>
              <w:spacing w:after="0"/>
              <w:rPr>
                <w:sz w:val="17"/>
                <w:szCs w:val="17"/>
                <w:color w:val="auto"/>
              </w:rPr>
            </w:pPr>
          </w:p>
        </w:tc>
        <w:tc>
          <w:tcPr>
            <w:tcW w:w="200" w:type="dxa"/>
            <w:vAlign w:val="bottom"/>
            <w:shd w:val="clear" w:color="auto" w:fill="EAF1DD"/>
          </w:tcPr>
          <w:p>
            <w:pPr>
              <w:spacing w:after="0"/>
              <w:rPr>
                <w:sz w:val="17"/>
                <w:szCs w:val="17"/>
                <w:color w:val="auto"/>
              </w:rPr>
            </w:pPr>
          </w:p>
        </w:tc>
        <w:tc>
          <w:tcPr>
            <w:tcW w:w="480" w:type="dxa"/>
            <w:vAlign w:val="bottom"/>
            <w:shd w:val="clear" w:color="auto" w:fill="EAF1DD"/>
          </w:tcPr>
          <w:p>
            <w:pPr>
              <w:spacing w:after="0"/>
              <w:rPr>
                <w:sz w:val="17"/>
                <w:szCs w:val="17"/>
                <w:color w:val="auto"/>
              </w:rPr>
            </w:pPr>
          </w:p>
        </w:tc>
        <w:tc>
          <w:tcPr>
            <w:tcW w:w="840" w:type="dxa"/>
            <w:vAlign w:val="bottom"/>
            <w:shd w:val="clear" w:color="auto" w:fill="EAF1DD"/>
          </w:tcPr>
          <w:p>
            <w:pPr>
              <w:spacing w:after="0"/>
              <w:rPr>
                <w:sz w:val="17"/>
                <w:szCs w:val="17"/>
                <w:color w:val="auto"/>
              </w:rPr>
            </w:pPr>
          </w:p>
        </w:tc>
        <w:tc>
          <w:tcPr>
            <w:tcW w:w="200" w:type="dxa"/>
            <w:vAlign w:val="bottom"/>
            <w:shd w:val="clear" w:color="auto" w:fill="EAF1DD"/>
          </w:tcPr>
          <w:p>
            <w:pPr>
              <w:spacing w:after="0"/>
              <w:rPr>
                <w:sz w:val="17"/>
                <w:szCs w:val="17"/>
                <w:color w:val="auto"/>
              </w:rPr>
            </w:pPr>
          </w:p>
        </w:tc>
        <w:tc>
          <w:tcPr>
            <w:tcW w:w="420" w:type="dxa"/>
            <w:vAlign w:val="bottom"/>
            <w:shd w:val="clear" w:color="auto" w:fill="EAF1DD"/>
          </w:tcPr>
          <w:p>
            <w:pPr>
              <w:spacing w:after="0"/>
              <w:rPr>
                <w:sz w:val="17"/>
                <w:szCs w:val="17"/>
                <w:color w:val="auto"/>
              </w:rPr>
            </w:pPr>
          </w:p>
        </w:tc>
        <w:tc>
          <w:tcPr>
            <w:tcW w:w="940" w:type="dxa"/>
            <w:vAlign w:val="bottom"/>
            <w:tcBorders>
              <w:right w:val="single" w:sz="8" w:color="808080"/>
            </w:tcBorders>
            <w:shd w:val="clear" w:color="auto" w:fill="EAF1DD"/>
          </w:tcPr>
          <w:p>
            <w:pPr>
              <w:spacing w:after="0"/>
              <w:rPr>
                <w:sz w:val="17"/>
                <w:szCs w:val="17"/>
                <w:color w:val="auto"/>
              </w:rPr>
            </w:pPr>
          </w:p>
        </w:tc>
      </w:tr>
      <w:tr>
        <w:trPr>
          <w:trHeight w:val="230"/>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(NetStreams)</w:t>
            </w:r>
          </w:p>
        </w:tc>
        <w:tc>
          <w:tcPr>
            <w:tcW w:w="122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AF1DD"/>
          </w:tcPr>
          <w:p>
            <w:pPr>
              <w:spacing w:after="0"/>
              <w:rPr>
                <w:sz w:val="20"/>
                <w:szCs w:val="20"/>
                <w:color w:val="auto"/>
              </w:rPr>
            </w:pPr>
          </w:p>
        </w:tc>
        <w:tc>
          <w:tcPr>
            <w:tcW w:w="320" w:type="dxa"/>
            <w:vAlign w:val="bottom"/>
            <w:shd w:val="clear" w:color="auto" w:fill="EAF1DD"/>
          </w:tcPr>
          <w:p>
            <w:pPr>
              <w:spacing w:after="0"/>
              <w:rPr>
                <w:sz w:val="20"/>
                <w:szCs w:val="20"/>
                <w:color w:val="auto"/>
              </w:rPr>
            </w:pP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2,070</w:t>
            </w:r>
          </w:p>
        </w:tc>
        <w:tc>
          <w:tcPr>
            <w:tcW w:w="200" w:type="dxa"/>
            <w:vAlign w:val="bottom"/>
            <w:shd w:val="clear" w:color="auto" w:fill="EAF1DD"/>
          </w:tcPr>
          <w:p>
            <w:pPr>
              <w:spacing w:after="0"/>
              <w:rPr>
                <w:sz w:val="20"/>
                <w:szCs w:val="20"/>
                <w:color w:val="auto"/>
              </w:rPr>
            </w:pPr>
          </w:p>
        </w:tc>
        <w:tc>
          <w:tcPr>
            <w:tcW w:w="480" w:type="dxa"/>
            <w:vAlign w:val="bottom"/>
            <w:shd w:val="clear" w:color="auto" w:fill="EAF1DD"/>
          </w:tcPr>
          <w:p>
            <w:pPr>
              <w:spacing w:after="0"/>
              <w:rPr>
                <w:sz w:val="20"/>
                <w:szCs w:val="20"/>
                <w:color w:val="auto"/>
              </w:rPr>
            </w:pPr>
          </w:p>
        </w:tc>
        <w:tc>
          <w:tcPr>
            <w:tcW w:w="84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EAF1DD"/>
          </w:tcPr>
          <w:p>
            <w:pPr>
              <w:spacing w:after="0"/>
              <w:rPr>
                <w:sz w:val="20"/>
                <w:szCs w:val="20"/>
                <w:color w:val="auto"/>
              </w:rPr>
            </w:pPr>
          </w:p>
        </w:tc>
        <w:tc>
          <w:tcPr>
            <w:tcW w:w="420" w:type="dxa"/>
            <w:vAlign w:val="bottom"/>
            <w:shd w:val="clear" w:color="auto" w:fill="EAF1DD"/>
          </w:tcPr>
          <w:p>
            <w:pPr>
              <w:spacing w:after="0"/>
              <w:rPr>
                <w:sz w:val="20"/>
                <w:szCs w:val="20"/>
                <w:color w:val="auto"/>
              </w:rPr>
            </w:pPr>
          </w:p>
        </w:tc>
        <w:tc>
          <w:tcPr>
            <w:tcW w:w="940" w:type="dxa"/>
            <w:vAlign w:val="bottom"/>
            <w:tcBorders>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1,674</w:t>
            </w:r>
          </w:p>
        </w:tc>
      </w:tr>
      <w:tr>
        <w:trPr>
          <w:trHeight w:val="216"/>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Proprietary software (NetStreams)</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right w:val="single" w:sz="8" w:color="808080"/>
            </w:tcBorders>
          </w:tcPr>
          <w:p>
            <w:pPr>
              <w:jc w:val="right"/>
              <w:ind w:right="311"/>
              <w:spacing w:after="0"/>
              <w:rPr>
                <w:sz w:val="20"/>
                <w:szCs w:val="20"/>
                <w:color w:val="auto"/>
              </w:rPr>
            </w:pPr>
            <w:r>
              <w:rPr>
                <w:rFonts w:ascii="Arial" w:cs="Arial" w:eastAsia="Arial" w:hAnsi="Arial"/>
                <w:sz w:val="18"/>
                <w:szCs w:val="18"/>
                <w:color w:val="auto"/>
              </w:rPr>
              <w:t>77</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Proprietary software (MagicBox)</w:t>
            </w:r>
          </w:p>
        </w:tc>
        <w:tc>
          <w:tcPr>
            <w:tcW w:w="122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5</w:t>
            </w:r>
          </w:p>
        </w:tc>
        <w:tc>
          <w:tcPr>
            <w:tcW w:w="200" w:type="dxa"/>
            <w:vAlign w:val="bottom"/>
            <w:shd w:val="clear" w:color="auto" w:fill="EAF1DD"/>
          </w:tcPr>
          <w:p>
            <w:pPr>
              <w:spacing w:after="0"/>
              <w:rPr>
                <w:sz w:val="18"/>
                <w:szCs w:val="18"/>
                <w:color w:val="auto"/>
              </w:rPr>
            </w:pPr>
          </w:p>
        </w:tc>
        <w:tc>
          <w:tcPr>
            <w:tcW w:w="320" w:type="dxa"/>
            <w:vAlign w:val="bottom"/>
            <w:shd w:val="clear" w:color="auto" w:fill="EAF1DD"/>
          </w:tcPr>
          <w:p>
            <w:pPr>
              <w:spacing w:after="0"/>
              <w:rPr>
                <w:sz w:val="18"/>
                <w:szCs w:val="18"/>
                <w:color w:val="auto"/>
              </w:rPr>
            </w:pP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EAF1DD"/>
          </w:tcPr>
          <w:p>
            <w:pPr>
              <w:spacing w:after="0"/>
              <w:rPr>
                <w:sz w:val="18"/>
                <w:szCs w:val="18"/>
                <w:color w:val="auto"/>
              </w:rPr>
            </w:pPr>
          </w:p>
        </w:tc>
        <w:tc>
          <w:tcPr>
            <w:tcW w:w="480" w:type="dxa"/>
            <w:vAlign w:val="bottom"/>
            <w:shd w:val="clear" w:color="auto" w:fill="EAF1DD"/>
          </w:tcPr>
          <w:p>
            <w:pPr>
              <w:spacing w:after="0"/>
              <w:rPr>
                <w:sz w:val="18"/>
                <w:szCs w:val="18"/>
                <w:color w:val="auto"/>
              </w:rPr>
            </w:pPr>
          </w:p>
        </w:tc>
        <w:tc>
          <w:tcPr>
            <w:tcW w:w="840" w:type="dxa"/>
            <w:vAlign w:val="bottom"/>
            <w:shd w:val="clear" w:color="auto" w:fill="EAF1DD"/>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1DD"/>
          </w:tcPr>
          <w:p>
            <w:pPr>
              <w:spacing w:after="0"/>
              <w:rPr>
                <w:sz w:val="18"/>
                <w:szCs w:val="18"/>
                <w:color w:val="auto"/>
              </w:rPr>
            </w:pPr>
          </w:p>
        </w:tc>
        <w:tc>
          <w:tcPr>
            <w:tcW w:w="420" w:type="dxa"/>
            <w:vAlign w:val="bottom"/>
            <w:shd w:val="clear" w:color="auto" w:fill="EAF1DD"/>
          </w:tcPr>
          <w:p>
            <w:pPr>
              <w:spacing w:after="0"/>
              <w:rPr>
                <w:sz w:val="18"/>
                <w:szCs w:val="18"/>
                <w:color w:val="auto"/>
              </w:rPr>
            </w:pPr>
          </w:p>
        </w:tc>
        <w:tc>
          <w:tcPr>
            <w:tcW w:w="940" w:type="dxa"/>
            <w:vAlign w:val="bottom"/>
            <w:tcBorders>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665</w:t>
            </w:r>
          </w:p>
        </w:tc>
      </w:tr>
      <w:tr>
        <w:trPr>
          <w:trHeight w:val="202"/>
        </w:trPr>
        <w:tc>
          <w:tcPr>
            <w:tcW w:w="3340" w:type="dxa"/>
            <w:vAlign w:val="bottom"/>
            <w:tcBorders>
              <w:left w:val="single" w:sz="8" w:color="808080"/>
            </w:tcBorders>
          </w:tcPr>
          <w:p>
            <w:pPr>
              <w:ind w:left="80"/>
              <w:spacing w:after="0" w:line="201" w:lineRule="exact"/>
              <w:rPr>
                <w:sz w:val="20"/>
                <w:szCs w:val="20"/>
                <w:color w:val="auto"/>
              </w:rPr>
            </w:pPr>
            <w:r>
              <w:rPr>
                <w:rFonts w:ascii="Arial" w:cs="Arial" w:eastAsia="Arial" w:hAnsi="Arial"/>
                <w:sz w:val="18"/>
                <w:szCs w:val="18"/>
                <w:color w:val="auto"/>
              </w:rPr>
              <w:t>In-process Research and Development</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Borders>
              <w:right w:val="single" w:sz="8" w:color="808080"/>
            </w:tcBorders>
          </w:tcPr>
          <w:p>
            <w:pPr>
              <w:spacing w:after="0"/>
              <w:rPr>
                <w:sz w:val="17"/>
                <w:szCs w:val="17"/>
                <w:color w:val="auto"/>
              </w:rPr>
            </w:pPr>
          </w:p>
        </w:tc>
      </w:tr>
      <w:tr>
        <w:trPr>
          <w:trHeight w:val="230"/>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(NetStreams and MagicBox)</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Borders>
              <w:right w:val="single" w:sz="8" w:color="808080"/>
            </w:tcBorders>
          </w:tcPr>
          <w:p>
            <w:pPr>
              <w:jc w:val="right"/>
              <w:ind w:right="311"/>
              <w:spacing w:after="0"/>
              <w:rPr>
                <w:sz w:val="20"/>
                <w:szCs w:val="20"/>
                <w:color w:val="auto"/>
              </w:rPr>
            </w:pPr>
            <w:r>
              <w:rPr>
                <w:rFonts w:ascii="Arial" w:cs="Arial" w:eastAsia="Arial" w:hAnsi="Arial"/>
                <w:sz w:val="18"/>
                <w:szCs w:val="18"/>
                <w:color w:val="auto"/>
              </w:rPr>
              <w:t>475</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5</w:t>
            </w:r>
          </w:p>
        </w:tc>
        <w:tc>
          <w:tcPr>
            <w:tcW w:w="200" w:type="dxa"/>
            <w:vAlign w:val="bottom"/>
            <w:shd w:val="clear" w:color="auto" w:fill="EAF1DD"/>
          </w:tcPr>
          <w:p>
            <w:pPr>
              <w:spacing w:after="0"/>
              <w:rPr>
                <w:sz w:val="18"/>
                <w:szCs w:val="18"/>
                <w:color w:val="auto"/>
              </w:rPr>
            </w:pPr>
          </w:p>
        </w:tc>
        <w:tc>
          <w:tcPr>
            <w:tcW w:w="320" w:type="dxa"/>
            <w:vAlign w:val="bottom"/>
            <w:tcBorders>
              <w:bottom w:val="single" w:sz="8" w:color="auto"/>
            </w:tcBorders>
            <w:shd w:val="clear" w:color="auto" w:fill="EAF1DD"/>
          </w:tcPr>
          <w:p>
            <w:pPr>
              <w:spacing w:after="0"/>
              <w:rPr>
                <w:sz w:val="18"/>
                <w:szCs w:val="18"/>
                <w:color w:val="auto"/>
              </w:rPr>
            </w:pPr>
          </w:p>
        </w:tc>
        <w:tc>
          <w:tcPr>
            <w:tcW w:w="1000" w:type="dxa"/>
            <w:vAlign w:val="bottom"/>
            <w:tcBorders>
              <w:bottom w:val="single" w:sz="8" w:color="auto"/>
            </w:tcBorders>
            <w:shd w:val="clear" w:color="auto" w:fill="EAF1DD"/>
          </w:tcPr>
          <w:p>
            <w:pPr>
              <w:jc w:val="right"/>
              <w:ind w:right="291"/>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shd w:val="clear" w:color="auto" w:fill="EAF1DD"/>
          </w:tcPr>
          <w:p>
            <w:pPr>
              <w:spacing w:after="0"/>
              <w:rPr>
                <w:sz w:val="18"/>
                <w:szCs w:val="18"/>
                <w:color w:val="auto"/>
              </w:rPr>
            </w:pPr>
          </w:p>
        </w:tc>
        <w:tc>
          <w:tcPr>
            <w:tcW w:w="480" w:type="dxa"/>
            <w:vAlign w:val="bottom"/>
            <w:tcBorders>
              <w:bottom w:val="single" w:sz="8" w:color="auto"/>
            </w:tcBorders>
            <w:shd w:val="clear" w:color="auto" w:fill="EAF1DD"/>
          </w:tcPr>
          <w:p>
            <w:pPr>
              <w:spacing w:after="0"/>
              <w:rPr>
                <w:sz w:val="18"/>
                <w:szCs w:val="18"/>
                <w:color w:val="auto"/>
              </w:rPr>
            </w:pPr>
          </w:p>
        </w:tc>
        <w:tc>
          <w:tcPr>
            <w:tcW w:w="840" w:type="dxa"/>
            <w:vAlign w:val="bottom"/>
            <w:tcBorders>
              <w:bottom w:val="single" w:sz="8" w:color="auto"/>
            </w:tcBorders>
            <w:shd w:val="clear" w:color="auto" w:fill="EAF1DD"/>
          </w:tcPr>
          <w:p>
            <w:pPr>
              <w:jc w:val="right"/>
              <w:ind w:right="29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EAF1DD"/>
          </w:tcPr>
          <w:p>
            <w:pPr>
              <w:spacing w:after="0"/>
              <w:rPr>
                <w:sz w:val="18"/>
                <w:szCs w:val="18"/>
                <w:color w:val="auto"/>
              </w:rPr>
            </w:pPr>
          </w:p>
        </w:tc>
        <w:tc>
          <w:tcPr>
            <w:tcW w:w="420" w:type="dxa"/>
            <w:vAlign w:val="bottom"/>
            <w:tcBorders>
              <w:bottom w:val="single" w:sz="8" w:color="auto"/>
            </w:tcBorders>
            <w:shd w:val="clear" w:color="auto" w:fill="EAF1DD"/>
          </w:tcPr>
          <w:p>
            <w:pPr>
              <w:spacing w:after="0"/>
              <w:rPr>
                <w:sz w:val="18"/>
                <w:szCs w:val="18"/>
                <w:color w:val="auto"/>
              </w:rPr>
            </w:pPr>
          </w:p>
        </w:tc>
        <w:tc>
          <w:tcPr>
            <w:tcW w:w="940" w:type="dxa"/>
            <w:vAlign w:val="bottom"/>
            <w:tcBorders>
              <w:bottom w:val="single" w:sz="8" w:color="auto"/>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15</w:t>
            </w:r>
          </w:p>
        </w:tc>
      </w:tr>
      <w:tr>
        <w:trPr>
          <w:trHeight w:val="210"/>
        </w:trPr>
        <w:tc>
          <w:tcPr>
            <w:tcW w:w="334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3,934</w:t>
            </w:r>
          </w:p>
        </w:tc>
        <w:tc>
          <w:tcPr>
            <w:tcW w:w="6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687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808080"/>
            </w:tcBorders>
          </w:tcPr>
          <w:p>
            <w:pPr>
              <w:jc w:val="right"/>
              <w:ind w:right="311"/>
              <w:spacing w:after="0"/>
              <w:rPr>
                <w:sz w:val="20"/>
                <w:szCs w:val="20"/>
                <w:color w:val="auto"/>
              </w:rPr>
            </w:pPr>
            <w:r>
              <w:rPr>
                <w:rFonts w:ascii="Arial" w:cs="Arial" w:eastAsia="Arial" w:hAnsi="Arial"/>
                <w:sz w:val="18"/>
                <w:szCs w:val="18"/>
                <w:color w:val="auto"/>
              </w:rPr>
              <w:t>3,247</w:t>
            </w:r>
          </w:p>
        </w:tc>
      </w:tr>
      <w:tr>
        <w:trPr>
          <w:trHeight w:val="20"/>
        </w:trPr>
        <w:tc>
          <w:tcPr>
            <w:tcW w:w="3340" w:type="dxa"/>
            <w:vAlign w:val="bottom"/>
            <w:tcBorders>
              <w:left w:val="single" w:sz="8" w:color="808080"/>
              <w:bottom w:val="single" w:sz="8" w:color="808080"/>
            </w:tcBorders>
          </w:tcPr>
          <w:p>
            <w:pPr>
              <w:spacing w:after="0" w:line="20" w:lineRule="exact"/>
              <w:rPr>
                <w:sz w:val="1"/>
                <w:szCs w:val="1"/>
                <w:color w:val="auto"/>
              </w:rPr>
            </w:pPr>
          </w:p>
        </w:tc>
        <w:tc>
          <w:tcPr>
            <w:tcW w:w="12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320" w:type="dxa"/>
            <w:vAlign w:val="bottom"/>
            <w:tcBorders>
              <w:top w:val="single" w:sz="8" w:color="auto"/>
              <w:bottom w:val="single" w:sz="8" w:color="808080"/>
            </w:tcBorders>
          </w:tcPr>
          <w:p>
            <w:pPr>
              <w:spacing w:after="0" w:line="20" w:lineRule="exact"/>
              <w:rPr>
                <w:sz w:val="1"/>
                <w:szCs w:val="1"/>
                <w:color w:val="auto"/>
              </w:rPr>
            </w:pPr>
          </w:p>
        </w:tc>
        <w:tc>
          <w:tcPr>
            <w:tcW w:w="1000" w:type="dxa"/>
            <w:vAlign w:val="bottom"/>
            <w:tcBorders>
              <w:top w:val="single" w:sz="8" w:color="auto"/>
              <w:bottom w:val="single" w:sz="8" w:color="808080"/>
            </w:tcBorders>
          </w:tcPr>
          <w:p>
            <w:pPr>
              <w:spacing w:after="0" w:line="20" w:lineRule="exact"/>
              <w:rPr>
                <w:sz w:val="1"/>
                <w:szCs w:val="1"/>
                <w:color w:val="auto"/>
              </w:rPr>
            </w:pPr>
          </w:p>
        </w:tc>
        <w:tc>
          <w:tcPr>
            <w:tcW w:w="200" w:type="dxa"/>
            <w:vAlign w:val="bottom"/>
            <w:tcBorders>
              <w:top w:val="single" w:sz="8" w:color="auto"/>
              <w:bottom w:val="single" w:sz="8" w:color="808080"/>
            </w:tcBorders>
          </w:tcPr>
          <w:p>
            <w:pPr>
              <w:spacing w:after="0" w:line="20" w:lineRule="exact"/>
              <w:rPr>
                <w:sz w:val="1"/>
                <w:szCs w:val="1"/>
                <w:color w:val="auto"/>
              </w:rPr>
            </w:pPr>
          </w:p>
        </w:tc>
        <w:tc>
          <w:tcPr>
            <w:tcW w:w="480" w:type="dxa"/>
            <w:vAlign w:val="bottom"/>
            <w:tcBorders>
              <w:top w:val="single" w:sz="8" w:color="auto"/>
              <w:bottom w:val="single" w:sz="8" w:color="808080"/>
            </w:tcBorders>
          </w:tcPr>
          <w:p>
            <w:pPr>
              <w:spacing w:after="0" w:line="20" w:lineRule="exact"/>
              <w:rPr>
                <w:sz w:val="1"/>
                <w:szCs w:val="1"/>
                <w:color w:val="auto"/>
              </w:rPr>
            </w:pPr>
          </w:p>
        </w:tc>
        <w:tc>
          <w:tcPr>
            <w:tcW w:w="840" w:type="dxa"/>
            <w:vAlign w:val="bottom"/>
            <w:tcBorders>
              <w:top w:val="single" w:sz="8" w:color="auto"/>
              <w:bottom w:val="single" w:sz="8" w:color="808080"/>
            </w:tcBorders>
          </w:tcPr>
          <w:p>
            <w:pPr>
              <w:spacing w:after="0" w:line="20" w:lineRule="exact"/>
              <w:rPr>
                <w:sz w:val="1"/>
                <w:szCs w:val="1"/>
                <w:color w:val="auto"/>
              </w:rPr>
            </w:pPr>
          </w:p>
        </w:tc>
        <w:tc>
          <w:tcPr>
            <w:tcW w:w="200" w:type="dxa"/>
            <w:vAlign w:val="bottom"/>
            <w:tcBorders>
              <w:top w:val="single" w:sz="8" w:color="auto"/>
              <w:bottom w:val="single" w:sz="8" w:color="808080"/>
            </w:tcBorders>
          </w:tcPr>
          <w:p>
            <w:pPr>
              <w:spacing w:after="0" w:line="20" w:lineRule="exact"/>
              <w:rPr>
                <w:sz w:val="1"/>
                <w:szCs w:val="1"/>
                <w:color w:val="auto"/>
              </w:rPr>
            </w:pPr>
          </w:p>
        </w:tc>
        <w:tc>
          <w:tcPr>
            <w:tcW w:w="420" w:type="dxa"/>
            <w:vAlign w:val="bottom"/>
            <w:tcBorders>
              <w:top w:val="single" w:sz="8" w:color="auto"/>
              <w:bottom w:val="single" w:sz="8" w:color="808080"/>
            </w:tcBorders>
          </w:tcPr>
          <w:p>
            <w:pPr>
              <w:spacing w:after="0" w:line="20" w:lineRule="exact"/>
              <w:rPr>
                <w:sz w:val="1"/>
                <w:szCs w:val="1"/>
                <w:color w:val="auto"/>
              </w:rPr>
            </w:pPr>
          </w:p>
        </w:tc>
        <w:tc>
          <w:tcPr>
            <w:tcW w:w="940" w:type="dxa"/>
            <w:vAlign w:val="bottom"/>
            <w:tcBorders>
              <w:top w:val="single" w:sz="8" w:color="auto"/>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amortization during the three and nine months ended September 30, 2011 and 2010:</w:t>
      </w:r>
    </w:p>
    <w:p>
      <w:pPr>
        <w:spacing w:after="0" w:line="256"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3740" w:type="dxa"/>
            <w:vAlign w:val="bottom"/>
            <w:tcBorders>
              <w:top w:val="single" w:sz="8" w:color="808080"/>
              <w:left w:val="single" w:sz="8" w:color="808080"/>
            </w:tcBorders>
          </w:tcPr>
          <w:p>
            <w:pPr>
              <w:spacing w:after="0"/>
              <w:rPr>
                <w:sz w:val="20"/>
                <w:szCs w:val="20"/>
                <w:color w:val="auto"/>
              </w:rPr>
            </w:pPr>
          </w:p>
        </w:tc>
        <w:tc>
          <w:tcPr>
            <w:tcW w:w="380" w:type="dxa"/>
            <w:vAlign w:val="bottom"/>
            <w:tcBorders>
              <w:top w:val="single" w:sz="8" w:color="808080"/>
            </w:tcBorders>
          </w:tcPr>
          <w:p>
            <w:pPr>
              <w:spacing w:after="0"/>
              <w:rPr>
                <w:sz w:val="20"/>
                <w:szCs w:val="20"/>
                <w:color w:val="auto"/>
              </w:rPr>
            </w:pPr>
          </w:p>
        </w:tc>
        <w:tc>
          <w:tcPr>
            <w:tcW w:w="2520" w:type="dxa"/>
            <w:vAlign w:val="bottom"/>
            <w:tcBorders>
              <w:top w:val="single" w:sz="8" w:color="808080"/>
            </w:tcBorders>
            <w:gridSpan w:val="4"/>
          </w:tcPr>
          <w:p>
            <w:pPr>
              <w:jc w:val="right"/>
              <w:ind w:right="654"/>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top w:val="single" w:sz="8" w:color="808080"/>
            </w:tcBorders>
          </w:tcPr>
          <w:p>
            <w:pPr>
              <w:spacing w:after="0"/>
              <w:rPr>
                <w:sz w:val="20"/>
                <w:szCs w:val="20"/>
                <w:color w:val="auto"/>
              </w:rPr>
            </w:pPr>
          </w:p>
        </w:tc>
        <w:tc>
          <w:tcPr>
            <w:tcW w:w="380" w:type="dxa"/>
            <w:vAlign w:val="bottom"/>
            <w:tcBorders>
              <w:top w:val="single" w:sz="8" w:color="808080"/>
            </w:tcBorders>
          </w:tcPr>
          <w:p>
            <w:pPr>
              <w:spacing w:after="0"/>
              <w:rPr>
                <w:sz w:val="20"/>
                <w:szCs w:val="20"/>
                <w:color w:val="auto"/>
              </w:rPr>
            </w:pPr>
          </w:p>
        </w:tc>
        <w:tc>
          <w:tcPr>
            <w:tcW w:w="2560" w:type="dxa"/>
            <w:vAlign w:val="bottom"/>
            <w:tcBorders>
              <w:top w:val="single" w:sz="8" w:color="808080"/>
              <w:right w:val="single" w:sz="8" w:color="808080"/>
            </w:tcBorders>
            <w:gridSpan w:val="5"/>
          </w:tcPr>
          <w:p>
            <w:pPr>
              <w:ind w:left="400"/>
              <w:spacing w:after="0"/>
              <w:rPr>
                <w:sz w:val="20"/>
                <w:szCs w:val="20"/>
                <w:color w:val="auto"/>
              </w:rPr>
            </w:pPr>
            <w:r>
              <w:rPr>
                <w:rFonts w:ascii="Arial" w:cs="Arial" w:eastAsia="Arial" w:hAnsi="Arial"/>
                <w:sz w:val="16"/>
                <w:szCs w:val="16"/>
                <w:b w:val="1"/>
                <w:bCs w:val="1"/>
                <w:color w:val="auto"/>
              </w:rPr>
              <w:t>Nine months ended</w:t>
            </w:r>
          </w:p>
        </w:tc>
      </w:tr>
      <w:tr>
        <w:trPr>
          <w:trHeight w:val="188"/>
        </w:trPr>
        <w:tc>
          <w:tcPr>
            <w:tcW w:w="3740" w:type="dxa"/>
            <w:vAlign w:val="bottom"/>
            <w:tcBorders>
              <w:left w:val="single" w:sz="8" w:color="808080"/>
            </w:tcBorders>
          </w:tcPr>
          <w:p>
            <w:pPr>
              <w:spacing w:after="0"/>
              <w:rPr>
                <w:sz w:val="16"/>
                <w:szCs w:val="16"/>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6"/>
                <w:szCs w:val="16"/>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40" w:type="dxa"/>
            <w:vAlign w:val="bottom"/>
            <w:tcBorders>
              <w:right w:val="single" w:sz="8" w:color="808080"/>
            </w:tcBorders>
          </w:tcPr>
          <w:p>
            <w:pPr>
              <w:spacing w:after="0"/>
              <w:rPr>
                <w:sz w:val="16"/>
                <w:szCs w:val="16"/>
                <w:color w:val="auto"/>
              </w:rPr>
            </w:pPr>
          </w:p>
        </w:tc>
      </w:tr>
      <w:tr>
        <w:trPr>
          <w:trHeight w:val="213"/>
        </w:trPr>
        <w:tc>
          <w:tcPr>
            <w:tcW w:w="3740" w:type="dxa"/>
            <w:vAlign w:val="bottom"/>
            <w:tcBorders>
              <w:left w:val="single" w:sz="8" w:color="808080"/>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right w:val="single" w:sz="8" w:color="808080"/>
            </w:tcBorders>
          </w:tcPr>
          <w:p>
            <w:pPr>
              <w:spacing w:after="0"/>
              <w:rPr>
                <w:sz w:val="18"/>
                <w:szCs w:val="18"/>
                <w:color w:val="auto"/>
              </w:rPr>
            </w:pPr>
          </w:p>
        </w:tc>
      </w:tr>
      <w:tr>
        <w:trPr>
          <w:trHeight w:val="226"/>
        </w:trPr>
        <w:tc>
          <w:tcPr>
            <w:tcW w:w="37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Amortization of intangibles with finite lives</w:t>
            </w:r>
          </w:p>
        </w:tc>
        <w:tc>
          <w:tcPr>
            <w:tcW w:w="380" w:type="dxa"/>
            <w:vAlign w:val="bottom"/>
            <w:shd w:val="clear" w:color="auto" w:fill="EAF1DD"/>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1DD"/>
          </w:tcPr>
          <w:p>
            <w:pPr>
              <w:jc w:val="right"/>
              <w:ind w:right="276"/>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EAF1DD"/>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1DD"/>
          </w:tcPr>
          <w:p>
            <w:pPr>
              <w:jc w:val="right"/>
              <w:ind w:right="274"/>
              <w:spacing w:after="0"/>
              <w:rPr>
                <w:sz w:val="20"/>
                <w:szCs w:val="20"/>
                <w:color w:val="auto"/>
              </w:rPr>
            </w:pPr>
            <w:r>
              <w:rPr>
                <w:rFonts w:ascii="Arial" w:cs="Arial" w:eastAsia="Arial" w:hAnsi="Arial"/>
                <w:sz w:val="18"/>
                <w:szCs w:val="18"/>
                <w:color w:val="auto"/>
              </w:rPr>
              <w:t>88</w:t>
            </w:r>
          </w:p>
        </w:tc>
        <w:tc>
          <w:tcPr>
            <w:tcW w:w="660" w:type="dxa"/>
            <w:vAlign w:val="bottom"/>
            <w:gridSpan w:val="2"/>
            <w:shd w:val="clear" w:color="auto" w:fill="EAF1DD"/>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1DD"/>
          </w:tcPr>
          <w:p>
            <w:pPr>
              <w:jc w:val="right"/>
              <w:ind w:right="256"/>
              <w:spacing w:after="0"/>
              <w:rPr>
                <w:sz w:val="20"/>
                <w:szCs w:val="20"/>
                <w:color w:val="auto"/>
              </w:rPr>
            </w:pPr>
            <w:r>
              <w:rPr>
                <w:rFonts w:ascii="Arial" w:cs="Arial" w:eastAsia="Arial" w:hAnsi="Arial"/>
                <w:sz w:val="18"/>
                <w:szCs w:val="18"/>
                <w:color w:val="auto"/>
              </w:rPr>
              <w:t>263</w:t>
            </w:r>
          </w:p>
        </w:tc>
        <w:tc>
          <w:tcPr>
            <w:tcW w:w="680" w:type="dxa"/>
            <w:vAlign w:val="bottom"/>
            <w:gridSpan w:val="2"/>
            <w:shd w:val="clear" w:color="auto" w:fill="EAF1DD"/>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1DD"/>
          </w:tcPr>
          <w:p>
            <w:pPr>
              <w:jc w:val="right"/>
              <w:ind w:right="274"/>
              <w:spacing w:after="0"/>
              <w:rPr>
                <w:sz w:val="20"/>
                <w:szCs w:val="20"/>
                <w:color w:val="auto"/>
              </w:rPr>
            </w:pPr>
            <w:r>
              <w:rPr>
                <w:rFonts w:ascii="Arial" w:cs="Arial" w:eastAsia="Arial" w:hAnsi="Arial"/>
                <w:sz w:val="18"/>
                <w:szCs w:val="18"/>
                <w:color w:val="auto"/>
              </w:rPr>
              <w:t>263</w:t>
            </w:r>
          </w:p>
        </w:tc>
        <w:tc>
          <w:tcPr>
            <w:tcW w:w="40" w:type="dxa"/>
            <w:vAlign w:val="bottom"/>
            <w:tcBorders>
              <w:right w:val="single" w:sz="8" w:color="808080"/>
            </w:tcBorders>
          </w:tcPr>
          <w:p>
            <w:pPr>
              <w:spacing w:after="0"/>
              <w:rPr>
                <w:sz w:val="19"/>
                <w:szCs w:val="19"/>
                <w:color w:val="auto"/>
              </w:rPr>
            </w:pPr>
          </w:p>
        </w:tc>
      </w:tr>
      <w:tr>
        <w:trPr>
          <w:trHeight w:val="20"/>
        </w:trPr>
        <w:tc>
          <w:tcPr>
            <w:tcW w:w="3740" w:type="dxa"/>
            <w:vAlign w:val="bottom"/>
            <w:tcBorders>
              <w:left w:val="single" w:sz="8" w:color="808080"/>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consisted of the following:</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2580" w:type="dxa"/>
            <w:vAlign w:val="bottom"/>
            <w:tcBorders>
              <w:top w:val="single" w:sz="8" w:color="808080"/>
              <w:left w:val="single" w:sz="8" w:color="808080"/>
            </w:tcBorders>
          </w:tcPr>
          <w:p>
            <w:pPr>
              <w:spacing w:after="0"/>
              <w:rPr>
                <w:sz w:val="20"/>
                <w:szCs w:val="20"/>
                <w:color w:val="auto"/>
              </w:rPr>
            </w:pPr>
          </w:p>
        </w:tc>
        <w:tc>
          <w:tcPr>
            <w:tcW w:w="560" w:type="dxa"/>
            <w:vAlign w:val="bottom"/>
            <w:tcBorders>
              <w:top w:val="single" w:sz="8" w:color="808080"/>
              <w:bottom w:val="single" w:sz="8" w:color="auto"/>
            </w:tcBorders>
          </w:tcPr>
          <w:p>
            <w:pPr>
              <w:spacing w:after="0"/>
              <w:rPr>
                <w:sz w:val="20"/>
                <w:szCs w:val="20"/>
                <w:color w:val="auto"/>
              </w:rPr>
            </w:pPr>
          </w:p>
        </w:tc>
        <w:tc>
          <w:tcPr>
            <w:tcW w:w="1060" w:type="dxa"/>
            <w:vAlign w:val="bottom"/>
            <w:tcBorders>
              <w:top w:val="single" w:sz="8" w:color="808080"/>
              <w:bottom w:val="single" w:sz="8" w:color="auto"/>
            </w:tcBorders>
          </w:tcPr>
          <w:p>
            <w:pPr>
              <w:spacing w:after="0"/>
              <w:rPr>
                <w:sz w:val="20"/>
                <w:szCs w:val="20"/>
                <w:color w:val="auto"/>
              </w:rPr>
            </w:pPr>
          </w:p>
        </w:tc>
        <w:tc>
          <w:tcPr>
            <w:tcW w:w="1020" w:type="dxa"/>
            <w:vAlign w:val="bottom"/>
            <w:tcBorders>
              <w:top w:val="single" w:sz="8" w:color="808080"/>
              <w:bottom w:val="single" w:sz="8" w:color="auto"/>
            </w:tcBorders>
            <w:gridSpan w:val="3"/>
          </w:tcPr>
          <w:p>
            <w:pPr>
              <w:jc w:val="right"/>
              <w:ind w:right="493"/>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top w:val="single" w:sz="8" w:color="808080"/>
              <w:bottom w:val="single" w:sz="8" w:color="auto"/>
            </w:tcBorders>
          </w:tcPr>
          <w:p>
            <w:pPr>
              <w:spacing w:after="0"/>
              <w:rPr>
                <w:sz w:val="20"/>
                <w:szCs w:val="20"/>
                <w:color w:val="auto"/>
              </w:rPr>
            </w:pPr>
          </w:p>
        </w:tc>
        <w:tc>
          <w:tcPr>
            <w:tcW w:w="40" w:type="dxa"/>
            <w:vAlign w:val="bottom"/>
            <w:tcBorders>
              <w:top w:val="single" w:sz="8" w:color="808080"/>
              <w:right w:val="single" w:sz="8" w:color="808080"/>
            </w:tcBorders>
          </w:tcPr>
          <w:p>
            <w:pPr>
              <w:spacing w:after="0"/>
              <w:rPr>
                <w:sz w:val="20"/>
                <w:szCs w:val="20"/>
                <w:color w:val="auto"/>
              </w:rPr>
            </w:pPr>
          </w:p>
        </w:tc>
      </w:tr>
      <w:tr>
        <w:trPr>
          <w:trHeight w:val="199"/>
        </w:trPr>
        <w:tc>
          <w:tcPr>
            <w:tcW w:w="2580" w:type="dxa"/>
            <w:vAlign w:val="bottom"/>
            <w:tcBorders>
              <w:left w:val="single" w:sz="8" w:color="808080"/>
            </w:tcBorders>
          </w:tcPr>
          <w:p>
            <w:pPr>
              <w:spacing w:after="0"/>
              <w:rPr>
                <w:sz w:val="17"/>
                <w:szCs w:val="17"/>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w w:val="95"/>
              </w:rPr>
              <w:t>September 30, 2011</w:t>
            </w:r>
          </w:p>
        </w:tc>
        <w:tc>
          <w:tcPr>
            <w:tcW w:w="1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December 31, 2010</w:t>
            </w:r>
          </w:p>
        </w:tc>
        <w:tc>
          <w:tcPr>
            <w:tcW w:w="40" w:type="dxa"/>
            <w:vAlign w:val="bottom"/>
            <w:tcBorders>
              <w:right w:val="single" w:sz="8" w:color="808080"/>
            </w:tcBorders>
          </w:tcPr>
          <w:p>
            <w:pPr>
              <w:spacing w:after="0"/>
              <w:rPr>
                <w:sz w:val="17"/>
                <w:szCs w:val="17"/>
                <w:color w:val="auto"/>
              </w:rPr>
            </w:pPr>
          </w:p>
        </w:tc>
      </w:tr>
      <w:tr>
        <w:trPr>
          <w:trHeight w:val="210"/>
        </w:trPr>
        <w:tc>
          <w:tcPr>
            <w:tcW w:w="258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EAF1DD"/>
          </w:tcPr>
          <w:p>
            <w:pPr>
              <w:spacing w:after="0"/>
              <w:rPr>
                <w:sz w:val="18"/>
                <w:szCs w:val="18"/>
                <w:color w:val="auto"/>
              </w:rPr>
            </w:pPr>
          </w:p>
        </w:tc>
        <w:tc>
          <w:tcPr>
            <w:tcW w:w="1060" w:type="dxa"/>
            <w:vAlign w:val="bottom"/>
            <w:shd w:val="clear" w:color="auto" w:fill="EAF1DD"/>
          </w:tcPr>
          <w:p>
            <w:pPr>
              <w:spacing w:after="0"/>
              <w:rPr>
                <w:sz w:val="18"/>
                <w:szCs w:val="18"/>
                <w:color w:val="auto"/>
              </w:rPr>
            </w:pPr>
          </w:p>
        </w:tc>
        <w:tc>
          <w:tcPr>
            <w:tcW w:w="100" w:type="dxa"/>
            <w:vAlign w:val="bottom"/>
            <w:shd w:val="clear" w:color="auto" w:fill="EAF1DD"/>
          </w:tcPr>
          <w:p>
            <w:pPr>
              <w:spacing w:after="0"/>
              <w:rPr>
                <w:sz w:val="18"/>
                <w:szCs w:val="18"/>
                <w:color w:val="auto"/>
              </w:rPr>
            </w:pPr>
          </w:p>
        </w:tc>
        <w:tc>
          <w:tcPr>
            <w:tcW w:w="300" w:type="dxa"/>
            <w:vAlign w:val="bottom"/>
            <w:shd w:val="clear" w:color="auto" w:fill="EAF1DD"/>
          </w:tcPr>
          <w:p>
            <w:pPr>
              <w:spacing w:after="0"/>
              <w:rPr>
                <w:sz w:val="18"/>
                <w:szCs w:val="18"/>
                <w:color w:val="auto"/>
              </w:rPr>
            </w:pPr>
          </w:p>
        </w:tc>
        <w:tc>
          <w:tcPr>
            <w:tcW w:w="620" w:type="dxa"/>
            <w:vAlign w:val="bottom"/>
            <w:shd w:val="clear" w:color="auto" w:fill="EAF1DD"/>
          </w:tcPr>
          <w:p>
            <w:pPr>
              <w:spacing w:after="0"/>
              <w:rPr>
                <w:sz w:val="18"/>
                <w:szCs w:val="18"/>
                <w:color w:val="auto"/>
              </w:rPr>
            </w:pPr>
          </w:p>
        </w:tc>
        <w:tc>
          <w:tcPr>
            <w:tcW w:w="1120" w:type="dxa"/>
            <w:vAlign w:val="bottom"/>
            <w:shd w:val="clear" w:color="auto" w:fill="EAF1DD"/>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16"/>
        </w:trPr>
        <w:tc>
          <w:tcPr>
            <w:tcW w:w="258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Raw materials</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1,367</w:t>
            </w:r>
          </w:p>
        </w:tc>
        <w:tc>
          <w:tcPr>
            <w:tcW w:w="1020" w:type="dxa"/>
            <w:vAlign w:val="bottom"/>
            <w:gridSpan w:val="3"/>
          </w:tcPr>
          <w:p>
            <w:pPr>
              <w:jc w:val="right"/>
              <w:ind w:right="27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776</w:t>
            </w:r>
          </w:p>
        </w:tc>
        <w:tc>
          <w:tcPr>
            <w:tcW w:w="40" w:type="dxa"/>
            <w:vAlign w:val="bottom"/>
            <w:tcBorders>
              <w:right w:val="single" w:sz="8" w:color="808080"/>
            </w:tcBorders>
          </w:tcPr>
          <w:p>
            <w:pPr>
              <w:spacing w:after="0"/>
              <w:rPr>
                <w:sz w:val="18"/>
                <w:szCs w:val="18"/>
                <w:color w:val="auto"/>
              </w:rPr>
            </w:pPr>
          </w:p>
        </w:tc>
      </w:tr>
      <w:tr>
        <w:trPr>
          <w:trHeight w:val="216"/>
        </w:trPr>
        <w:tc>
          <w:tcPr>
            <w:tcW w:w="258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Finished goods</w:t>
            </w:r>
          </w:p>
        </w:tc>
        <w:tc>
          <w:tcPr>
            <w:tcW w:w="560" w:type="dxa"/>
            <w:vAlign w:val="bottom"/>
            <w:tcBorders>
              <w:bottom w:val="single" w:sz="8" w:color="auto"/>
            </w:tcBorders>
            <w:shd w:val="clear" w:color="auto" w:fill="EAF1DD"/>
          </w:tcPr>
          <w:p>
            <w:pPr>
              <w:spacing w:after="0"/>
              <w:rPr>
                <w:sz w:val="18"/>
                <w:szCs w:val="18"/>
                <w:color w:val="auto"/>
              </w:rPr>
            </w:pPr>
          </w:p>
        </w:tc>
        <w:tc>
          <w:tcPr>
            <w:tcW w:w="1060" w:type="dxa"/>
            <w:vAlign w:val="bottom"/>
            <w:tcBorders>
              <w:bottom w:val="single" w:sz="8" w:color="auto"/>
            </w:tcBorders>
            <w:shd w:val="clear" w:color="auto" w:fill="EAF1DD"/>
          </w:tcPr>
          <w:p>
            <w:pPr>
              <w:jc w:val="right"/>
              <w:ind w:right="170"/>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auto"/>
            </w:tcBorders>
            <w:shd w:val="clear" w:color="auto" w:fill="EAF1DD"/>
          </w:tcPr>
          <w:p>
            <w:pPr>
              <w:spacing w:after="0"/>
              <w:rPr>
                <w:sz w:val="18"/>
                <w:szCs w:val="18"/>
                <w:color w:val="auto"/>
              </w:rPr>
            </w:pPr>
          </w:p>
        </w:tc>
        <w:tc>
          <w:tcPr>
            <w:tcW w:w="300" w:type="dxa"/>
            <w:vAlign w:val="bottom"/>
            <w:shd w:val="clear" w:color="auto" w:fill="EAF1DD"/>
          </w:tcPr>
          <w:p>
            <w:pPr>
              <w:spacing w:after="0"/>
              <w:rPr>
                <w:sz w:val="18"/>
                <w:szCs w:val="18"/>
                <w:color w:val="auto"/>
              </w:rPr>
            </w:pPr>
          </w:p>
        </w:tc>
        <w:tc>
          <w:tcPr>
            <w:tcW w:w="620" w:type="dxa"/>
            <w:vAlign w:val="bottom"/>
            <w:tcBorders>
              <w:bottom w:val="single" w:sz="8" w:color="auto"/>
            </w:tcBorders>
            <w:shd w:val="clear" w:color="auto" w:fill="EAF1DD"/>
          </w:tcPr>
          <w:p>
            <w:pPr>
              <w:spacing w:after="0"/>
              <w:rPr>
                <w:sz w:val="18"/>
                <w:szCs w:val="18"/>
                <w:color w:val="auto"/>
              </w:rPr>
            </w:pPr>
          </w:p>
        </w:tc>
        <w:tc>
          <w:tcPr>
            <w:tcW w:w="1120" w:type="dxa"/>
            <w:vAlign w:val="bottom"/>
            <w:tcBorders>
              <w:bottom w:val="single" w:sz="8" w:color="auto"/>
            </w:tcBorders>
            <w:shd w:val="clear" w:color="auto" w:fill="EAF1DD"/>
          </w:tcPr>
          <w:p>
            <w:pPr>
              <w:jc w:val="right"/>
              <w:ind w:right="270"/>
              <w:spacing w:after="0"/>
              <w:rPr>
                <w:sz w:val="20"/>
                <w:szCs w:val="20"/>
                <w:color w:val="auto"/>
              </w:rPr>
            </w:pPr>
            <w:r>
              <w:rPr>
                <w:rFonts w:ascii="Arial" w:cs="Arial" w:eastAsia="Arial" w:hAnsi="Arial"/>
                <w:sz w:val="18"/>
                <w:szCs w:val="18"/>
                <w:color w:val="auto"/>
              </w:rPr>
              <w:t>8,004</w:t>
            </w:r>
          </w:p>
        </w:tc>
        <w:tc>
          <w:tcPr>
            <w:tcW w:w="40" w:type="dxa"/>
            <w:vAlign w:val="bottom"/>
            <w:tcBorders>
              <w:right w:val="single" w:sz="8" w:color="808080"/>
            </w:tcBorders>
          </w:tcPr>
          <w:p>
            <w:pPr>
              <w:spacing w:after="0"/>
              <w:rPr>
                <w:sz w:val="18"/>
                <w:szCs w:val="18"/>
                <w:color w:val="auto"/>
              </w:rPr>
            </w:pPr>
          </w:p>
        </w:tc>
      </w:tr>
      <w:tr>
        <w:trPr>
          <w:trHeight w:val="183"/>
        </w:trPr>
        <w:tc>
          <w:tcPr>
            <w:tcW w:w="2580" w:type="dxa"/>
            <w:vAlign w:val="bottom"/>
            <w:tcBorders>
              <w:left w:val="single" w:sz="8" w:color="808080"/>
            </w:tcBorders>
          </w:tcPr>
          <w:p>
            <w:pPr>
              <w:spacing w:after="0"/>
              <w:rPr>
                <w:sz w:val="15"/>
                <w:szCs w:val="15"/>
                <w:color w:val="auto"/>
              </w:rPr>
            </w:pPr>
          </w:p>
        </w:tc>
        <w:tc>
          <w:tcPr>
            <w:tcW w:w="56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11,912</w:t>
            </w: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8,780</w:t>
            </w:r>
          </w:p>
        </w:tc>
        <w:tc>
          <w:tcPr>
            <w:tcW w:w="40" w:type="dxa"/>
            <w:vAlign w:val="bottom"/>
            <w:tcBorders>
              <w:right w:val="single" w:sz="8" w:color="808080"/>
            </w:tcBorders>
          </w:tcPr>
          <w:p>
            <w:pPr>
              <w:spacing w:after="0"/>
              <w:rPr>
                <w:sz w:val="15"/>
                <w:szCs w:val="15"/>
                <w:color w:val="auto"/>
              </w:rPr>
            </w:pPr>
          </w:p>
        </w:tc>
      </w:tr>
      <w:tr>
        <w:trPr>
          <w:trHeight w:val="20"/>
        </w:trPr>
        <w:tc>
          <w:tcPr>
            <w:tcW w:w="2580" w:type="dxa"/>
            <w:vAlign w:val="bottom"/>
            <w:tcBorders>
              <w:left w:val="single" w:sz="8" w:color="808080"/>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197"/>
        </w:trPr>
        <w:tc>
          <w:tcPr>
            <w:tcW w:w="2580" w:type="dxa"/>
            <w:vAlign w:val="bottom"/>
            <w:tcBorders>
              <w:left w:val="single" w:sz="8" w:color="808080"/>
            </w:tcBorders>
            <w:shd w:val="clear" w:color="auto" w:fill="EAF1DD"/>
          </w:tcPr>
          <w:p>
            <w:pPr>
              <w:ind w:left="80"/>
              <w:spacing w:after="0" w:line="196" w:lineRule="exact"/>
              <w:rPr>
                <w:sz w:val="20"/>
                <w:szCs w:val="20"/>
                <w:color w:val="auto"/>
              </w:rPr>
            </w:pPr>
            <w:r>
              <w:rPr>
                <w:rFonts w:ascii="Arial" w:cs="Arial" w:eastAsia="Arial" w:hAnsi="Arial"/>
                <w:sz w:val="18"/>
                <w:szCs w:val="18"/>
                <w:color w:val="auto"/>
              </w:rPr>
              <w:t>Long-term:</w:t>
            </w:r>
          </w:p>
        </w:tc>
        <w:tc>
          <w:tcPr>
            <w:tcW w:w="560" w:type="dxa"/>
            <w:vAlign w:val="bottom"/>
            <w:shd w:val="clear" w:color="auto" w:fill="EAF1DD"/>
          </w:tcPr>
          <w:p>
            <w:pPr>
              <w:spacing w:after="0"/>
              <w:rPr>
                <w:sz w:val="17"/>
                <w:szCs w:val="17"/>
                <w:color w:val="auto"/>
              </w:rPr>
            </w:pPr>
          </w:p>
        </w:tc>
        <w:tc>
          <w:tcPr>
            <w:tcW w:w="1060" w:type="dxa"/>
            <w:vAlign w:val="bottom"/>
            <w:shd w:val="clear" w:color="auto" w:fill="EAF1DD"/>
          </w:tcPr>
          <w:p>
            <w:pPr>
              <w:spacing w:after="0"/>
              <w:rPr>
                <w:sz w:val="17"/>
                <w:szCs w:val="17"/>
                <w:color w:val="auto"/>
              </w:rPr>
            </w:pPr>
          </w:p>
        </w:tc>
        <w:tc>
          <w:tcPr>
            <w:tcW w:w="100" w:type="dxa"/>
            <w:vAlign w:val="bottom"/>
            <w:shd w:val="clear" w:color="auto" w:fill="EAF1DD"/>
          </w:tcPr>
          <w:p>
            <w:pPr>
              <w:spacing w:after="0"/>
              <w:rPr>
                <w:sz w:val="17"/>
                <w:szCs w:val="17"/>
                <w:color w:val="auto"/>
              </w:rPr>
            </w:pPr>
          </w:p>
        </w:tc>
        <w:tc>
          <w:tcPr>
            <w:tcW w:w="300" w:type="dxa"/>
            <w:vAlign w:val="bottom"/>
            <w:shd w:val="clear" w:color="auto" w:fill="EAF1DD"/>
          </w:tcPr>
          <w:p>
            <w:pPr>
              <w:spacing w:after="0"/>
              <w:rPr>
                <w:sz w:val="17"/>
                <w:szCs w:val="17"/>
                <w:color w:val="auto"/>
              </w:rPr>
            </w:pPr>
          </w:p>
        </w:tc>
        <w:tc>
          <w:tcPr>
            <w:tcW w:w="620" w:type="dxa"/>
            <w:vAlign w:val="bottom"/>
            <w:shd w:val="clear" w:color="auto" w:fill="EAF1DD"/>
          </w:tcPr>
          <w:p>
            <w:pPr>
              <w:spacing w:after="0"/>
              <w:rPr>
                <w:sz w:val="17"/>
                <w:szCs w:val="17"/>
                <w:color w:val="auto"/>
              </w:rPr>
            </w:pPr>
          </w:p>
        </w:tc>
        <w:tc>
          <w:tcPr>
            <w:tcW w:w="1120" w:type="dxa"/>
            <w:vAlign w:val="bottom"/>
            <w:shd w:val="clear" w:color="auto" w:fill="EAF1DD"/>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16"/>
        </w:trPr>
        <w:tc>
          <w:tcPr>
            <w:tcW w:w="2580" w:type="dxa"/>
            <w:vAlign w:val="bottom"/>
            <w:tcBorders>
              <w:left w:val="single" w:sz="8" w:color="808080"/>
            </w:tcBorders>
          </w:tcPr>
          <w:p>
            <w:pPr>
              <w:ind w:left="260"/>
              <w:spacing w:after="0"/>
              <w:rPr>
                <w:sz w:val="20"/>
                <w:szCs w:val="20"/>
                <w:color w:val="auto"/>
              </w:rPr>
            </w:pPr>
            <w:r>
              <w:rPr>
                <w:rFonts w:ascii="Arial" w:cs="Arial" w:eastAsia="Arial" w:hAnsi="Arial"/>
                <w:sz w:val="18"/>
                <w:szCs w:val="18"/>
                <w:color w:val="auto"/>
              </w:rPr>
              <w:t>Raw materials</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1020" w:type="dxa"/>
            <w:vAlign w:val="bottom"/>
            <w:gridSpan w:val="3"/>
          </w:tcPr>
          <w:p>
            <w:pPr>
              <w:jc w:val="right"/>
              <w:ind w:right="27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569</w:t>
            </w:r>
          </w:p>
        </w:tc>
        <w:tc>
          <w:tcPr>
            <w:tcW w:w="40" w:type="dxa"/>
            <w:vAlign w:val="bottom"/>
            <w:tcBorders>
              <w:right w:val="single" w:sz="8" w:color="808080"/>
            </w:tcBorders>
          </w:tcPr>
          <w:p>
            <w:pPr>
              <w:spacing w:after="0"/>
              <w:rPr>
                <w:sz w:val="18"/>
                <w:szCs w:val="18"/>
                <w:color w:val="auto"/>
              </w:rPr>
            </w:pPr>
          </w:p>
        </w:tc>
      </w:tr>
      <w:tr>
        <w:trPr>
          <w:trHeight w:val="216"/>
        </w:trPr>
        <w:tc>
          <w:tcPr>
            <w:tcW w:w="2580" w:type="dxa"/>
            <w:vAlign w:val="bottom"/>
            <w:tcBorders>
              <w:left w:val="single" w:sz="8" w:color="808080"/>
            </w:tcBorders>
            <w:shd w:val="clear" w:color="auto" w:fill="EAF1DD"/>
          </w:tcPr>
          <w:p>
            <w:pPr>
              <w:ind w:left="260"/>
              <w:spacing w:after="0"/>
              <w:rPr>
                <w:sz w:val="20"/>
                <w:szCs w:val="20"/>
                <w:color w:val="auto"/>
              </w:rPr>
            </w:pPr>
            <w:r>
              <w:rPr>
                <w:rFonts w:ascii="Arial" w:cs="Arial" w:eastAsia="Arial" w:hAnsi="Arial"/>
                <w:sz w:val="18"/>
                <w:szCs w:val="18"/>
                <w:color w:val="auto"/>
              </w:rPr>
              <w:t>Finished goods</w:t>
            </w:r>
          </w:p>
        </w:tc>
        <w:tc>
          <w:tcPr>
            <w:tcW w:w="560" w:type="dxa"/>
            <w:vAlign w:val="bottom"/>
            <w:tcBorders>
              <w:bottom w:val="single" w:sz="8" w:color="auto"/>
            </w:tcBorders>
            <w:shd w:val="clear" w:color="auto" w:fill="EAF1DD"/>
          </w:tcPr>
          <w:p>
            <w:pPr>
              <w:spacing w:after="0"/>
              <w:rPr>
                <w:sz w:val="18"/>
                <w:szCs w:val="18"/>
                <w:color w:val="auto"/>
              </w:rPr>
            </w:pPr>
          </w:p>
        </w:tc>
        <w:tc>
          <w:tcPr>
            <w:tcW w:w="1060" w:type="dxa"/>
            <w:vAlign w:val="bottom"/>
            <w:tcBorders>
              <w:bottom w:val="single" w:sz="8" w:color="auto"/>
            </w:tcBorders>
            <w:shd w:val="clear" w:color="auto" w:fill="EAF1DD"/>
          </w:tcPr>
          <w:p>
            <w:pPr>
              <w:jc w:val="right"/>
              <w:ind w:right="17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auto"/>
            </w:tcBorders>
            <w:shd w:val="clear" w:color="auto" w:fill="EAF1DD"/>
          </w:tcPr>
          <w:p>
            <w:pPr>
              <w:spacing w:after="0"/>
              <w:rPr>
                <w:sz w:val="18"/>
                <w:szCs w:val="18"/>
                <w:color w:val="auto"/>
              </w:rPr>
            </w:pPr>
          </w:p>
        </w:tc>
        <w:tc>
          <w:tcPr>
            <w:tcW w:w="300" w:type="dxa"/>
            <w:vAlign w:val="bottom"/>
            <w:shd w:val="clear" w:color="auto" w:fill="EAF1DD"/>
          </w:tcPr>
          <w:p>
            <w:pPr>
              <w:spacing w:after="0"/>
              <w:rPr>
                <w:sz w:val="18"/>
                <w:szCs w:val="18"/>
                <w:color w:val="auto"/>
              </w:rPr>
            </w:pPr>
          </w:p>
        </w:tc>
        <w:tc>
          <w:tcPr>
            <w:tcW w:w="620" w:type="dxa"/>
            <w:vAlign w:val="bottom"/>
            <w:tcBorders>
              <w:bottom w:val="single" w:sz="8" w:color="auto"/>
            </w:tcBorders>
            <w:shd w:val="clear" w:color="auto" w:fill="EAF1DD"/>
          </w:tcPr>
          <w:p>
            <w:pPr>
              <w:spacing w:after="0"/>
              <w:rPr>
                <w:sz w:val="18"/>
                <w:szCs w:val="18"/>
                <w:color w:val="auto"/>
              </w:rPr>
            </w:pPr>
          </w:p>
        </w:tc>
        <w:tc>
          <w:tcPr>
            <w:tcW w:w="1120" w:type="dxa"/>
            <w:vAlign w:val="bottom"/>
            <w:tcBorders>
              <w:bottom w:val="single" w:sz="8" w:color="auto"/>
            </w:tcBorders>
            <w:shd w:val="clear" w:color="auto" w:fill="EAF1DD"/>
          </w:tcPr>
          <w:p>
            <w:pPr>
              <w:jc w:val="right"/>
              <w:ind w:right="270"/>
              <w:spacing w:after="0"/>
              <w:rPr>
                <w:sz w:val="20"/>
                <w:szCs w:val="20"/>
                <w:color w:val="auto"/>
              </w:rPr>
            </w:pPr>
            <w:r>
              <w:rPr>
                <w:rFonts w:ascii="Arial" w:cs="Arial" w:eastAsia="Arial" w:hAnsi="Arial"/>
                <w:sz w:val="18"/>
                <w:szCs w:val="18"/>
                <w:color w:val="auto"/>
              </w:rPr>
              <w:t>2,048</w:t>
            </w:r>
          </w:p>
        </w:tc>
        <w:tc>
          <w:tcPr>
            <w:tcW w:w="40" w:type="dxa"/>
            <w:vAlign w:val="bottom"/>
            <w:tcBorders>
              <w:right w:val="single" w:sz="8" w:color="808080"/>
            </w:tcBorders>
          </w:tcPr>
          <w:p>
            <w:pPr>
              <w:spacing w:after="0"/>
              <w:rPr>
                <w:sz w:val="18"/>
                <w:szCs w:val="18"/>
                <w:color w:val="auto"/>
              </w:rPr>
            </w:pPr>
          </w:p>
        </w:tc>
      </w:tr>
      <w:tr>
        <w:trPr>
          <w:trHeight w:val="183"/>
        </w:trPr>
        <w:tc>
          <w:tcPr>
            <w:tcW w:w="2580" w:type="dxa"/>
            <w:vAlign w:val="bottom"/>
            <w:tcBorders>
              <w:left w:val="single" w:sz="8" w:color="808080"/>
            </w:tcBorders>
          </w:tcPr>
          <w:p>
            <w:pPr>
              <w:spacing w:after="0"/>
              <w:rPr>
                <w:sz w:val="15"/>
                <w:szCs w:val="15"/>
                <w:color w:val="auto"/>
              </w:rPr>
            </w:pPr>
          </w:p>
        </w:tc>
        <w:tc>
          <w:tcPr>
            <w:tcW w:w="56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1,596</w:t>
            </w: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273"/>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2,617</w:t>
            </w:r>
          </w:p>
        </w:tc>
        <w:tc>
          <w:tcPr>
            <w:tcW w:w="40" w:type="dxa"/>
            <w:vAlign w:val="bottom"/>
            <w:tcBorders>
              <w:right w:val="single" w:sz="8" w:color="808080"/>
            </w:tcBorders>
          </w:tcPr>
          <w:p>
            <w:pPr>
              <w:spacing w:after="0"/>
              <w:rPr>
                <w:sz w:val="15"/>
                <w:szCs w:val="15"/>
                <w:color w:val="auto"/>
              </w:rPr>
            </w:pPr>
          </w:p>
        </w:tc>
      </w:tr>
      <w:tr>
        <w:trPr>
          <w:trHeight w:val="20"/>
        </w:trPr>
        <w:tc>
          <w:tcPr>
            <w:tcW w:w="2580" w:type="dxa"/>
            <w:vAlign w:val="bottom"/>
            <w:tcBorders>
              <w:left w:val="single" w:sz="8" w:color="808080"/>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r>
      <w:tr>
        <w:trPr>
          <w:trHeight w:val="20"/>
        </w:trPr>
        <w:tc>
          <w:tcPr>
            <w:tcW w:w="2580" w:type="dxa"/>
            <w:vAlign w:val="bottom"/>
            <w:tcBorders>
              <w:left w:val="single" w:sz="8" w:color="808080"/>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6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Current finished goods include consigned inventory in the amounts of approximately $1,382 and $1,742 as of September 30, 2011 and December 31, 2010, respectively. Consigned inventory represents inventory at distributors and other customers where revenue recognition criteria have not been achieved.</w:t>
      </w:r>
    </w:p>
    <w:p>
      <w:pPr>
        <w:spacing w:after="0" w:line="213"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The following table summarizes the losses incurred on valuation of inventory at lower of cost or market value and write-off of obsolete inventory during the three and nine months ended September 30, 2011 and 2010, respectively.</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819785</wp:posOffset>
            </wp:positionV>
            <wp:extent cx="6444615" cy="715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4615" cy="715645"/>
                    </a:xfrm>
                    <a:prstGeom prst="rect">
                      <a:avLst/>
                    </a:prstGeom>
                    <a:noFill/>
                  </pic:spPr>
                </pic:pic>
              </a:graphicData>
            </a:graphic>
          </wp:anchor>
        </w:drawing>
      </w:r>
    </w:p>
    <w:p>
      <w:pPr>
        <w:sectPr>
          <w:pgSz w:w="11900" w:h="16845" w:orient="portrait"/>
          <w:cols w:equalWidth="0" w:num="1">
            <w:col w:w="11320"/>
          </w:cols>
          <w:pgMar w:left="24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Losses incurred on valuation of inventory and write-off of obsolete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6"/>
                <w:szCs w:val="16"/>
                <w:b w:val="1"/>
                <w:bCs w:val="1"/>
                <w:color w:val="auto"/>
              </w:rPr>
              <w:t>Nine months ended</w:t>
            </w:r>
          </w:p>
        </w:tc>
      </w:tr>
      <w:tr>
        <w:trPr>
          <w:trHeight w:val="188"/>
        </w:trPr>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2010</w:t>
            </w:r>
          </w:p>
        </w:tc>
      </w:tr>
      <w:tr>
        <w:trPr>
          <w:trHeight w:val="456"/>
        </w:trPr>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4</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149</w:t>
            </w:r>
          </w:p>
        </w:tc>
      </w:tr>
    </w:tbl>
    <w:p>
      <w:pPr>
        <w:spacing w:after="0" w:line="204" w:lineRule="exact"/>
        <w:rPr>
          <w:sz w:val="20"/>
          <w:szCs w:val="20"/>
          <w:color w:val="auto"/>
        </w:rPr>
      </w:pPr>
    </w:p>
    <w:p>
      <w:pPr>
        <w:sectPr>
          <w:pgSz w:w="11900" w:h="16845" w:orient="portrait"/>
          <w:cols w:equalWidth="0" w:num="2">
            <w:col w:w="3420" w:space="540"/>
            <w:col w:w="7360"/>
          </w:cols>
          <w:pgMar w:left="240" w:top="111" w:right="339" w:bottom="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Share-based Compensation</w:t>
      </w:r>
    </w:p>
    <w:p>
      <w:pPr>
        <w:sectPr>
          <w:pgSz w:w="11900" w:h="16845" w:orient="portrait"/>
          <w:cols w:equalWidth="0" w:num="1">
            <w:col w:w="11320"/>
          </w:cols>
          <w:pgMar w:left="240" w:top="111" w:right="339" w:bottom="0"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color w:val="auto"/>
        </w:rPr>
        <w:t>Share-based compensation expense has been allocated as follows:</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3220" w:type="dxa"/>
            <w:vAlign w:val="bottom"/>
            <w:tcBorders>
              <w:top w:val="single" w:sz="8" w:color="808080"/>
              <w:left w:val="single" w:sz="8" w:color="808080"/>
            </w:tcBorders>
          </w:tcPr>
          <w:p>
            <w:pPr>
              <w:spacing w:after="0"/>
              <w:rPr>
                <w:sz w:val="20"/>
                <w:szCs w:val="20"/>
                <w:color w:val="auto"/>
              </w:rPr>
            </w:pPr>
          </w:p>
        </w:tc>
        <w:tc>
          <w:tcPr>
            <w:tcW w:w="400" w:type="dxa"/>
            <w:vAlign w:val="bottom"/>
            <w:tcBorders>
              <w:top w:val="single" w:sz="8" w:color="808080"/>
              <w:bottom w:val="single" w:sz="8" w:color="auto"/>
            </w:tcBorders>
          </w:tcPr>
          <w:p>
            <w:pPr>
              <w:spacing w:after="0"/>
              <w:rPr>
                <w:sz w:val="20"/>
                <w:szCs w:val="20"/>
                <w:color w:val="auto"/>
              </w:rPr>
            </w:pPr>
          </w:p>
        </w:tc>
        <w:tc>
          <w:tcPr>
            <w:tcW w:w="2640" w:type="dxa"/>
            <w:vAlign w:val="bottom"/>
            <w:tcBorders>
              <w:top w:val="single" w:sz="8" w:color="808080"/>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top w:val="single" w:sz="8" w:color="808080"/>
            </w:tcBorders>
          </w:tcPr>
          <w:p>
            <w:pPr>
              <w:spacing w:after="0"/>
              <w:rPr>
                <w:sz w:val="20"/>
                <w:szCs w:val="20"/>
                <w:color w:val="auto"/>
              </w:rPr>
            </w:pPr>
          </w:p>
        </w:tc>
        <w:tc>
          <w:tcPr>
            <w:tcW w:w="380" w:type="dxa"/>
            <w:vAlign w:val="bottom"/>
            <w:tcBorders>
              <w:top w:val="single" w:sz="8" w:color="808080"/>
              <w:bottom w:val="single" w:sz="8" w:color="auto"/>
            </w:tcBorders>
          </w:tcPr>
          <w:p>
            <w:pPr>
              <w:spacing w:after="0"/>
              <w:rPr>
                <w:sz w:val="20"/>
                <w:szCs w:val="20"/>
                <w:color w:val="auto"/>
              </w:rPr>
            </w:pPr>
          </w:p>
        </w:tc>
        <w:tc>
          <w:tcPr>
            <w:tcW w:w="1800" w:type="dxa"/>
            <w:vAlign w:val="bottom"/>
            <w:tcBorders>
              <w:top w:val="single" w:sz="8" w:color="808080"/>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w w:val="88"/>
              </w:rPr>
              <w:t>Nine months ended</w:t>
            </w:r>
          </w:p>
        </w:tc>
        <w:tc>
          <w:tcPr>
            <w:tcW w:w="860" w:type="dxa"/>
            <w:vAlign w:val="bottom"/>
            <w:tcBorders>
              <w:top w:val="single" w:sz="8" w:color="808080"/>
              <w:bottom w:val="single" w:sz="8" w:color="auto"/>
              <w:right w:val="single" w:sz="8" w:color="808080"/>
            </w:tcBorders>
          </w:tcPr>
          <w:p>
            <w:pPr>
              <w:spacing w:after="0"/>
              <w:rPr>
                <w:sz w:val="20"/>
                <w:szCs w:val="20"/>
                <w:color w:val="auto"/>
              </w:rPr>
            </w:pPr>
          </w:p>
        </w:tc>
      </w:tr>
      <w:tr>
        <w:trPr>
          <w:trHeight w:val="185"/>
        </w:trPr>
        <w:tc>
          <w:tcPr>
            <w:tcW w:w="3220" w:type="dxa"/>
            <w:vAlign w:val="bottom"/>
            <w:tcBorders>
              <w:left w:val="single" w:sz="8" w:color="808080"/>
            </w:tcBorders>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6"/>
                <w:szCs w:val="16"/>
                <w:color w:val="auto"/>
              </w:rPr>
            </w:pPr>
          </w:p>
        </w:tc>
        <w:tc>
          <w:tcPr>
            <w:tcW w:w="1380" w:type="dxa"/>
            <w:vAlign w:val="bottom"/>
            <w:tcBorders>
              <w:right w:val="single" w:sz="8" w:color="808080"/>
            </w:tcBorders>
            <w:gridSpan w:val="2"/>
          </w:tcPr>
          <w:p>
            <w:pPr>
              <w:ind w:left="18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3220" w:type="dxa"/>
            <w:vAlign w:val="bottom"/>
            <w:tcBorders>
              <w:left w:val="single" w:sz="8" w:color="808080"/>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808080"/>
            </w:tcBorders>
          </w:tcPr>
          <w:p>
            <w:pPr>
              <w:jc w:val="right"/>
              <w:ind w:right="451"/>
              <w:spacing w:after="0"/>
              <w:rPr>
                <w:sz w:val="20"/>
                <w:szCs w:val="20"/>
                <w:color w:val="auto"/>
              </w:rPr>
            </w:pPr>
            <w:r>
              <w:rPr>
                <w:rFonts w:ascii="Arial" w:cs="Arial" w:eastAsia="Arial" w:hAnsi="Arial"/>
                <w:sz w:val="16"/>
                <w:szCs w:val="16"/>
                <w:b w:val="1"/>
                <w:bCs w:val="1"/>
                <w:color w:val="auto"/>
                <w:w w:val="84"/>
              </w:rPr>
              <w:t>2010</w:t>
            </w:r>
          </w:p>
        </w:tc>
      </w:tr>
      <w:tr>
        <w:trPr>
          <w:trHeight w:val="216"/>
        </w:trPr>
        <w:tc>
          <w:tcPr>
            <w:tcW w:w="322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Cost of goods sold</w:t>
            </w:r>
          </w:p>
        </w:tc>
        <w:tc>
          <w:tcPr>
            <w:tcW w:w="400" w:type="dxa"/>
            <w:vAlign w:val="bottom"/>
            <w:shd w:val="clear" w:color="auto" w:fill="EAF1DD"/>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right w:val="single" w:sz="8" w:color="808080"/>
            </w:tcBorders>
          </w:tcPr>
          <w:p>
            <w:pPr>
              <w:jc w:val="right"/>
              <w:ind w:right="311"/>
              <w:spacing w:after="0"/>
              <w:rPr>
                <w:sz w:val="20"/>
                <w:szCs w:val="20"/>
                <w:color w:val="auto"/>
              </w:rPr>
            </w:pPr>
            <w:r>
              <w:rPr>
                <w:rFonts w:ascii="Arial" w:cs="Arial" w:eastAsia="Arial" w:hAnsi="Arial"/>
                <w:sz w:val="18"/>
                <w:szCs w:val="18"/>
                <w:color w:val="auto"/>
              </w:rPr>
              <w:t>31</w:t>
            </w:r>
          </w:p>
        </w:tc>
      </w:tr>
      <w:tr>
        <w:trPr>
          <w:trHeight w:val="216"/>
        </w:trPr>
        <w:tc>
          <w:tcPr>
            <w:tcW w:w="322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EAF1DD"/>
          </w:tcPr>
          <w:p>
            <w:pPr>
              <w:spacing w:after="0"/>
              <w:rPr>
                <w:sz w:val="18"/>
                <w:szCs w:val="18"/>
                <w:color w:val="auto"/>
              </w:rPr>
            </w:pPr>
          </w:p>
        </w:tc>
        <w:tc>
          <w:tcPr>
            <w:tcW w:w="98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4</w:t>
            </w:r>
          </w:p>
        </w:tc>
        <w:tc>
          <w:tcPr>
            <w:tcW w:w="300" w:type="dxa"/>
            <w:vAlign w:val="bottom"/>
            <w:shd w:val="clear" w:color="auto" w:fill="EAF1DD"/>
          </w:tcPr>
          <w:p>
            <w:pPr>
              <w:spacing w:after="0"/>
              <w:rPr>
                <w:sz w:val="18"/>
                <w:szCs w:val="18"/>
                <w:color w:val="auto"/>
              </w:rPr>
            </w:pPr>
          </w:p>
        </w:tc>
        <w:tc>
          <w:tcPr>
            <w:tcW w:w="380" w:type="dxa"/>
            <w:vAlign w:val="bottom"/>
            <w:shd w:val="clear" w:color="auto" w:fill="EAF1DD"/>
          </w:tcPr>
          <w:p>
            <w:pPr>
              <w:spacing w:after="0"/>
              <w:rPr>
                <w:sz w:val="18"/>
                <w:szCs w:val="18"/>
                <w:color w:val="auto"/>
              </w:rPr>
            </w:pPr>
          </w:p>
        </w:tc>
        <w:tc>
          <w:tcPr>
            <w:tcW w:w="98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8</w:t>
            </w:r>
          </w:p>
        </w:tc>
        <w:tc>
          <w:tcPr>
            <w:tcW w:w="300" w:type="dxa"/>
            <w:vAlign w:val="bottom"/>
            <w:shd w:val="clear" w:color="auto" w:fill="EAF1DD"/>
          </w:tcPr>
          <w:p>
            <w:pPr>
              <w:spacing w:after="0"/>
              <w:rPr>
                <w:sz w:val="18"/>
                <w:szCs w:val="18"/>
                <w:color w:val="auto"/>
              </w:rPr>
            </w:pPr>
          </w:p>
        </w:tc>
        <w:tc>
          <w:tcPr>
            <w:tcW w:w="380" w:type="dxa"/>
            <w:vAlign w:val="bottom"/>
            <w:shd w:val="clear" w:color="auto" w:fill="EAF1DD"/>
          </w:tcPr>
          <w:p>
            <w:pPr>
              <w:spacing w:after="0"/>
              <w:rPr>
                <w:sz w:val="18"/>
                <w:szCs w:val="18"/>
                <w:color w:val="auto"/>
              </w:rPr>
            </w:pPr>
          </w:p>
        </w:tc>
        <w:tc>
          <w:tcPr>
            <w:tcW w:w="98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AF1DD"/>
          </w:tcPr>
          <w:p>
            <w:pPr>
              <w:spacing w:after="0"/>
              <w:rPr>
                <w:sz w:val="18"/>
                <w:szCs w:val="18"/>
                <w:color w:val="auto"/>
              </w:rPr>
            </w:pPr>
          </w:p>
        </w:tc>
        <w:tc>
          <w:tcPr>
            <w:tcW w:w="520" w:type="dxa"/>
            <w:vAlign w:val="bottom"/>
            <w:shd w:val="clear" w:color="auto" w:fill="EAF1DD"/>
          </w:tcPr>
          <w:p>
            <w:pPr>
              <w:spacing w:after="0"/>
              <w:rPr>
                <w:sz w:val="18"/>
                <w:szCs w:val="18"/>
                <w:color w:val="auto"/>
              </w:rPr>
            </w:pPr>
          </w:p>
        </w:tc>
        <w:tc>
          <w:tcPr>
            <w:tcW w:w="860" w:type="dxa"/>
            <w:vAlign w:val="bottom"/>
            <w:tcBorders>
              <w:right w:val="single" w:sz="8" w:color="808080"/>
            </w:tcBorders>
            <w:shd w:val="clear" w:color="auto" w:fill="EAF1DD"/>
          </w:tcPr>
          <w:p>
            <w:pPr>
              <w:jc w:val="right"/>
              <w:ind w:right="311"/>
              <w:spacing w:after="0"/>
              <w:rPr>
                <w:sz w:val="20"/>
                <w:szCs w:val="20"/>
                <w:color w:val="auto"/>
              </w:rPr>
            </w:pPr>
            <w:r>
              <w:rPr>
                <w:rFonts w:ascii="Arial" w:cs="Arial" w:eastAsia="Arial" w:hAnsi="Arial"/>
                <w:sz w:val="18"/>
                <w:szCs w:val="18"/>
                <w:color w:val="auto"/>
              </w:rPr>
              <w:t>22</w:t>
            </w:r>
          </w:p>
        </w:tc>
      </w:tr>
      <w:tr>
        <w:trPr>
          <w:trHeight w:val="216"/>
        </w:trPr>
        <w:tc>
          <w:tcPr>
            <w:tcW w:w="322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EAF1DD"/>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EAF1DD"/>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EAF1DD"/>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808080"/>
            </w:tcBorders>
          </w:tcPr>
          <w:p>
            <w:pPr>
              <w:jc w:val="right"/>
              <w:ind w:right="311"/>
              <w:spacing w:after="0"/>
              <w:rPr>
                <w:sz w:val="20"/>
                <w:szCs w:val="20"/>
                <w:color w:val="auto"/>
              </w:rPr>
            </w:pPr>
            <w:r>
              <w:rPr>
                <w:rFonts w:ascii="Arial" w:cs="Arial" w:eastAsia="Arial" w:hAnsi="Arial"/>
                <w:sz w:val="18"/>
                <w:szCs w:val="18"/>
                <w:color w:val="auto"/>
              </w:rPr>
              <w:t>169</w:t>
            </w:r>
          </w:p>
        </w:tc>
      </w:tr>
      <w:tr>
        <w:trPr>
          <w:trHeight w:val="223"/>
        </w:trPr>
        <w:tc>
          <w:tcPr>
            <w:tcW w:w="3220" w:type="dxa"/>
            <w:vAlign w:val="bottom"/>
            <w:tcBorders>
              <w:left w:val="single" w:sz="8" w:color="808080"/>
              <w:bottom w:val="single" w:sz="8" w:color="EAF1DD"/>
            </w:tcBorders>
            <w:shd w:val="clear" w:color="auto" w:fill="EAF1DD"/>
          </w:tcPr>
          <w:p>
            <w:pPr>
              <w:spacing w:after="0"/>
              <w:rPr>
                <w:sz w:val="19"/>
                <w:szCs w:val="19"/>
                <w:color w:val="auto"/>
              </w:rPr>
            </w:pPr>
          </w:p>
        </w:tc>
        <w:tc>
          <w:tcPr>
            <w:tcW w:w="40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1DD"/>
          </w:tcPr>
          <w:p>
            <w:pPr>
              <w:jc w:val="right"/>
              <w:ind w:right="293"/>
              <w:spacing w:after="0" w:line="182" w:lineRule="exact"/>
              <w:rPr>
                <w:sz w:val="20"/>
                <w:szCs w:val="20"/>
                <w:color w:val="auto"/>
              </w:rPr>
            </w:pPr>
            <w:r>
              <w:rPr>
                <w:rFonts w:ascii="Arial" w:cs="Arial" w:eastAsia="Arial" w:hAnsi="Arial"/>
                <w:sz w:val="18"/>
                <w:szCs w:val="18"/>
                <w:color w:val="auto"/>
              </w:rPr>
              <w:t>48</w:t>
            </w:r>
          </w:p>
        </w:tc>
        <w:tc>
          <w:tcPr>
            <w:tcW w:w="300" w:type="dxa"/>
            <w:vAlign w:val="bottom"/>
            <w:tcBorders>
              <w:bottom w:val="single" w:sz="8" w:color="EAF1DD"/>
            </w:tcBorders>
            <w:shd w:val="clear" w:color="auto" w:fill="EAF1DD"/>
          </w:tcPr>
          <w:p>
            <w:pPr>
              <w:spacing w:after="0"/>
              <w:rPr>
                <w:sz w:val="19"/>
                <w:szCs w:val="19"/>
                <w:color w:val="auto"/>
              </w:rPr>
            </w:pPr>
          </w:p>
        </w:tc>
        <w:tc>
          <w:tcPr>
            <w:tcW w:w="380" w:type="dxa"/>
            <w:vAlign w:val="bottom"/>
            <w:tcBorders>
              <w:bottom w:val="single" w:sz="8" w:color="auto"/>
            </w:tcBorders>
            <w:shd w:val="clear" w:color="auto" w:fill="EAF1DD"/>
          </w:tcPr>
          <w:p>
            <w:pPr>
              <w:ind w:left="16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1DD"/>
          </w:tcPr>
          <w:p>
            <w:pPr>
              <w:jc w:val="right"/>
              <w:ind w:right="291"/>
              <w:spacing w:after="0" w:line="182" w:lineRule="exact"/>
              <w:rPr>
                <w:sz w:val="20"/>
                <w:szCs w:val="20"/>
                <w:color w:val="auto"/>
              </w:rPr>
            </w:pPr>
            <w:r>
              <w:rPr>
                <w:rFonts w:ascii="Arial" w:cs="Arial" w:eastAsia="Arial" w:hAnsi="Arial"/>
                <w:sz w:val="18"/>
                <w:szCs w:val="18"/>
                <w:color w:val="auto"/>
              </w:rPr>
              <w:t>62</w:t>
            </w:r>
          </w:p>
        </w:tc>
        <w:tc>
          <w:tcPr>
            <w:tcW w:w="300" w:type="dxa"/>
            <w:vAlign w:val="bottom"/>
            <w:tcBorders>
              <w:bottom w:val="single" w:sz="8" w:color="EAF1DD"/>
            </w:tcBorders>
            <w:shd w:val="clear" w:color="auto" w:fill="EAF1DD"/>
          </w:tcPr>
          <w:p>
            <w:pPr>
              <w:spacing w:after="0"/>
              <w:rPr>
                <w:sz w:val="19"/>
                <w:szCs w:val="19"/>
                <w:color w:val="auto"/>
              </w:rPr>
            </w:pPr>
          </w:p>
        </w:tc>
        <w:tc>
          <w:tcPr>
            <w:tcW w:w="380" w:type="dxa"/>
            <w:vAlign w:val="bottom"/>
            <w:tcBorders>
              <w:bottom w:val="single" w:sz="8" w:color="auto"/>
            </w:tcBorders>
            <w:shd w:val="clear" w:color="auto" w:fill="EAF1DD"/>
          </w:tcPr>
          <w:p>
            <w:pPr>
              <w:ind w:left="160"/>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1DD"/>
          </w:tcPr>
          <w:p>
            <w:pPr>
              <w:jc w:val="right"/>
              <w:ind w:right="293"/>
              <w:spacing w:after="0" w:line="182" w:lineRule="exact"/>
              <w:rPr>
                <w:sz w:val="20"/>
                <w:szCs w:val="20"/>
                <w:color w:val="auto"/>
              </w:rPr>
            </w:pPr>
            <w:r>
              <w:rPr>
                <w:rFonts w:ascii="Arial" w:cs="Arial" w:eastAsia="Arial" w:hAnsi="Arial"/>
                <w:sz w:val="18"/>
                <w:szCs w:val="18"/>
                <w:color w:val="auto"/>
              </w:rPr>
              <w:t>131</w:t>
            </w:r>
          </w:p>
        </w:tc>
        <w:tc>
          <w:tcPr>
            <w:tcW w:w="300" w:type="dxa"/>
            <w:vAlign w:val="bottom"/>
            <w:tcBorders>
              <w:bottom w:val="single" w:sz="8" w:color="EAF1DD"/>
            </w:tcBorders>
            <w:shd w:val="clear" w:color="auto" w:fill="EAF1DD"/>
          </w:tcPr>
          <w:p>
            <w:pPr>
              <w:spacing w:after="0"/>
              <w:rPr>
                <w:sz w:val="19"/>
                <w:szCs w:val="19"/>
                <w:color w:val="auto"/>
              </w:rPr>
            </w:pPr>
          </w:p>
        </w:tc>
        <w:tc>
          <w:tcPr>
            <w:tcW w:w="520" w:type="dxa"/>
            <w:vAlign w:val="bottom"/>
            <w:tcBorders>
              <w:bottom w:val="single" w:sz="8" w:color="auto"/>
            </w:tcBorders>
            <w:shd w:val="clear" w:color="auto" w:fill="EAF1DD"/>
          </w:tcPr>
          <w:p>
            <w:pPr>
              <w:ind w:left="16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808080"/>
            </w:tcBorders>
            <w:shd w:val="clear" w:color="auto" w:fill="EAF1DD"/>
          </w:tcPr>
          <w:p>
            <w:pPr>
              <w:jc w:val="right"/>
              <w:ind w:right="311"/>
              <w:spacing w:after="0" w:line="182" w:lineRule="exact"/>
              <w:rPr>
                <w:sz w:val="20"/>
                <w:szCs w:val="20"/>
                <w:color w:val="auto"/>
              </w:rPr>
            </w:pPr>
            <w:r>
              <w:rPr>
                <w:rFonts w:ascii="Arial" w:cs="Arial" w:eastAsia="Arial" w:hAnsi="Arial"/>
                <w:sz w:val="18"/>
                <w:szCs w:val="18"/>
                <w:color w:val="auto"/>
              </w:rPr>
              <w:t>222</w:t>
            </w:r>
          </w:p>
        </w:tc>
      </w:tr>
      <w:tr>
        <w:trPr>
          <w:trHeight w:val="20"/>
        </w:trPr>
        <w:tc>
          <w:tcPr>
            <w:tcW w:w="3220" w:type="dxa"/>
            <w:vAlign w:val="bottom"/>
            <w:tcBorders>
              <w:left w:val="single" w:sz="8" w:color="808080"/>
              <w:bottom w:val="single" w:sz="8" w:color="808080"/>
            </w:tcBorders>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As of September 30, 2011 the total remaining unrecognized compensation cost related to non-vested stock options, net of forfeitures, was approximately $447.</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During the three and nine months ended September 30, 2011, we granted 96,611 and 101,611 stock options respectively. During the three and nine months ended September 30, 2010 we granted 10,500 and 152,250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Shareholders’ Equity</w:t>
      </w:r>
    </w:p>
    <w:p>
      <w:pPr>
        <w:spacing w:after="0" w:line="23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The following table summarizes the change in shareholders’ equity during the three and nine months ended September 30, 2011 and 2010 respectively:</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3600" w:type="dxa"/>
            <w:vAlign w:val="bottom"/>
            <w:tcBorders>
              <w:top w:val="single" w:sz="8" w:color="808080"/>
              <w:left w:val="single" w:sz="8" w:color="808080"/>
            </w:tcBorders>
          </w:tcPr>
          <w:p>
            <w:pPr>
              <w:spacing w:after="0"/>
              <w:rPr>
                <w:sz w:val="20"/>
                <w:szCs w:val="20"/>
                <w:color w:val="auto"/>
              </w:rPr>
            </w:pPr>
          </w:p>
        </w:tc>
        <w:tc>
          <w:tcPr>
            <w:tcW w:w="380" w:type="dxa"/>
            <w:vAlign w:val="bottom"/>
            <w:tcBorders>
              <w:top w:val="single" w:sz="8" w:color="808080"/>
            </w:tcBorders>
          </w:tcPr>
          <w:p>
            <w:pPr>
              <w:spacing w:after="0"/>
              <w:rPr>
                <w:sz w:val="20"/>
                <w:szCs w:val="20"/>
                <w:color w:val="auto"/>
              </w:rPr>
            </w:pPr>
          </w:p>
        </w:tc>
        <w:tc>
          <w:tcPr>
            <w:tcW w:w="2660" w:type="dxa"/>
            <w:vAlign w:val="bottom"/>
            <w:tcBorders>
              <w:top w:val="single" w:sz="8" w:color="808080"/>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top w:val="single" w:sz="8" w:color="808080"/>
            </w:tcBorders>
          </w:tcPr>
          <w:p>
            <w:pPr>
              <w:spacing w:after="0"/>
              <w:rPr>
                <w:sz w:val="20"/>
                <w:szCs w:val="20"/>
                <w:color w:val="auto"/>
              </w:rPr>
            </w:pPr>
          </w:p>
        </w:tc>
        <w:tc>
          <w:tcPr>
            <w:tcW w:w="380" w:type="dxa"/>
            <w:vAlign w:val="bottom"/>
            <w:tcBorders>
              <w:top w:val="single" w:sz="8" w:color="808080"/>
            </w:tcBorders>
          </w:tcPr>
          <w:p>
            <w:pPr>
              <w:spacing w:after="0"/>
              <w:rPr>
                <w:sz w:val="20"/>
                <w:szCs w:val="20"/>
                <w:color w:val="auto"/>
              </w:rPr>
            </w:pPr>
          </w:p>
        </w:tc>
        <w:tc>
          <w:tcPr>
            <w:tcW w:w="2700" w:type="dxa"/>
            <w:vAlign w:val="bottom"/>
            <w:tcBorders>
              <w:top w:val="single" w:sz="8" w:color="808080"/>
              <w:right w:val="single" w:sz="8" w:color="808080"/>
            </w:tcBorders>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r>
      <w:tr>
        <w:trPr>
          <w:trHeight w:val="185"/>
        </w:trPr>
        <w:tc>
          <w:tcPr>
            <w:tcW w:w="3600" w:type="dxa"/>
            <w:vAlign w:val="bottom"/>
            <w:tcBorders>
              <w:left w:val="single" w:sz="8" w:color="808080"/>
            </w:tcBorders>
          </w:tcPr>
          <w:p>
            <w:pPr>
              <w:spacing w:after="0"/>
              <w:rPr>
                <w:sz w:val="16"/>
                <w:szCs w:val="16"/>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right w:val="single" w:sz="8" w:color="808080"/>
            </w:tcBorders>
          </w:tcPr>
          <w:p>
            <w:pPr>
              <w:spacing w:after="0"/>
              <w:rPr>
                <w:sz w:val="16"/>
                <w:szCs w:val="16"/>
                <w:color w:val="auto"/>
              </w:rPr>
            </w:pPr>
          </w:p>
        </w:tc>
      </w:tr>
      <w:tr>
        <w:trPr>
          <w:trHeight w:val="210"/>
        </w:trPr>
        <w:tc>
          <w:tcPr>
            <w:tcW w:w="3600" w:type="dxa"/>
            <w:vAlign w:val="bottom"/>
            <w:tcBorders>
              <w:left w:val="single" w:sz="8" w:color="808080"/>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right w:val="single" w:sz="8" w:color="808080"/>
            </w:tcBorders>
          </w:tcPr>
          <w:p>
            <w:pPr>
              <w:spacing w:after="0"/>
              <w:rPr>
                <w:sz w:val="18"/>
                <w:szCs w:val="18"/>
                <w:color w:val="auto"/>
              </w:rPr>
            </w:pPr>
          </w:p>
        </w:tc>
      </w:tr>
      <w:tr>
        <w:trPr>
          <w:trHeight w:val="216"/>
        </w:trPr>
        <w:tc>
          <w:tcPr>
            <w:tcW w:w="3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Balance at the beginning of the period</w:t>
            </w:r>
          </w:p>
        </w:tc>
        <w:tc>
          <w:tcPr>
            <w:tcW w:w="380" w:type="dxa"/>
            <w:vAlign w:val="bottom"/>
            <w:shd w:val="clear" w:color="auto" w:fill="EAF1DD"/>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34,668</w:t>
            </w:r>
          </w:p>
        </w:tc>
        <w:tc>
          <w:tcPr>
            <w:tcW w:w="66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29,828</w:t>
            </w:r>
          </w:p>
        </w:tc>
        <w:tc>
          <w:tcPr>
            <w:tcW w:w="66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31,735</w:t>
            </w:r>
          </w:p>
        </w:tc>
        <w:tc>
          <w:tcPr>
            <w:tcW w:w="660" w:type="dxa"/>
            <w:vAlign w:val="bottom"/>
            <w:gridSpan w:val="2"/>
            <w:shd w:val="clear" w:color="auto" w:fill="EAF1DD"/>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29,098</w:t>
            </w:r>
          </w:p>
        </w:tc>
        <w:tc>
          <w:tcPr>
            <w:tcW w:w="40" w:type="dxa"/>
            <w:vAlign w:val="bottom"/>
            <w:tcBorders>
              <w:right w:val="single" w:sz="8" w:color="808080"/>
            </w:tcBorders>
          </w:tcPr>
          <w:p>
            <w:pPr>
              <w:spacing w:after="0"/>
              <w:rPr>
                <w:sz w:val="18"/>
                <w:szCs w:val="18"/>
                <w:color w:val="auto"/>
              </w:rPr>
            </w:pPr>
          </w:p>
        </w:tc>
      </w:tr>
      <w:tr>
        <w:trPr>
          <w:trHeight w:val="216"/>
        </w:trPr>
        <w:tc>
          <w:tcPr>
            <w:tcW w:w="360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Net income during the period</w:t>
            </w:r>
          </w:p>
        </w:tc>
        <w:tc>
          <w:tcPr>
            <w:tcW w:w="3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3,375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987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5,508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1,557</w:t>
            </w:r>
          </w:p>
        </w:tc>
        <w:tc>
          <w:tcPr>
            <w:tcW w:w="40" w:type="dxa"/>
            <w:vAlign w:val="bottom"/>
            <w:tcBorders>
              <w:right w:val="single" w:sz="8" w:color="808080"/>
            </w:tcBorders>
          </w:tcPr>
          <w:p>
            <w:pPr>
              <w:spacing w:after="0"/>
              <w:rPr>
                <w:sz w:val="18"/>
                <w:szCs w:val="18"/>
                <w:color w:val="auto"/>
              </w:rPr>
            </w:pPr>
          </w:p>
        </w:tc>
      </w:tr>
      <w:tr>
        <w:trPr>
          <w:trHeight w:val="216"/>
        </w:trPr>
        <w:tc>
          <w:tcPr>
            <w:tcW w:w="360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EAF1DD"/>
          </w:tcPr>
          <w:p>
            <w:pPr>
              <w:spacing w:after="0"/>
              <w:rPr>
                <w:sz w:val="18"/>
                <w:szCs w:val="18"/>
                <w:color w:val="auto"/>
              </w:rPr>
            </w:pPr>
          </w:p>
        </w:tc>
        <w:tc>
          <w:tcPr>
            <w:tcW w:w="100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AF1DD"/>
          </w:tcPr>
          <w:p>
            <w:pPr>
              <w:spacing w:after="0"/>
              <w:rPr>
                <w:sz w:val="18"/>
                <w:szCs w:val="18"/>
                <w:color w:val="auto"/>
              </w:rPr>
            </w:pPr>
          </w:p>
        </w:tc>
        <w:tc>
          <w:tcPr>
            <w:tcW w:w="380" w:type="dxa"/>
            <w:vAlign w:val="bottom"/>
            <w:shd w:val="clear" w:color="auto" w:fill="EAF1DD"/>
          </w:tcPr>
          <w:p>
            <w:pPr>
              <w:spacing w:after="0"/>
              <w:rPr>
                <w:sz w:val="18"/>
                <w:szCs w:val="18"/>
                <w:color w:val="auto"/>
              </w:rPr>
            </w:pP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64</w:t>
            </w:r>
          </w:p>
        </w:tc>
        <w:tc>
          <w:tcPr>
            <w:tcW w:w="280" w:type="dxa"/>
            <w:vAlign w:val="bottom"/>
            <w:shd w:val="clear" w:color="auto" w:fill="EAF1DD"/>
          </w:tcPr>
          <w:p>
            <w:pPr>
              <w:spacing w:after="0"/>
              <w:rPr>
                <w:sz w:val="18"/>
                <w:szCs w:val="18"/>
                <w:color w:val="auto"/>
              </w:rPr>
            </w:pPr>
          </w:p>
        </w:tc>
        <w:tc>
          <w:tcPr>
            <w:tcW w:w="380" w:type="dxa"/>
            <w:vAlign w:val="bottom"/>
            <w:shd w:val="clear" w:color="auto" w:fill="EAF1DD"/>
          </w:tcPr>
          <w:p>
            <w:pPr>
              <w:spacing w:after="0"/>
              <w:rPr>
                <w:sz w:val="18"/>
                <w:szCs w:val="18"/>
                <w:color w:val="auto"/>
              </w:rPr>
            </w:pPr>
          </w:p>
        </w:tc>
        <w:tc>
          <w:tcPr>
            <w:tcW w:w="1000" w:type="dxa"/>
            <w:vAlign w:val="bottom"/>
            <w:shd w:val="clear" w:color="auto" w:fill="EAF1DD"/>
          </w:tcPr>
          <w:p>
            <w:pPr>
              <w:jc w:val="right"/>
              <w:ind w:right="293"/>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EAF1DD"/>
          </w:tcPr>
          <w:p>
            <w:pPr>
              <w:spacing w:after="0"/>
              <w:rPr>
                <w:sz w:val="18"/>
                <w:szCs w:val="18"/>
                <w:color w:val="auto"/>
              </w:rPr>
            </w:pPr>
          </w:p>
        </w:tc>
        <w:tc>
          <w:tcPr>
            <w:tcW w:w="360" w:type="dxa"/>
            <w:vAlign w:val="bottom"/>
            <w:shd w:val="clear" w:color="auto" w:fill="EAF1DD"/>
          </w:tcPr>
          <w:p>
            <w:pPr>
              <w:spacing w:after="0"/>
              <w:rPr>
                <w:sz w:val="18"/>
                <w:szCs w:val="18"/>
                <w:color w:val="auto"/>
              </w:rPr>
            </w:pPr>
          </w:p>
        </w:tc>
        <w:tc>
          <w:tcPr>
            <w:tcW w:w="1000" w:type="dxa"/>
            <w:vAlign w:val="bottom"/>
            <w:shd w:val="clear" w:color="auto" w:fill="EAF1DD"/>
          </w:tcPr>
          <w:p>
            <w:pPr>
              <w:jc w:val="right"/>
              <w:ind w:right="291"/>
              <w:spacing w:after="0"/>
              <w:rPr>
                <w:sz w:val="20"/>
                <w:szCs w:val="20"/>
                <w:color w:val="auto"/>
              </w:rPr>
            </w:pPr>
            <w:r>
              <w:rPr>
                <w:rFonts w:ascii="Arial" w:cs="Arial" w:eastAsia="Arial" w:hAnsi="Arial"/>
                <w:sz w:val="18"/>
                <w:szCs w:val="18"/>
                <w:color w:val="auto"/>
              </w:rPr>
              <w:t>224</w:t>
            </w:r>
          </w:p>
        </w:tc>
        <w:tc>
          <w:tcPr>
            <w:tcW w:w="40" w:type="dxa"/>
            <w:vAlign w:val="bottom"/>
            <w:tcBorders>
              <w:right w:val="single" w:sz="8" w:color="808080"/>
            </w:tcBorders>
          </w:tcPr>
          <w:p>
            <w:pPr>
              <w:spacing w:after="0"/>
              <w:rPr>
                <w:sz w:val="18"/>
                <w:szCs w:val="18"/>
                <w:color w:val="auto"/>
              </w:rPr>
            </w:pPr>
          </w:p>
        </w:tc>
      </w:tr>
      <w:tr>
        <w:trPr>
          <w:trHeight w:val="216"/>
        </w:trPr>
        <w:tc>
          <w:tcPr>
            <w:tcW w:w="360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Exercise of stock options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EAF1DD"/>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1DD"/>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731</w:t>
            </w:r>
          </w:p>
        </w:tc>
        <w:tc>
          <w:tcPr>
            <w:tcW w:w="300" w:type="dxa"/>
            <w:vAlign w:val="bottom"/>
            <w:tcBorders>
              <w:bottom w:val="single" w:sz="8" w:color="EAF1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8"/>
                <w:szCs w:val="18"/>
                <w:color w:val="auto"/>
              </w:rPr>
            </w:pPr>
          </w:p>
        </w:tc>
      </w:tr>
      <w:tr>
        <w:trPr>
          <w:trHeight w:val="223"/>
        </w:trPr>
        <w:tc>
          <w:tcPr>
            <w:tcW w:w="3600" w:type="dxa"/>
            <w:vAlign w:val="bottom"/>
            <w:tcBorders>
              <w:left w:val="single" w:sz="8" w:color="808080"/>
              <w:bottom w:val="single" w:sz="8" w:color="EAF1DD"/>
            </w:tcBorders>
            <w:shd w:val="clear" w:color="auto" w:fill="EAF1DD"/>
          </w:tcPr>
          <w:p>
            <w:pPr>
              <w:ind w:left="80"/>
              <w:spacing w:after="0" w:line="182" w:lineRule="exact"/>
              <w:rPr>
                <w:sz w:val="20"/>
                <w:szCs w:val="20"/>
                <w:color w:val="auto"/>
              </w:rPr>
            </w:pPr>
            <w:r>
              <w:rPr>
                <w:rFonts w:ascii="Arial" w:cs="Arial" w:eastAsia="Arial" w:hAnsi="Arial"/>
                <w:sz w:val="18"/>
                <w:szCs w:val="18"/>
                <w:color w:val="auto"/>
              </w:rPr>
              <w:t>Balance at end of the period</w:t>
            </w:r>
          </w:p>
        </w:tc>
        <w:tc>
          <w:tcPr>
            <w:tcW w:w="38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1DD"/>
          </w:tcPr>
          <w:p>
            <w:pPr>
              <w:jc w:val="right"/>
              <w:ind w:right="293"/>
              <w:spacing w:after="0" w:line="182" w:lineRule="exact"/>
              <w:rPr>
                <w:sz w:val="20"/>
                <w:szCs w:val="20"/>
                <w:color w:val="auto"/>
              </w:rPr>
            </w:pPr>
            <w:r>
              <w:rPr>
                <w:rFonts w:ascii="Arial" w:cs="Arial" w:eastAsia="Arial" w:hAnsi="Arial"/>
                <w:sz w:val="18"/>
                <w:szCs w:val="18"/>
                <w:color w:val="auto"/>
              </w:rPr>
              <w:t>38,105</w:t>
            </w:r>
          </w:p>
        </w:tc>
        <w:tc>
          <w:tcPr>
            <w:tcW w:w="280" w:type="dxa"/>
            <w:vAlign w:val="bottom"/>
            <w:tcBorders>
              <w:bottom w:val="single" w:sz="8" w:color="EAF1DD"/>
            </w:tcBorders>
            <w:shd w:val="clear" w:color="auto" w:fill="EAF1DD"/>
          </w:tcPr>
          <w:p>
            <w:pPr>
              <w:spacing w:after="0"/>
              <w:rPr>
                <w:sz w:val="19"/>
                <w:szCs w:val="19"/>
                <w:color w:val="auto"/>
              </w:rPr>
            </w:pPr>
          </w:p>
        </w:tc>
        <w:tc>
          <w:tcPr>
            <w:tcW w:w="38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1DD"/>
          </w:tcPr>
          <w:p>
            <w:pPr>
              <w:jc w:val="right"/>
              <w:ind w:right="291"/>
              <w:spacing w:after="0" w:line="182" w:lineRule="exact"/>
              <w:rPr>
                <w:sz w:val="20"/>
                <w:szCs w:val="20"/>
                <w:color w:val="auto"/>
              </w:rPr>
            </w:pPr>
            <w:r>
              <w:rPr>
                <w:rFonts w:ascii="Arial" w:cs="Arial" w:eastAsia="Arial" w:hAnsi="Arial"/>
                <w:sz w:val="18"/>
                <w:szCs w:val="18"/>
                <w:color w:val="auto"/>
              </w:rPr>
              <w:t>30,879</w:t>
            </w:r>
          </w:p>
        </w:tc>
        <w:tc>
          <w:tcPr>
            <w:tcW w:w="280" w:type="dxa"/>
            <w:vAlign w:val="bottom"/>
            <w:tcBorders>
              <w:bottom w:val="single" w:sz="8" w:color="EAF1DD"/>
            </w:tcBorders>
            <w:shd w:val="clear" w:color="auto" w:fill="EAF1DD"/>
          </w:tcPr>
          <w:p>
            <w:pPr>
              <w:spacing w:after="0"/>
              <w:rPr>
                <w:sz w:val="19"/>
                <w:szCs w:val="19"/>
                <w:color w:val="auto"/>
              </w:rPr>
            </w:pPr>
          </w:p>
        </w:tc>
        <w:tc>
          <w:tcPr>
            <w:tcW w:w="38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1DD"/>
          </w:tcPr>
          <w:p>
            <w:pPr>
              <w:jc w:val="right"/>
              <w:ind w:right="293"/>
              <w:spacing w:after="0" w:line="182" w:lineRule="exact"/>
              <w:rPr>
                <w:sz w:val="20"/>
                <w:szCs w:val="20"/>
                <w:color w:val="auto"/>
              </w:rPr>
            </w:pPr>
            <w:r>
              <w:rPr>
                <w:rFonts w:ascii="Arial" w:cs="Arial" w:eastAsia="Arial" w:hAnsi="Arial"/>
                <w:sz w:val="18"/>
                <w:szCs w:val="18"/>
                <w:color w:val="auto"/>
              </w:rPr>
              <w:t>38,105</w:t>
            </w:r>
          </w:p>
        </w:tc>
        <w:tc>
          <w:tcPr>
            <w:tcW w:w="300" w:type="dxa"/>
            <w:vAlign w:val="bottom"/>
            <w:tcBorders>
              <w:bottom w:val="single" w:sz="8" w:color="EAF1DD"/>
            </w:tcBorders>
            <w:shd w:val="clear" w:color="auto" w:fill="EAF1DD"/>
          </w:tcPr>
          <w:p>
            <w:pPr>
              <w:spacing w:after="0"/>
              <w:rPr>
                <w:sz w:val="19"/>
                <w:szCs w:val="19"/>
                <w:color w:val="auto"/>
              </w:rPr>
            </w:pPr>
          </w:p>
        </w:tc>
        <w:tc>
          <w:tcPr>
            <w:tcW w:w="360" w:type="dxa"/>
            <w:vAlign w:val="bottom"/>
            <w:tcBorders>
              <w:bottom w:val="single" w:sz="8" w:color="auto"/>
            </w:tcBorders>
            <w:shd w:val="clear" w:color="auto" w:fill="EAF1DD"/>
          </w:tcPr>
          <w:p>
            <w:pPr>
              <w:ind w:left="16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1DD"/>
          </w:tcPr>
          <w:p>
            <w:pPr>
              <w:jc w:val="right"/>
              <w:ind w:right="291"/>
              <w:spacing w:after="0" w:line="182" w:lineRule="exact"/>
              <w:rPr>
                <w:sz w:val="20"/>
                <w:szCs w:val="20"/>
                <w:color w:val="auto"/>
              </w:rPr>
            </w:pPr>
            <w:r>
              <w:rPr>
                <w:rFonts w:ascii="Arial" w:cs="Arial" w:eastAsia="Arial" w:hAnsi="Arial"/>
                <w:sz w:val="18"/>
                <w:szCs w:val="18"/>
                <w:color w:val="auto"/>
              </w:rPr>
              <w:t>30,879</w:t>
            </w:r>
          </w:p>
        </w:tc>
        <w:tc>
          <w:tcPr>
            <w:tcW w:w="40" w:type="dxa"/>
            <w:vAlign w:val="bottom"/>
            <w:tcBorders>
              <w:right w:val="single" w:sz="8" w:color="808080"/>
            </w:tcBorders>
          </w:tcPr>
          <w:p>
            <w:pPr>
              <w:spacing w:after="0"/>
              <w:rPr>
                <w:sz w:val="19"/>
                <w:szCs w:val="19"/>
                <w:color w:val="auto"/>
              </w:rPr>
            </w:pPr>
          </w:p>
        </w:tc>
      </w:tr>
      <w:tr>
        <w:trPr>
          <w:trHeight w:val="20"/>
        </w:trPr>
        <w:tc>
          <w:tcPr>
            <w:tcW w:w="3600" w:type="dxa"/>
            <w:vAlign w:val="bottom"/>
            <w:tcBorders>
              <w:left w:val="single" w:sz="8" w:color="808080"/>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color w:val="auto"/>
        </w:rPr>
        <w:t>(Unaudited – Dollars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Other income (expense),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other income (expense), net are as follows:</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4260" w:type="dxa"/>
            <w:vAlign w:val="bottom"/>
            <w:tcBorders>
              <w:top w:val="single" w:sz="8" w:color="808080"/>
              <w:left w:val="single" w:sz="8" w:color="808080"/>
            </w:tcBorders>
          </w:tcPr>
          <w:p>
            <w:pPr>
              <w:spacing w:after="0"/>
              <w:rPr>
                <w:sz w:val="20"/>
                <w:szCs w:val="20"/>
                <w:color w:val="auto"/>
              </w:rPr>
            </w:pPr>
          </w:p>
        </w:tc>
        <w:tc>
          <w:tcPr>
            <w:tcW w:w="360" w:type="dxa"/>
            <w:vAlign w:val="bottom"/>
            <w:tcBorders>
              <w:top w:val="single" w:sz="8" w:color="808080"/>
            </w:tcBorders>
          </w:tcPr>
          <w:p>
            <w:pPr>
              <w:spacing w:after="0"/>
              <w:rPr>
                <w:sz w:val="20"/>
                <w:szCs w:val="20"/>
                <w:color w:val="auto"/>
              </w:rPr>
            </w:pPr>
          </w:p>
        </w:tc>
        <w:tc>
          <w:tcPr>
            <w:tcW w:w="1840" w:type="dxa"/>
            <w:vAlign w:val="bottom"/>
            <w:tcBorders>
              <w:top w:val="single" w:sz="8" w:color="808080"/>
            </w:tcBorders>
            <w:gridSpan w:val="3"/>
          </w:tcPr>
          <w:p>
            <w:pPr>
              <w:jc w:val="right"/>
              <w:ind w:right="116"/>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top w:val="single" w:sz="8" w:color="808080"/>
            </w:tcBorders>
          </w:tcPr>
          <w:p>
            <w:pPr>
              <w:spacing w:after="0"/>
              <w:rPr>
                <w:sz w:val="20"/>
                <w:szCs w:val="20"/>
                <w:color w:val="auto"/>
              </w:rPr>
            </w:pPr>
          </w:p>
        </w:tc>
        <w:tc>
          <w:tcPr>
            <w:tcW w:w="300" w:type="dxa"/>
            <w:vAlign w:val="bottom"/>
            <w:tcBorders>
              <w:top w:val="single" w:sz="8" w:color="808080"/>
            </w:tcBorders>
          </w:tcPr>
          <w:p>
            <w:pPr>
              <w:spacing w:after="0"/>
              <w:rPr>
                <w:sz w:val="20"/>
                <w:szCs w:val="20"/>
                <w:color w:val="auto"/>
              </w:rPr>
            </w:pPr>
          </w:p>
        </w:tc>
        <w:tc>
          <w:tcPr>
            <w:tcW w:w="360" w:type="dxa"/>
            <w:vAlign w:val="bottom"/>
            <w:tcBorders>
              <w:top w:val="single" w:sz="8" w:color="808080"/>
            </w:tcBorders>
          </w:tcPr>
          <w:p>
            <w:pPr>
              <w:spacing w:after="0"/>
              <w:rPr>
                <w:sz w:val="20"/>
                <w:szCs w:val="20"/>
                <w:color w:val="auto"/>
              </w:rPr>
            </w:pPr>
          </w:p>
        </w:tc>
        <w:tc>
          <w:tcPr>
            <w:tcW w:w="2380" w:type="dxa"/>
            <w:vAlign w:val="bottom"/>
            <w:tcBorders>
              <w:top w:val="single" w:sz="8" w:color="808080"/>
              <w:right w:val="single" w:sz="8" w:color="808080"/>
            </w:tcBorders>
            <w:gridSpan w:val="5"/>
          </w:tcPr>
          <w:p>
            <w:pPr>
              <w:ind w:left="340"/>
              <w:spacing w:after="0"/>
              <w:rPr>
                <w:sz w:val="20"/>
                <w:szCs w:val="20"/>
                <w:color w:val="auto"/>
              </w:rPr>
            </w:pPr>
            <w:r>
              <w:rPr>
                <w:rFonts w:ascii="Arial" w:cs="Arial" w:eastAsia="Arial" w:hAnsi="Arial"/>
                <w:sz w:val="16"/>
                <w:szCs w:val="16"/>
                <w:b w:val="1"/>
                <w:bCs w:val="1"/>
                <w:color w:val="auto"/>
              </w:rPr>
              <w:t>Nine months ended</w:t>
            </w:r>
          </w:p>
        </w:tc>
      </w:tr>
      <w:tr>
        <w:trPr>
          <w:trHeight w:val="185"/>
        </w:trPr>
        <w:tc>
          <w:tcPr>
            <w:tcW w:w="4260" w:type="dxa"/>
            <w:vAlign w:val="bottom"/>
            <w:tcBorders>
              <w:left w:val="single" w:sz="8" w:color="808080"/>
            </w:tcBorders>
          </w:tcPr>
          <w:p>
            <w:pPr>
              <w:spacing w:after="0"/>
              <w:rPr>
                <w:sz w:val="16"/>
                <w:szCs w:val="16"/>
                <w:color w:val="auto"/>
              </w:rPr>
            </w:pPr>
          </w:p>
        </w:tc>
        <w:tc>
          <w:tcPr>
            <w:tcW w:w="118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6"/>
                <w:szCs w:val="16"/>
                <w:b w:val="1"/>
                <w:bCs w:val="1"/>
                <w:color w:val="auto"/>
                <w:w w:val="96"/>
              </w:rPr>
              <w:t>September 30,</w:t>
            </w: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September 30,</w:t>
            </w:r>
          </w:p>
        </w:tc>
        <w:tc>
          <w:tcPr>
            <w:tcW w:w="300" w:type="dxa"/>
            <w:vAlign w:val="bottom"/>
          </w:tcPr>
          <w:p>
            <w:pPr>
              <w:spacing w:after="0"/>
              <w:rPr>
                <w:sz w:val="16"/>
                <w:szCs w:val="16"/>
                <w:color w:val="auto"/>
              </w:rPr>
            </w:pPr>
          </w:p>
        </w:tc>
        <w:tc>
          <w:tcPr>
            <w:tcW w:w="12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6"/>
                <w:szCs w:val="16"/>
                <w:b w:val="1"/>
                <w:bCs w:val="1"/>
                <w:color w:val="auto"/>
                <w:w w:val="98"/>
              </w:rPr>
              <w:t>September 30,</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8"/>
              </w:rPr>
              <w:t>September 30,</w:t>
            </w:r>
          </w:p>
        </w:tc>
        <w:tc>
          <w:tcPr>
            <w:tcW w:w="40" w:type="dxa"/>
            <w:vAlign w:val="bottom"/>
            <w:tcBorders>
              <w:right w:val="single" w:sz="8" w:color="808080"/>
            </w:tcBorders>
          </w:tcPr>
          <w:p>
            <w:pPr>
              <w:spacing w:after="0"/>
              <w:rPr>
                <w:sz w:val="16"/>
                <w:szCs w:val="16"/>
                <w:color w:val="auto"/>
              </w:rPr>
            </w:pPr>
          </w:p>
        </w:tc>
      </w:tr>
      <w:tr>
        <w:trPr>
          <w:trHeight w:val="210"/>
        </w:trPr>
        <w:tc>
          <w:tcPr>
            <w:tcW w:w="4260" w:type="dxa"/>
            <w:vAlign w:val="bottom"/>
            <w:tcBorders>
              <w:left w:val="single" w:sz="8" w:color="808080"/>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2010</w:t>
            </w:r>
          </w:p>
        </w:tc>
        <w:tc>
          <w:tcPr>
            <w:tcW w:w="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right w:val="single" w:sz="8" w:color="808080"/>
            </w:tcBorders>
          </w:tcPr>
          <w:p>
            <w:pPr>
              <w:spacing w:after="0"/>
              <w:rPr>
                <w:sz w:val="18"/>
                <w:szCs w:val="18"/>
                <w:color w:val="auto"/>
              </w:rPr>
            </w:pPr>
          </w:p>
        </w:tc>
      </w:tr>
      <w:tr>
        <w:trPr>
          <w:trHeight w:val="216"/>
        </w:trPr>
        <w:tc>
          <w:tcPr>
            <w:tcW w:w="4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1DD"/>
          </w:tcPr>
          <w:p>
            <w:pPr>
              <w:jc w:val="right"/>
              <w:ind w:right="193"/>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EAF1DD"/>
          </w:tcPr>
          <w:p>
            <w:pPr>
              <w:jc w:val="right"/>
              <w:ind w:right="376"/>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1DD"/>
          </w:tcPr>
          <w:p>
            <w:pPr>
              <w:jc w:val="right"/>
              <w:ind w:right="110"/>
              <w:spacing w:after="0"/>
              <w:rPr>
                <w:sz w:val="20"/>
                <w:szCs w:val="20"/>
                <w:color w:val="auto"/>
              </w:rPr>
            </w:pPr>
            <w:r>
              <w:rPr>
                <w:rFonts w:ascii="Arial" w:cs="Arial" w:eastAsia="Arial" w:hAnsi="Arial"/>
                <w:sz w:val="18"/>
                <w:szCs w:val="18"/>
                <w:color w:val="auto"/>
                <w:w w:val="79"/>
              </w:rPr>
              <w:t>12</w:t>
            </w:r>
          </w:p>
        </w:tc>
        <w:tc>
          <w:tcPr>
            <w:tcW w:w="660" w:type="dxa"/>
            <w:vAlign w:val="bottom"/>
            <w:gridSpan w:val="2"/>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1DD"/>
          </w:tcPr>
          <w:p>
            <w:pPr>
              <w:jc w:val="right"/>
              <w:ind w:right="153"/>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1DD"/>
          </w:tcPr>
          <w:p>
            <w:pPr>
              <w:jc w:val="right"/>
              <w:ind w:right="151"/>
              <w:spacing w:after="0"/>
              <w:rPr>
                <w:sz w:val="20"/>
                <w:szCs w:val="20"/>
                <w:color w:val="auto"/>
              </w:rPr>
            </w:pPr>
            <w:r>
              <w:rPr>
                <w:rFonts w:ascii="Arial" w:cs="Arial" w:eastAsia="Arial" w:hAnsi="Arial"/>
                <w:sz w:val="18"/>
                <w:szCs w:val="18"/>
                <w:color w:val="auto"/>
              </w:rPr>
              <w:t>39</w:t>
            </w:r>
          </w:p>
        </w:tc>
        <w:tc>
          <w:tcPr>
            <w:tcW w:w="40" w:type="dxa"/>
            <w:vAlign w:val="bottom"/>
            <w:tcBorders>
              <w:right w:val="single" w:sz="8" w:color="808080"/>
            </w:tcBorders>
          </w:tcPr>
          <w:p>
            <w:pPr>
              <w:spacing w:after="0"/>
              <w:rPr>
                <w:sz w:val="18"/>
                <w:szCs w:val="18"/>
                <w:color w:val="auto"/>
              </w:rPr>
            </w:pPr>
          </w:p>
        </w:tc>
      </w:tr>
      <w:tr>
        <w:trPr>
          <w:trHeight w:val="216"/>
        </w:trPr>
        <w:tc>
          <w:tcPr>
            <w:tcW w:w="426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40" w:type="dxa"/>
            <w:vAlign w:val="bottom"/>
            <w:tcBorders>
              <w:right w:val="single" w:sz="8" w:color="808080"/>
            </w:tcBorders>
          </w:tcPr>
          <w:p>
            <w:pPr>
              <w:spacing w:after="0"/>
              <w:rPr>
                <w:sz w:val="18"/>
                <w:szCs w:val="18"/>
                <w:color w:val="auto"/>
              </w:rPr>
            </w:pPr>
          </w:p>
        </w:tc>
      </w:tr>
      <w:tr>
        <w:trPr>
          <w:trHeight w:val="216"/>
        </w:trPr>
        <w:tc>
          <w:tcPr>
            <w:tcW w:w="426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Gain (loss) on disposal of property and equipment</w:t>
            </w:r>
          </w:p>
        </w:tc>
        <w:tc>
          <w:tcPr>
            <w:tcW w:w="360" w:type="dxa"/>
            <w:vAlign w:val="bottom"/>
            <w:shd w:val="clear" w:color="auto" w:fill="EAF1DD"/>
          </w:tcPr>
          <w:p>
            <w:pPr>
              <w:spacing w:after="0"/>
              <w:rPr>
                <w:sz w:val="18"/>
                <w:szCs w:val="18"/>
                <w:color w:val="auto"/>
              </w:rPr>
            </w:pPr>
          </w:p>
        </w:tc>
        <w:tc>
          <w:tcPr>
            <w:tcW w:w="820" w:type="dxa"/>
            <w:vAlign w:val="bottom"/>
            <w:shd w:val="clear" w:color="auto" w:fill="EAF1DD"/>
          </w:tcPr>
          <w:p>
            <w:pPr>
              <w:jc w:val="right"/>
              <w:ind w:right="133"/>
              <w:spacing w:after="0"/>
              <w:rPr>
                <w:sz w:val="20"/>
                <w:szCs w:val="20"/>
                <w:color w:val="auto"/>
              </w:rPr>
            </w:pPr>
            <w:r>
              <w:rPr>
                <w:rFonts w:ascii="Arial" w:cs="Arial" w:eastAsia="Arial" w:hAnsi="Arial"/>
                <w:sz w:val="18"/>
                <w:szCs w:val="18"/>
                <w:color w:val="auto"/>
              </w:rPr>
              <w:t>(4)</w:t>
            </w:r>
          </w:p>
        </w:tc>
        <w:tc>
          <w:tcPr>
            <w:tcW w:w="280" w:type="dxa"/>
            <w:vAlign w:val="bottom"/>
            <w:shd w:val="clear" w:color="auto" w:fill="EAF1DD"/>
          </w:tcPr>
          <w:p>
            <w:pPr>
              <w:spacing w:after="0"/>
              <w:rPr>
                <w:sz w:val="18"/>
                <w:szCs w:val="18"/>
                <w:color w:val="auto"/>
              </w:rPr>
            </w:pPr>
          </w:p>
        </w:tc>
        <w:tc>
          <w:tcPr>
            <w:tcW w:w="740" w:type="dxa"/>
            <w:vAlign w:val="bottom"/>
            <w:shd w:val="clear" w:color="auto" w:fill="EAF1DD"/>
          </w:tcPr>
          <w:p>
            <w:pPr>
              <w:spacing w:after="0"/>
              <w:rPr>
                <w:sz w:val="18"/>
                <w:szCs w:val="18"/>
                <w:color w:val="auto"/>
              </w:rPr>
            </w:pPr>
          </w:p>
        </w:tc>
        <w:tc>
          <w:tcPr>
            <w:tcW w:w="380" w:type="dxa"/>
            <w:vAlign w:val="bottom"/>
            <w:shd w:val="clear" w:color="auto" w:fill="EAF1DD"/>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1DD"/>
          </w:tcPr>
          <w:p>
            <w:pPr>
              <w:spacing w:after="0"/>
              <w:rPr>
                <w:sz w:val="18"/>
                <w:szCs w:val="18"/>
                <w:color w:val="auto"/>
              </w:rPr>
            </w:pPr>
          </w:p>
        </w:tc>
        <w:tc>
          <w:tcPr>
            <w:tcW w:w="360" w:type="dxa"/>
            <w:vAlign w:val="bottom"/>
            <w:shd w:val="clear" w:color="auto" w:fill="EAF1DD"/>
          </w:tcPr>
          <w:p>
            <w:pPr>
              <w:spacing w:after="0"/>
              <w:rPr>
                <w:sz w:val="18"/>
                <w:szCs w:val="18"/>
                <w:color w:val="auto"/>
              </w:rPr>
            </w:pPr>
          </w:p>
        </w:tc>
        <w:tc>
          <w:tcPr>
            <w:tcW w:w="840" w:type="dxa"/>
            <w:vAlign w:val="bottom"/>
            <w:shd w:val="clear" w:color="auto" w:fill="EAF1DD"/>
          </w:tcPr>
          <w:p>
            <w:pPr>
              <w:jc w:val="right"/>
              <w:ind w:right="113"/>
              <w:spacing w:after="0"/>
              <w:rPr>
                <w:sz w:val="20"/>
                <w:szCs w:val="20"/>
                <w:color w:val="auto"/>
              </w:rPr>
            </w:pPr>
            <w:r>
              <w:rPr>
                <w:rFonts w:ascii="Arial" w:cs="Arial" w:eastAsia="Arial" w:hAnsi="Arial"/>
                <w:sz w:val="18"/>
                <w:szCs w:val="18"/>
                <w:color w:val="auto"/>
              </w:rPr>
              <w:t>(4)</w:t>
            </w:r>
          </w:p>
        </w:tc>
        <w:tc>
          <w:tcPr>
            <w:tcW w:w="300" w:type="dxa"/>
            <w:vAlign w:val="bottom"/>
            <w:shd w:val="clear" w:color="auto" w:fill="EAF1DD"/>
          </w:tcPr>
          <w:p>
            <w:pPr>
              <w:spacing w:after="0"/>
              <w:rPr>
                <w:sz w:val="18"/>
                <w:szCs w:val="18"/>
                <w:color w:val="auto"/>
              </w:rPr>
            </w:pPr>
          </w:p>
        </w:tc>
        <w:tc>
          <w:tcPr>
            <w:tcW w:w="360" w:type="dxa"/>
            <w:vAlign w:val="bottom"/>
            <w:shd w:val="clear" w:color="auto" w:fill="EAF1DD"/>
          </w:tcPr>
          <w:p>
            <w:pPr>
              <w:spacing w:after="0"/>
              <w:rPr>
                <w:sz w:val="18"/>
                <w:szCs w:val="18"/>
                <w:color w:val="auto"/>
              </w:rPr>
            </w:pPr>
          </w:p>
        </w:tc>
        <w:tc>
          <w:tcPr>
            <w:tcW w:w="840" w:type="dxa"/>
            <w:vAlign w:val="bottom"/>
            <w:shd w:val="clear" w:color="auto" w:fill="EAF1DD"/>
          </w:tcPr>
          <w:p>
            <w:pPr>
              <w:jc w:val="right"/>
              <w:ind w:right="111"/>
              <w:spacing w:after="0"/>
              <w:rPr>
                <w:sz w:val="20"/>
                <w:szCs w:val="20"/>
                <w:color w:val="auto"/>
              </w:rPr>
            </w:pPr>
            <w:r>
              <w:rPr>
                <w:rFonts w:ascii="Arial" w:cs="Arial" w:eastAsia="Arial" w:hAnsi="Arial"/>
                <w:sz w:val="18"/>
                <w:szCs w:val="18"/>
                <w:color w:val="auto"/>
              </w:rPr>
              <w:t>(111)</w:t>
            </w:r>
          </w:p>
        </w:tc>
        <w:tc>
          <w:tcPr>
            <w:tcW w:w="40" w:type="dxa"/>
            <w:vAlign w:val="bottom"/>
            <w:tcBorders>
              <w:right w:val="single" w:sz="8" w:color="808080"/>
            </w:tcBorders>
          </w:tcPr>
          <w:p>
            <w:pPr>
              <w:spacing w:after="0"/>
              <w:rPr>
                <w:sz w:val="18"/>
                <w:szCs w:val="18"/>
                <w:color w:val="auto"/>
              </w:rPr>
            </w:pPr>
          </w:p>
        </w:tc>
      </w:tr>
      <w:tr>
        <w:trPr>
          <w:trHeight w:val="216"/>
        </w:trPr>
        <w:tc>
          <w:tcPr>
            <w:tcW w:w="426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EAF1DD"/>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1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EAF1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808080"/>
            </w:tcBorders>
          </w:tcPr>
          <w:p>
            <w:pPr>
              <w:spacing w:after="0"/>
              <w:rPr>
                <w:sz w:val="18"/>
                <w:szCs w:val="18"/>
                <w:color w:val="auto"/>
              </w:rPr>
            </w:pPr>
          </w:p>
        </w:tc>
      </w:tr>
      <w:tr>
        <w:trPr>
          <w:trHeight w:val="223"/>
        </w:trPr>
        <w:tc>
          <w:tcPr>
            <w:tcW w:w="4260" w:type="dxa"/>
            <w:vAlign w:val="bottom"/>
            <w:tcBorders>
              <w:left w:val="single" w:sz="8" w:color="808080"/>
              <w:bottom w:val="single" w:sz="8" w:color="EAF1DD"/>
            </w:tcBorders>
            <w:shd w:val="clear" w:color="auto" w:fill="EAF1DD"/>
          </w:tcPr>
          <w:p>
            <w:pPr>
              <w:spacing w:after="0"/>
              <w:rPr>
                <w:sz w:val="19"/>
                <w:szCs w:val="19"/>
                <w:color w:val="auto"/>
              </w:rPr>
            </w:pPr>
          </w:p>
        </w:tc>
        <w:tc>
          <w:tcPr>
            <w:tcW w:w="360" w:type="dxa"/>
            <w:vAlign w:val="bottom"/>
            <w:tcBorders>
              <w:bottom w:val="single" w:sz="8" w:color="auto"/>
            </w:tcBorders>
            <w:shd w:val="clear" w:color="auto" w:fill="EAF1DD"/>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AF1DD"/>
          </w:tcPr>
          <w:p>
            <w:pPr>
              <w:jc w:val="right"/>
              <w:ind w:right="133"/>
              <w:spacing w:after="0" w:line="182" w:lineRule="exact"/>
              <w:rPr>
                <w:sz w:val="20"/>
                <w:szCs w:val="20"/>
                <w:color w:val="auto"/>
              </w:rPr>
            </w:pPr>
            <w:r>
              <w:rPr>
                <w:rFonts w:ascii="Arial" w:cs="Arial" w:eastAsia="Arial" w:hAnsi="Arial"/>
                <w:sz w:val="18"/>
                <w:szCs w:val="18"/>
                <w:color w:val="auto"/>
              </w:rPr>
              <w:t>(4)</w:t>
            </w:r>
          </w:p>
        </w:tc>
        <w:tc>
          <w:tcPr>
            <w:tcW w:w="280" w:type="dxa"/>
            <w:vAlign w:val="bottom"/>
            <w:tcBorders>
              <w:bottom w:val="single" w:sz="8" w:color="EAF1DD"/>
            </w:tcBorders>
            <w:shd w:val="clear" w:color="auto" w:fill="EAF1DD"/>
          </w:tcPr>
          <w:p>
            <w:pPr>
              <w:spacing w:after="0"/>
              <w:rPr>
                <w:sz w:val="19"/>
                <w:szCs w:val="19"/>
                <w:color w:val="auto"/>
              </w:rPr>
            </w:pPr>
          </w:p>
        </w:tc>
        <w:tc>
          <w:tcPr>
            <w:tcW w:w="740" w:type="dxa"/>
            <w:vAlign w:val="bottom"/>
            <w:tcBorders>
              <w:bottom w:val="single" w:sz="8" w:color="auto"/>
            </w:tcBorders>
            <w:shd w:val="clear" w:color="auto" w:fill="EAF1DD"/>
          </w:tcPr>
          <w:p>
            <w:pPr>
              <w:jc w:val="right"/>
              <w:ind w:right="376"/>
              <w:spacing w:after="0" w:line="18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AF1DD"/>
          </w:tcPr>
          <w:p>
            <w:pPr>
              <w:jc w:val="right"/>
              <w:ind w:right="110"/>
              <w:spacing w:after="0" w:line="182" w:lineRule="exact"/>
              <w:rPr>
                <w:sz w:val="20"/>
                <w:szCs w:val="20"/>
                <w:color w:val="auto"/>
              </w:rPr>
            </w:pPr>
            <w:r>
              <w:rPr>
                <w:rFonts w:ascii="Arial" w:cs="Arial" w:eastAsia="Arial" w:hAnsi="Arial"/>
                <w:sz w:val="18"/>
                <w:szCs w:val="18"/>
                <w:color w:val="auto"/>
                <w:w w:val="79"/>
              </w:rPr>
              <w:t>12</w:t>
            </w:r>
          </w:p>
        </w:tc>
        <w:tc>
          <w:tcPr>
            <w:tcW w:w="300" w:type="dxa"/>
            <w:vAlign w:val="bottom"/>
            <w:tcBorders>
              <w:bottom w:val="single" w:sz="8" w:color="EAF1DD"/>
            </w:tcBorders>
            <w:shd w:val="clear" w:color="auto" w:fill="EAF1DD"/>
          </w:tcPr>
          <w:p>
            <w:pPr>
              <w:spacing w:after="0"/>
              <w:rPr>
                <w:sz w:val="19"/>
                <w:szCs w:val="19"/>
                <w:color w:val="auto"/>
              </w:rPr>
            </w:pPr>
          </w:p>
        </w:tc>
        <w:tc>
          <w:tcPr>
            <w:tcW w:w="360" w:type="dxa"/>
            <w:vAlign w:val="bottom"/>
            <w:tcBorders>
              <w:bottom w:val="single" w:sz="8" w:color="auto"/>
            </w:tcBorders>
            <w:shd w:val="clear" w:color="auto" w:fill="EAF1DD"/>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AF1DD"/>
          </w:tcPr>
          <w:p>
            <w:pPr>
              <w:jc w:val="right"/>
              <w:ind w:right="153"/>
              <w:spacing w:after="0" w:line="182" w:lineRule="exact"/>
              <w:rPr>
                <w:sz w:val="20"/>
                <w:szCs w:val="20"/>
                <w:color w:val="auto"/>
              </w:rPr>
            </w:pPr>
            <w:r>
              <w:rPr>
                <w:rFonts w:ascii="Arial" w:cs="Arial" w:eastAsia="Arial" w:hAnsi="Arial"/>
                <w:sz w:val="18"/>
                <w:szCs w:val="18"/>
                <w:color w:val="auto"/>
              </w:rPr>
              <w:t>15</w:t>
            </w:r>
          </w:p>
        </w:tc>
        <w:tc>
          <w:tcPr>
            <w:tcW w:w="300" w:type="dxa"/>
            <w:vAlign w:val="bottom"/>
            <w:tcBorders>
              <w:bottom w:val="single" w:sz="8" w:color="EAF1DD"/>
            </w:tcBorders>
            <w:shd w:val="clear" w:color="auto" w:fill="EAF1DD"/>
          </w:tcPr>
          <w:p>
            <w:pPr>
              <w:spacing w:after="0"/>
              <w:rPr>
                <w:sz w:val="19"/>
                <w:szCs w:val="19"/>
                <w:color w:val="auto"/>
              </w:rPr>
            </w:pPr>
          </w:p>
        </w:tc>
        <w:tc>
          <w:tcPr>
            <w:tcW w:w="360" w:type="dxa"/>
            <w:vAlign w:val="bottom"/>
            <w:tcBorders>
              <w:bottom w:val="single" w:sz="8" w:color="auto"/>
            </w:tcBorders>
            <w:shd w:val="clear" w:color="auto" w:fill="EAF1DD"/>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AF1DD"/>
          </w:tcPr>
          <w:p>
            <w:pPr>
              <w:jc w:val="right"/>
              <w:ind w:right="111"/>
              <w:spacing w:after="0" w:line="182" w:lineRule="exact"/>
              <w:rPr>
                <w:sz w:val="20"/>
                <w:szCs w:val="20"/>
                <w:color w:val="auto"/>
              </w:rPr>
            </w:pPr>
            <w:r>
              <w:rPr>
                <w:rFonts w:ascii="Arial" w:cs="Arial" w:eastAsia="Arial" w:hAnsi="Arial"/>
                <w:sz w:val="18"/>
                <w:szCs w:val="18"/>
                <w:color w:val="auto"/>
              </w:rPr>
              <w:t>(120)</w:t>
            </w:r>
          </w:p>
        </w:tc>
        <w:tc>
          <w:tcPr>
            <w:tcW w:w="40" w:type="dxa"/>
            <w:vAlign w:val="bottom"/>
            <w:tcBorders>
              <w:right w:val="single" w:sz="8" w:color="808080"/>
            </w:tcBorders>
          </w:tcPr>
          <w:p>
            <w:pPr>
              <w:spacing w:after="0"/>
              <w:rPr>
                <w:sz w:val="19"/>
                <w:szCs w:val="19"/>
                <w:color w:val="auto"/>
              </w:rPr>
            </w:pPr>
          </w:p>
        </w:tc>
      </w:tr>
      <w:tr>
        <w:trPr>
          <w:trHeight w:val="20"/>
        </w:trPr>
        <w:tc>
          <w:tcPr>
            <w:tcW w:w="4260" w:type="dxa"/>
            <w:vAlign w:val="bottom"/>
            <w:tcBorders>
              <w:left w:val="single" w:sz="8" w:color="808080"/>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Proceeds from litigation</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August 8, 2011, in the litigation related to the theft of ClearOne’s intellectual property, the Tenth Circuit Court of Appeals affirmed in ClearOne’s favor and against Biamp the federal district court’s award of exemplary damages based upon the finding that Biamp’s misappropriation was willful and malicious. The amount of ClearOne’s judgment against Biamp affirmed by the Tenth Circuit Court is estimated to be $3,702 not including additional amounts that have been awarded for attorney fees. We expect to collect the judgment against Biamp from the approximately $3,702 cash bond posted by Biamp. As Biamp has discontinued all efforts to appeal or otherwise contest the ruling, and is actively faciliting ClearOne’s collection of the judgment we have recognized the amount in these financial statements. The amount receivable from Biamp is included under accounts receivable. As of the date these financial statements were issued, we have not collected the judgment.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total outstanding balance for liabilities related to unrecognized tax benefits at September 30, 2011 was approximately $518, of which $30 was associated with interest and penalties. We account for interest expense and penalties for unrecognized tax benefits as part of our income tax provision.</w:t>
      </w:r>
    </w:p>
    <w:p>
      <w:pPr>
        <w:spacing w:after="0" w:line="21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Accrued liabilities as of September 30, 2011 and December 31, 2010 include accrued income taxes payable of $1,007 and $50,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Subsequent Events</w:t>
      </w:r>
    </w:p>
    <w:p>
      <w:pPr>
        <w:spacing w:after="0" w:line="239"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Company evaluated its consolidated financial statements as of and for the quarter ended September 30, 2011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2010. All subsequent forward-looking statements attributable to us or persons acting on our behalf are expressly qualified in their entirety by these cautionary</w:t>
      </w:r>
    </w:p>
    <w:p>
      <w:pPr>
        <w:spacing w:after="0" w:line="222" w:lineRule="exact"/>
        <w:rPr>
          <w:sz w:val="20"/>
          <w:szCs w:val="20"/>
          <w:color w:val="auto"/>
        </w:rPr>
      </w:pPr>
    </w:p>
    <w:p>
      <w:pPr>
        <w:ind w:right="580"/>
        <w:spacing w:after="0" w:line="237" w:lineRule="auto"/>
        <w:rPr>
          <w:sz w:val="20"/>
          <w:szCs w:val="20"/>
          <w:color w:val="auto"/>
        </w:rPr>
      </w:pPr>
      <w:r>
        <w:rPr>
          <w:rFonts w:ascii="Arial" w:cs="Arial" w:eastAsia="Arial" w:hAnsi="Arial"/>
          <w:sz w:val="22"/>
          <w:szCs w:val="22"/>
          <w:i w:val="1"/>
          <w:iCs w:val="1"/>
          <w:color w:val="auto"/>
        </w:rPr>
        <w:t>statements. Additional factors that may have a direct bearing on our operating results are discussed in Part I, Item 1A “Risk Factors” in our Annual Report on Form 10-K for the year ended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26"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31" w:lineRule="exact"/>
        <w:rPr>
          <w:sz w:val="20"/>
          <w:szCs w:val="20"/>
          <w:color w:val="auto"/>
        </w:rPr>
      </w:pPr>
    </w:p>
    <w:p>
      <w:pPr>
        <w:spacing w:after="0" w:line="203" w:lineRule="auto"/>
        <w:rPr>
          <w:sz w:val="20"/>
          <w:szCs w:val="20"/>
          <w:color w:val="auto"/>
        </w:rPr>
      </w:pPr>
      <w:r>
        <w:rPr>
          <w:rFonts w:ascii="Arial" w:cs="Arial" w:eastAsia="Arial" w:hAnsi="Arial"/>
          <w:sz w:val="22"/>
          <w:szCs w:val="22"/>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Our conferencing solutions save organizations time and money by creating a natural environment for collaboration.</w:t>
      </w:r>
    </w:p>
    <w:p>
      <w:pPr>
        <w:spacing w:after="0" w:line="134"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NetStreams® DigilinX, the ClearOne brand for residential products, and VIEW™, the ClearOne brand for commercial products, deliver a superior IP A/V experience by streaming high definition audio and video (multimedia) and control over TCP/IP networks.</w:t>
      </w:r>
    </w:p>
    <w:p>
      <w:pPr>
        <w:spacing w:after="0" w:line="91" w:lineRule="exact"/>
        <w:rPr>
          <w:sz w:val="20"/>
          <w:szCs w:val="20"/>
          <w:color w:val="auto"/>
        </w:rPr>
      </w:pPr>
    </w:p>
    <w:p>
      <w:pPr>
        <w:ind w:right="480"/>
        <w:spacing w:after="0" w:line="237" w:lineRule="auto"/>
        <w:rPr>
          <w:sz w:val="20"/>
          <w:szCs w:val="20"/>
          <w:color w:val="auto"/>
        </w:rPr>
      </w:pPr>
      <w:r>
        <w:rPr>
          <w:rFonts w:ascii="Arial" w:cs="Arial" w:eastAsia="Arial" w:hAnsi="Arial"/>
          <w:sz w:val="21"/>
          <w:szCs w:val="21"/>
          <w:color w:val="auto"/>
        </w:rPr>
        <w:t>NetStreams' technology is used in a wide variety of applications including digital signage, corporate video streaming, network operations centers, distance education, and in venues for hospitality and entertainment as well as casinos.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60"/>
        <w:spacing w:after="0" w:line="203" w:lineRule="auto"/>
        <w:rPr>
          <w:sz w:val="20"/>
          <w:szCs w:val="20"/>
          <w:color w:val="auto"/>
        </w:rPr>
      </w:pPr>
      <w:r>
        <w:rPr>
          <w:rFonts w:ascii="Arial" w:cs="Arial" w:eastAsia="Arial" w:hAnsi="Arial"/>
          <w:sz w:val="22"/>
          <w:szCs w:val="22"/>
          <w:color w:val="auto"/>
        </w:rPr>
        <w:t xml:space="preserve">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22"/>
          <w:szCs w:val="22"/>
          <w:b w:val="1"/>
          <w:bCs w:val="1"/>
          <w:i w:val="1"/>
          <w:iCs w:val="1"/>
          <w:color w:val="auto"/>
        </w:rPr>
        <w:t>Power of AV over IP</w:t>
      </w:r>
      <w:r>
        <w:rPr>
          <w:rFonts w:ascii="Arial" w:cs="Arial" w:eastAsia="Arial" w:hAnsi="Arial"/>
          <w:sz w:val="22"/>
          <w:szCs w:val="22"/>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34" w:lineRule="exact"/>
        <w:rPr>
          <w:sz w:val="20"/>
          <w:szCs w:val="20"/>
          <w:color w:val="auto"/>
        </w:rPr>
      </w:pPr>
    </w:p>
    <w:p>
      <w:pPr>
        <w:ind w:right="120"/>
        <w:spacing w:after="0" w:line="203" w:lineRule="auto"/>
        <w:rPr>
          <w:sz w:val="20"/>
          <w:szCs w:val="20"/>
          <w:color w:val="auto"/>
        </w:rPr>
      </w:pPr>
      <w:r>
        <w:rPr>
          <w:rFonts w:ascii="Arial" w:cs="Arial" w:eastAsia="Arial" w:hAnsi="Arial"/>
          <w:sz w:val="22"/>
          <w:szCs w:val="22"/>
          <w:color w:val="auto"/>
        </w:rPr>
        <w:t>NetStreams' patented multimedia and control solutions can synchronously stream virtually any number and any type of digital or analog multimedia audio and or video content sources, including high definition, to virtually an unlimited number of networked endpoints on existing IP networks and infrastructure without the need for centralized switching. In addition, through its ability to combine content and control signals into one data stream, ClearOne’s new multimedia streaming solutions offer new levels of affordability, simplicity, reliability, and scalability, benefiting both installers and end-users with lower costs for installation, set-up, and support.</w:t>
      </w:r>
    </w:p>
    <w:p>
      <w:pPr>
        <w:spacing w:after="0" w:line="134" w:lineRule="exact"/>
        <w:rPr>
          <w:sz w:val="20"/>
          <w:szCs w:val="20"/>
          <w:color w:val="auto"/>
        </w:rPr>
      </w:pPr>
    </w:p>
    <w:p>
      <w:pPr>
        <w:ind w:right="540"/>
        <w:spacing w:after="0" w:line="219" w:lineRule="auto"/>
        <w:rPr>
          <w:sz w:val="20"/>
          <w:szCs w:val="20"/>
          <w:color w:val="auto"/>
        </w:rPr>
      </w:pPr>
      <w:r>
        <w:rPr>
          <w:rFonts w:ascii="Arial" w:cs="Arial" w:eastAsia="Arial" w:hAnsi="Arial"/>
          <w:sz w:val="21"/>
          <w:szCs w:val="21"/>
          <w:color w:val="auto"/>
        </w:rPr>
        <w:t>The combination of NetStreams’ IP networked multimedia and control streaming products and ClearOne’s portfolio of conferencing and collaboration products presents a great fit for bringing together complementary products, markets, and sales channels from both organizations, enabling us to provide a comprehensive high definition audio and video solution to better realize opportunities presented by audiovisual (AV) and information technology (IT) convergence.</w:t>
      </w:r>
    </w:p>
    <w:p>
      <w:pPr>
        <w:spacing w:after="0" w:line="131" w:lineRule="exact"/>
        <w:rPr>
          <w:sz w:val="20"/>
          <w:szCs w:val="20"/>
          <w:color w:val="auto"/>
        </w:rPr>
      </w:pPr>
    </w:p>
    <w:p>
      <w:pPr>
        <w:ind w:firstLine="54"/>
        <w:spacing w:after="0" w:line="229" w:lineRule="auto"/>
        <w:rPr>
          <w:sz w:val="20"/>
          <w:szCs w:val="20"/>
          <w:color w:val="auto"/>
        </w:rPr>
      </w:pPr>
      <w:r>
        <w:rPr>
          <w:rFonts w:ascii="Arial" w:cs="Arial" w:eastAsia="Arial" w:hAnsi="Arial"/>
          <w:sz w:val="19"/>
          <w:szCs w:val="19"/>
          <w:color w:val="auto"/>
        </w:rPr>
        <w:t>On September 2, 2011, we acquired the business of Oregon based MagicBox, Inc. for approximately $980,000 in cash, which included acquisition of approximately $210,000 of current assets and $765,000 of intangible assets. $750,000 has already been paid before September 30, 2011. MagicBox is a developer and marketer of a variety of hardware and software solutions to deliver digital content and information to digital displays. This acquisition significantly broadens ClearOne’s current StreamNet offerings and expands its digital signage product portfolio with industry-best tools for content and playlist creation and management. The MagicBox content management and its industry leading database integration software complement ClearOne’s StreamNet systems. The StreamNet and MagicBox technologies are an excellent fit to deliver on the challenging requirements for any digital signage provider to distribute content over a local area network while maintaining content and scheduling alignment. As a result of this acquisition and the combination of StreamNet and Magicbox technologies we are the only company to offer a complete end-to-end digital signage content management, IP streaming, and control solutions. The acquisition presents us with new global market opportunities and would facilitate accelerated product development.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ind w:left="660" w:right="980"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Maintain our global market share leadership of professional audio conferencing products for large businesses and organizations;</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Focus on the small and medium business (SMB) market with scaled, lower cost and less complex products and solutions;</w:t>
      </w:r>
    </w:p>
    <w:p>
      <w:pPr>
        <w:spacing w:after="0" w:line="24" w:lineRule="exact"/>
        <w:rPr>
          <w:rFonts w:ascii="Arial" w:cs="Arial" w:eastAsia="Arial" w:hAnsi="Arial"/>
          <w:sz w:val="19"/>
          <w:szCs w:val="19"/>
          <w:color w:val="auto"/>
        </w:rPr>
      </w:pPr>
    </w:p>
    <w:p>
      <w:pPr>
        <w:ind w:left="660" w:right="800"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by entering Information Technology channels;</w:t>
      </w:r>
    </w:p>
    <w:p>
      <w:pPr>
        <w:spacing w:after="0" w:line="1" w:lineRule="exact"/>
        <w:rPr>
          <w:rFonts w:ascii="Arial" w:cs="Arial" w:eastAsia="Arial" w:hAnsi="Arial"/>
          <w:sz w:val="22"/>
          <w:szCs w:val="22"/>
          <w:color w:val="auto"/>
        </w:rPr>
      </w:pPr>
    </w:p>
    <w:p>
      <w:pPr>
        <w:ind w:left="660" w:right="60"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 added products to their solution portfolios and channels;</w:t>
      </w:r>
    </w:p>
    <w:p>
      <w:pPr>
        <w:spacing w:after="0" w:line="1" w:lineRule="exact"/>
        <w:rPr>
          <w:rFonts w:ascii="Arial" w:cs="Arial" w:eastAsia="Arial" w:hAnsi="Arial"/>
          <w:sz w:val="22"/>
          <w:szCs w:val="22"/>
          <w:color w:val="auto"/>
        </w:rPr>
      </w:pPr>
    </w:p>
    <w:p>
      <w:pPr>
        <w:ind w:left="660" w:right="940" w:hanging="328"/>
        <w:spacing w:after="0" w:line="267" w:lineRule="auto"/>
        <w:tabs>
          <w:tab w:leader="none" w:pos="633" w:val="left"/>
        </w:tabs>
        <w:numPr>
          <w:ilvl w:val="0"/>
          <w:numId w:val="3"/>
        </w:numPr>
        <w:rPr>
          <w:rFonts w:ascii="Arial" w:cs="Arial" w:eastAsia="Arial" w:hAnsi="Arial"/>
          <w:sz w:val="19"/>
          <w:szCs w:val="19"/>
          <w:color w:val="auto"/>
        </w:rPr>
      </w:pPr>
      <w:r>
        <w:rPr>
          <w:rFonts w:ascii="Arial" w:cs="Arial" w:eastAsia="Arial" w:hAnsi="Arial"/>
          <w:sz w:val="19"/>
          <w:szCs w:val="19"/>
          <w:color w:val="auto"/>
        </w:rPr>
        <w:t>Capitalize on emerging market opportunities as audio video, information technology, unified communications and traditional digital signage converge to meet enterprise and commercial multimedia needs; and</w:t>
      </w: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Expand and strengthen sales channels</w:t>
      </w:r>
    </w:p>
    <w:p>
      <w:pPr>
        <w:spacing w:after="0" w:line="175"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We will continue to improve our existing high-quality products and develop new products for the bourgeoning conferencing and collaboration, and multimedia streaming markets and focus on strategic initiatives to achieve our business goals.</w:t>
      </w:r>
    </w:p>
    <w:p>
      <w:pPr>
        <w:spacing w:after="0" w:line="65"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Our revenues were $11.5 million and $34.1 million during the three and nine months ended September 30, 2011 compared to $10.4 million and $28.7 million during the three and nine months ended September 30, 2010. Revenues increased by 11% and 19% during the three and nine months ended September 30, 2011, respectively, over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520"/>
        <w:spacing w:after="0" w:line="276" w:lineRule="auto"/>
        <w:rPr>
          <w:sz w:val="20"/>
          <w:szCs w:val="20"/>
          <w:color w:val="auto"/>
        </w:rPr>
      </w:pPr>
      <w:r>
        <w:rPr>
          <w:rFonts w:ascii="Arial" w:cs="Arial" w:eastAsia="Arial" w:hAnsi="Arial"/>
          <w:sz w:val="19"/>
          <w:szCs w:val="19"/>
          <w:color w:val="auto"/>
        </w:rPr>
        <w:t>comparable periods of 2010. Our gross profit increased by $723,000 and $3.3 million during the three and nine months ended September 30, 2011, respectively, compared to the three and nine months ended September 30, 2010.</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Net income, which includes the recognition of $3.7 million proceeds from the litigation against Biamp, also increased by $2.4 million and $4.0 million during the three and nine months ended September 30, 2011, respectively, compared to the three and nine months ended September 30, 2010.</w:t>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increase in revenues and gross profits in the three and nine months ended September 30, 2011 were the result of an increase in demand for our professional, premium and personal products, in North America, Asia and Australia. We expect our revenues to remain consistent and our continued year over year growth in both revenues and profits in the near future would depend on the strengths of the global economy, especially the recovery of European markets. We continue to monitor closely the global economic events and continue our existing measures to control costs and invest in strategic products and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detailed discussion of our results of operations follows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Results of Operations</w:t>
      </w:r>
    </w:p>
    <w:p>
      <w:pPr>
        <w:spacing w:after="0" w:line="17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b w:val="1"/>
          <w:bCs w:val="1"/>
          <w:i w:val="1"/>
          <w:iCs w:val="1"/>
          <w:color w:val="auto"/>
        </w:rPr>
        <w:t>Results of Operations for the quarters ended September 30, 2011, and 2010, and nine months ended September 30, 2011, and 2010</w:t>
      </w:r>
    </w:p>
    <w:p>
      <w:pPr>
        <w:spacing w:after="0" w:line="200"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The following table sets forth certain items from our unaudited condensed consolidated statements of operations (dollars in thousands) for the quarters ended September 30, 2011 and 2010 respectively, and the nine months ended September 30, 2011 and 2010 respectively, together with the percentage of total revenue which each such item represents:</w:t>
      </w:r>
    </w:p>
    <w:p>
      <w:pPr>
        <w:spacing w:after="0" w:line="173" w:lineRule="exact"/>
        <w:rPr>
          <w:sz w:val="20"/>
          <w:szCs w:val="20"/>
          <w:color w:val="auto"/>
        </w:rPr>
      </w:pPr>
    </w:p>
    <w:tbl>
      <w:tblPr>
        <w:tblLayout w:type="fixed"/>
        <w:tblInd w:w="30" w:type="dxa"/>
        <w:tblCellMar>
          <w:top w:w="0" w:type="dxa"/>
          <w:left w:w="0" w:type="dxa"/>
          <w:bottom w:w="0" w:type="dxa"/>
          <w:right w:w="0" w:type="dxa"/>
        </w:tblCellMar>
      </w:tblPr>
      <w:tr>
        <w:trPr>
          <w:trHeight w:val="233"/>
        </w:trPr>
        <w:tc>
          <w:tcPr>
            <w:tcW w:w="3340" w:type="dxa"/>
            <w:vAlign w:val="bottom"/>
            <w:tcBorders>
              <w:top w:val="single" w:sz="8" w:color="808080"/>
              <w:left w:val="single" w:sz="8" w:color="808080"/>
            </w:tcBorders>
          </w:tcPr>
          <w:p>
            <w:pPr>
              <w:spacing w:after="0"/>
              <w:rPr>
                <w:sz w:val="20"/>
                <w:szCs w:val="20"/>
                <w:color w:val="auto"/>
              </w:rPr>
            </w:pPr>
          </w:p>
        </w:tc>
        <w:tc>
          <w:tcPr>
            <w:tcW w:w="680" w:type="dxa"/>
            <w:vAlign w:val="bottom"/>
            <w:tcBorders>
              <w:top w:val="single" w:sz="8" w:color="808080"/>
              <w:bottom w:val="single" w:sz="8" w:color="auto"/>
            </w:tcBorders>
          </w:tcPr>
          <w:p>
            <w:pPr>
              <w:spacing w:after="0"/>
              <w:rPr>
                <w:sz w:val="20"/>
                <w:szCs w:val="20"/>
                <w:color w:val="auto"/>
              </w:rPr>
            </w:pPr>
          </w:p>
        </w:tc>
        <w:tc>
          <w:tcPr>
            <w:tcW w:w="140" w:type="dxa"/>
            <w:vAlign w:val="bottom"/>
            <w:tcBorders>
              <w:top w:val="single" w:sz="8" w:color="808080"/>
              <w:bottom w:val="single" w:sz="8" w:color="auto"/>
            </w:tcBorders>
          </w:tcPr>
          <w:p>
            <w:pPr>
              <w:spacing w:after="0"/>
              <w:rPr>
                <w:sz w:val="20"/>
                <w:szCs w:val="20"/>
                <w:color w:val="auto"/>
              </w:rPr>
            </w:pPr>
          </w:p>
        </w:tc>
        <w:tc>
          <w:tcPr>
            <w:tcW w:w="2300" w:type="dxa"/>
            <w:vAlign w:val="bottom"/>
            <w:tcBorders>
              <w:top w:val="single" w:sz="8" w:color="808080"/>
              <w:bottom w:val="single" w:sz="8" w:color="auto"/>
            </w:tcBorders>
            <w:gridSpan w:val="6"/>
          </w:tcPr>
          <w:p>
            <w:pPr>
              <w:jc w:val="right"/>
              <w:ind w:right="4"/>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Borders>
              <w:top w:val="single" w:sz="8" w:color="808080"/>
              <w:bottom w:val="single" w:sz="8" w:color="auto"/>
            </w:tcBorders>
          </w:tcPr>
          <w:p>
            <w:pPr>
              <w:spacing w:after="0"/>
              <w:rPr>
                <w:sz w:val="20"/>
                <w:szCs w:val="20"/>
                <w:color w:val="auto"/>
              </w:rPr>
            </w:pPr>
          </w:p>
        </w:tc>
        <w:tc>
          <w:tcPr>
            <w:tcW w:w="620" w:type="dxa"/>
            <w:vAlign w:val="bottom"/>
            <w:tcBorders>
              <w:top w:val="single" w:sz="8" w:color="808080"/>
              <w:bottom w:val="single" w:sz="8" w:color="auto"/>
            </w:tcBorders>
          </w:tcPr>
          <w:p>
            <w:pPr>
              <w:spacing w:after="0"/>
              <w:rPr>
                <w:sz w:val="20"/>
                <w:szCs w:val="20"/>
                <w:color w:val="auto"/>
              </w:rPr>
            </w:pPr>
          </w:p>
        </w:tc>
        <w:tc>
          <w:tcPr>
            <w:tcW w:w="20" w:type="dxa"/>
            <w:vAlign w:val="bottom"/>
            <w:tcBorders>
              <w:top w:val="single" w:sz="8" w:color="808080"/>
              <w:bottom w:val="single" w:sz="8" w:color="auto"/>
            </w:tcBorders>
          </w:tcPr>
          <w:p>
            <w:pPr>
              <w:spacing w:after="0"/>
              <w:rPr>
                <w:sz w:val="20"/>
                <w:szCs w:val="20"/>
                <w:color w:val="auto"/>
              </w:rPr>
            </w:pPr>
          </w:p>
        </w:tc>
        <w:tc>
          <w:tcPr>
            <w:tcW w:w="120" w:type="dxa"/>
            <w:vAlign w:val="bottom"/>
            <w:tcBorders>
              <w:top w:val="single" w:sz="8" w:color="808080"/>
            </w:tcBorders>
          </w:tcPr>
          <w:p>
            <w:pPr>
              <w:spacing w:after="0"/>
              <w:rPr>
                <w:sz w:val="20"/>
                <w:szCs w:val="20"/>
                <w:color w:val="auto"/>
              </w:rPr>
            </w:pPr>
          </w:p>
        </w:tc>
        <w:tc>
          <w:tcPr>
            <w:tcW w:w="340" w:type="dxa"/>
            <w:vAlign w:val="bottom"/>
            <w:tcBorders>
              <w:top w:val="single" w:sz="8" w:color="808080"/>
            </w:tcBorders>
          </w:tcPr>
          <w:p>
            <w:pPr>
              <w:spacing w:after="0"/>
              <w:rPr>
                <w:sz w:val="20"/>
                <w:szCs w:val="20"/>
                <w:color w:val="auto"/>
              </w:rPr>
            </w:pPr>
          </w:p>
        </w:tc>
        <w:tc>
          <w:tcPr>
            <w:tcW w:w="320" w:type="dxa"/>
            <w:vAlign w:val="bottom"/>
            <w:tcBorders>
              <w:top w:val="single" w:sz="8" w:color="808080"/>
              <w:bottom w:val="single" w:sz="8" w:color="auto"/>
            </w:tcBorders>
          </w:tcPr>
          <w:p>
            <w:pPr>
              <w:spacing w:after="0"/>
              <w:rPr>
                <w:sz w:val="20"/>
                <w:szCs w:val="20"/>
                <w:color w:val="auto"/>
              </w:rPr>
            </w:pPr>
          </w:p>
        </w:tc>
        <w:tc>
          <w:tcPr>
            <w:tcW w:w="120" w:type="dxa"/>
            <w:vAlign w:val="bottom"/>
            <w:tcBorders>
              <w:top w:val="single" w:sz="8" w:color="808080"/>
              <w:bottom w:val="single" w:sz="8" w:color="auto"/>
            </w:tcBorders>
          </w:tcPr>
          <w:p>
            <w:pPr>
              <w:spacing w:after="0"/>
              <w:rPr>
                <w:sz w:val="20"/>
                <w:szCs w:val="20"/>
                <w:color w:val="auto"/>
              </w:rPr>
            </w:pPr>
          </w:p>
        </w:tc>
        <w:tc>
          <w:tcPr>
            <w:tcW w:w="3240" w:type="dxa"/>
            <w:vAlign w:val="bottom"/>
            <w:tcBorders>
              <w:top w:val="single" w:sz="8" w:color="808080"/>
              <w:bottom w:val="single" w:sz="8" w:color="auto"/>
              <w:right w:val="single" w:sz="8" w:color="808080"/>
            </w:tcBorders>
            <w:gridSpan w:val="7"/>
          </w:tcPr>
          <w:p>
            <w:pPr>
              <w:jc w:val="right"/>
              <w:ind w:right="717"/>
              <w:spacing w:after="0"/>
              <w:rPr>
                <w:sz w:val="20"/>
                <w:szCs w:val="20"/>
                <w:color w:val="auto"/>
              </w:rPr>
            </w:pPr>
            <w:r>
              <w:rPr>
                <w:rFonts w:ascii="Arial" w:cs="Arial" w:eastAsia="Arial" w:hAnsi="Arial"/>
                <w:sz w:val="14"/>
                <w:szCs w:val="14"/>
                <w:b w:val="1"/>
                <w:bCs w:val="1"/>
                <w:color w:val="auto"/>
              </w:rPr>
              <w:t>Nine months ended September 30,</w:t>
            </w:r>
          </w:p>
        </w:tc>
      </w:tr>
      <w:tr>
        <w:trPr>
          <w:trHeight w:val="119"/>
        </w:trPr>
        <w:tc>
          <w:tcPr>
            <w:tcW w:w="3340" w:type="dxa"/>
            <w:vAlign w:val="bottom"/>
            <w:tcBorders>
              <w:left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960" w:type="dxa"/>
            <w:vAlign w:val="bottom"/>
            <w:tcBorders>
              <w:right w:val="single" w:sz="8" w:color="808080"/>
            </w:tcBorders>
          </w:tcPr>
          <w:p>
            <w:pPr>
              <w:spacing w:after="0"/>
              <w:rPr>
                <w:sz w:val="10"/>
                <w:szCs w:val="10"/>
                <w:color w:val="auto"/>
              </w:rPr>
            </w:pPr>
          </w:p>
        </w:tc>
      </w:tr>
      <w:tr>
        <w:trPr>
          <w:trHeight w:val="171"/>
        </w:trPr>
        <w:tc>
          <w:tcPr>
            <w:tcW w:w="3340" w:type="dxa"/>
            <w:vAlign w:val="bottom"/>
            <w:tcBorders>
              <w:left w:val="single" w:sz="8" w:color="808080"/>
            </w:tcBorders>
          </w:tcPr>
          <w:p>
            <w:pPr>
              <w:spacing w:after="0"/>
              <w:rPr>
                <w:sz w:val="14"/>
                <w:szCs w:val="14"/>
                <w:color w:val="auto"/>
              </w:rPr>
            </w:pPr>
          </w:p>
        </w:tc>
        <w:tc>
          <w:tcPr>
            <w:tcW w:w="680" w:type="dxa"/>
            <w:vAlign w:val="bottom"/>
            <w:tcBorders>
              <w:bottom w:val="single" w:sz="8" w:color="auto"/>
            </w:tcBorders>
          </w:tcPr>
          <w:p>
            <w:pPr>
              <w:jc w:val="right"/>
              <w:ind w:right="20"/>
              <w:spacing w:after="0" w:line="151"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4"/>
              <w:spacing w:after="0" w:line="151" w:lineRule="exact"/>
              <w:rPr>
                <w:sz w:val="20"/>
                <w:szCs w:val="20"/>
                <w:color w:val="auto"/>
              </w:rPr>
            </w:pPr>
            <w:r>
              <w:rPr>
                <w:rFonts w:ascii="Arial" w:cs="Arial" w:eastAsia="Arial" w:hAnsi="Arial"/>
                <w:sz w:val="14"/>
                <w:szCs w:val="14"/>
                <w:b w:val="1"/>
                <w:bCs w:val="1"/>
                <w:color w:val="auto"/>
                <w:w w:val="99"/>
              </w:rPr>
              <w:t>Revenue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9"/>
              </w:rPr>
              <w:t>Revenue</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80"/>
              <w:spacing w:after="0" w:line="151"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5"/>
              </w:rPr>
              <w:t>Revenue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
              <w:spacing w:after="0" w:line="151"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5"/>
              </w:rPr>
              <w:t>Revenue</w:t>
            </w:r>
          </w:p>
        </w:tc>
        <w:tc>
          <w:tcPr>
            <w:tcW w:w="120" w:type="dxa"/>
            <w:vAlign w:val="bottom"/>
          </w:tcPr>
          <w:p>
            <w:pPr>
              <w:spacing w:after="0"/>
              <w:rPr>
                <w:sz w:val="14"/>
                <w:szCs w:val="14"/>
                <w:color w:val="auto"/>
              </w:rPr>
            </w:pPr>
          </w:p>
        </w:tc>
        <w:tc>
          <w:tcPr>
            <w:tcW w:w="960" w:type="dxa"/>
            <w:vAlign w:val="bottom"/>
            <w:tcBorders>
              <w:bottom w:val="single" w:sz="8" w:color="auto"/>
              <w:right w:val="single" w:sz="8" w:color="808080"/>
            </w:tcBorders>
          </w:tcPr>
          <w:p>
            <w:pPr>
              <w:jc w:val="right"/>
              <w:ind w:right="317"/>
              <w:spacing w:after="0" w:line="151" w:lineRule="exact"/>
              <w:rPr>
                <w:sz w:val="20"/>
                <w:szCs w:val="20"/>
                <w:color w:val="auto"/>
              </w:rPr>
            </w:pPr>
            <w:r>
              <w:rPr>
                <w:rFonts w:ascii="Arial" w:cs="Arial" w:eastAsia="Arial" w:hAnsi="Arial"/>
                <w:sz w:val="14"/>
                <w:szCs w:val="14"/>
                <w:b w:val="1"/>
                <w:bCs w:val="1"/>
                <w:color w:val="auto"/>
              </w:rPr>
              <w:t>Change</w:t>
            </w:r>
          </w:p>
        </w:tc>
      </w:tr>
      <w:tr>
        <w:trPr>
          <w:trHeight w:val="210"/>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EAF1DD"/>
          </w:tcPr>
          <w:p>
            <w:pPr>
              <w:jc w:val="right"/>
              <w:ind w:right="40"/>
              <w:spacing w:after="0"/>
              <w:rPr>
                <w:sz w:val="20"/>
                <w:szCs w:val="20"/>
                <w:color w:val="auto"/>
              </w:rPr>
            </w:pPr>
            <w:r>
              <w:rPr>
                <w:rFonts w:ascii="Arial" w:cs="Arial" w:eastAsia="Arial" w:hAnsi="Arial"/>
                <w:sz w:val="16"/>
                <w:szCs w:val="16"/>
                <w:color w:val="auto"/>
                <w:w w:val="93"/>
              </w:rPr>
              <w:t>$11,511</w:t>
            </w:r>
          </w:p>
        </w:tc>
        <w:tc>
          <w:tcPr>
            <w:tcW w:w="82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100%</w:t>
            </w:r>
          </w:p>
        </w:tc>
        <w:tc>
          <w:tcPr>
            <w:tcW w:w="30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AF1DD"/>
          </w:tcPr>
          <w:p>
            <w:pPr>
              <w:jc w:val="right"/>
              <w:spacing w:after="0"/>
              <w:rPr>
                <w:sz w:val="20"/>
                <w:szCs w:val="20"/>
                <w:color w:val="auto"/>
              </w:rPr>
            </w:pPr>
            <w:r>
              <w:rPr>
                <w:rFonts w:ascii="Arial" w:cs="Arial" w:eastAsia="Arial" w:hAnsi="Arial"/>
                <w:sz w:val="16"/>
                <w:szCs w:val="16"/>
                <w:color w:val="auto"/>
                <w:w w:val="89"/>
              </w:rPr>
              <w:t>10,359</w:t>
            </w:r>
          </w:p>
        </w:tc>
        <w:tc>
          <w:tcPr>
            <w:tcW w:w="80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100%</w:t>
            </w:r>
          </w:p>
        </w:tc>
        <w:tc>
          <w:tcPr>
            <w:tcW w:w="76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EAF1DD"/>
          </w:tcPr>
          <w:p>
            <w:pPr>
              <w:spacing w:after="0"/>
              <w:rPr>
                <w:sz w:val="18"/>
                <w:szCs w:val="18"/>
                <w:color w:val="auto"/>
              </w:rPr>
            </w:pPr>
          </w:p>
        </w:tc>
        <w:tc>
          <w:tcPr>
            <w:tcW w:w="780" w:type="dxa"/>
            <w:vAlign w:val="bottom"/>
            <w:gridSpan w:val="3"/>
            <w:shd w:val="clear" w:color="auto" w:fill="EAF1DD"/>
          </w:tcPr>
          <w:p>
            <w:pPr>
              <w:jc w:val="right"/>
              <w:ind w:right="100"/>
              <w:spacing w:after="0"/>
              <w:rPr>
                <w:sz w:val="20"/>
                <w:szCs w:val="20"/>
                <w:color w:val="auto"/>
              </w:rPr>
            </w:pPr>
            <w:r>
              <w:rPr>
                <w:rFonts w:ascii="Arial" w:cs="Arial" w:eastAsia="Arial" w:hAnsi="Arial"/>
                <w:sz w:val="16"/>
                <w:szCs w:val="16"/>
                <w:color w:val="auto"/>
              </w:rPr>
              <w:t>$34,102</w:t>
            </w:r>
          </w:p>
        </w:tc>
        <w:tc>
          <w:tcPr>
            <w:tcW w:w="76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100%</w:t>
            </w:r>
          </w:p>
        </w:tc>
        <w:tc>
          <w:tcPr>
            <w:tcW w:w="760" w:type="dxa"/>
            <w:vAlign w:val="bottom"/>
            <w:gridSpan w:val="2"/>
            <w:shd w:val="clear" w:color="auto" w:fill="EAF1DD"/>
          </w:tcPr>
          <w:p>
            <w:pPr>
              <w:jc w:val="right"/>
              <w:ind w:right="1"/>
              <w:spacing w:after="0"/>
              <w:rPr>
                <w:sz w:val="20"/>
                <w:szCs w:val="20"/>
                <w:color w:val="auto"/>
              </w:rPr>
            </w:pPr>
            <w:r>
              <w:rPr>
                <w:rFonts w:ascii="Arial" w:cs="Arial" w:eastAsia="Arial" w:hAnsi="Arial"/>
                <w:sz w:val="16"/>
                <w:szCs w:val="16"/>
                <w:color w:val="auto"/>
              </w:rPr>
              <w:t>$28,652</w:t>
            </w:r>
          </w:p>
        </w:tc>
        <w:tc>
          <w:tcPr>
            <w:tcW w:w="760" w:type="dxa"/>
            <w:vAlign w:val="bottom"/>
            <w:gridSpan w:val="2"/>
            <w:shd w:val="clear" w:color="auto" w:fill="EAF1DD"/>
          </w:tcPr>
          <w:p>
            <w:pPr>
              <w:jc w:val="right"/>
              <w:ind w:right="44"/>
              <w:spacing w:after="0"/>
              <w:rPr>
                <w:sz w:val="20"/>
                <w:szCs w:val="20"/>
                <w:color w:val="auto"/>
              </w:rPr>
            </w:pPr>
            <w:r>
              <w:rPr>
                <w:rFonts w:ascii="Arial" w:cs="Arial" w:eastAsia="Arial" w:hAnsi="Arial"/>
                <w:sz w:val="16"/>
                <w:szCs w:val="16"/>
                <w:color w:val="auto"/>
              </w:rPr>
              <w:t>100%</w:t>
            </w:r>
          </w:p>
        </w:tc>
        <w:tc>
          <w:tcPr>
            <w:tcW w:w="1080" w:type="dxa"/>
            <w:vAlign w:val="bottom"/>
            <w:tcBorders>
              <w:right w:val="single" w:sz="8" w:color="808080"/>
            </w:tcBorders>
            <w:gridSpan w:val="2"/>
            <w:shd w:val="clear" w:color="auto" w:fill="EAF1DD"/>
          </w:tcPr>
          <w:p>
            <w:pPr>
              <w:jc w:val="right"/>
              <w:ind w:right="277"/>
              <w:spacing w:after="0"/>
              <w:rPr>
                <w:sz w:val="20"/>
                <w:szCs w:val="20"/>
                <w:color w:val="auto"/>
              </w:rPr>
            </w:pPr>
            <w:r>
              <w:rPr>
                <w:rFonts w:ascii="Arial" w:cs="Arial" w:eastAsia="Arial" w:hAnsi="Arial"/>
                <w:sz w:val="16"/>
                <w:szCs w:val="16"/>
                <w:color w:val="auto"/>
              </w:rPr>
              <w:t>19%</w:t>
            </w:r>
          </w:p>
        </w:tc>
      </w:tr>
      <w:tr>
        <w:trPr>
          <w:trHeight w:val="223"/>
        </w:trPr>
        <w:tc>
          <w:tcPr>
            <w:tcW w:w="334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6"/>
                <w:szCs w:val="16"/>
                <w:color w:val="auto"/>
              </w:rPr>
              <w:t>Cost of goods sold</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$ 4,534</w:t>
            </w:r>
          </w:p>
        </w:tc>
        <w:tc>
          <w:tcPr>
            <w:tcW w:w="140" w:type="dxa"/>
            <w:vAlign w:val="bottom"/>
            <w:tcBorders>
              <w:bottom w:val="single" w:sz="8" w:color="EAF1DD"/>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EAF1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4,105</w:t>
            </w:r>
          </w:p>
        </w:tc>
        <w:tc>
          <w:tcPr>
            <w:tcW w:w="140" w:type="dxa"/>
            <w:vAlign w:val="bottom"/>
            <w:tcBorders>
              <w:bottom w:val="single" w:sz="8" w:color="EAF1DD"/>
            </w:tcBorders>
          </w:tcPr>
          <w:p>
            <w:pPr>
              <w:spacing w:after="0"/>
              <w:rPr>
                <w:sz w:val="19"/>
                <w:szCs w:val="19"/>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40%</w:t>
            </w:r>
          </w:p>
        </w:tc>
        <w:tc>
          <w:tcPr>
            <w:tcW w:w="760" w:type="dxa"/>
            <w:vAlign w:val="bottom"/>
            <w:tcBorders>
              <w:bottom w:val="single" w:sz="8" w:color="EAF1DD"/>
            </w:tcBorders>
            <w:gridSpan w:val="2"/>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EAF1DD"/>
            </w:tcBorders>
          </w:tcPr>
          <w:p>
            <w:pPr>
              <w:spacing w:after="0"/>
              <w:rPr>
                <w:sz w:val="19"/>
                <w:szCs w:val="19"/>
                <w:color w:val="auto"/>
              </w:rPr>
            </w:pPr>
          </w:p>
        </w:tc>
        <w:tc>
          <w:tcPr>
            <w:tcW w:w="120" w:type="dxa"/>
            <w:vAlign w:val="bottom"/>
            <w:tcBorders>
              <w:bottom w:val="single" w:sz="8" w:color="EAF1DD"/>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13,666</w:t>
            </w:r>
          </w:p>
        </w:tc>
        <w:tc>
          <w:tcPr>
            <w:tcW w:w="120" w:type="dxa"/>
            <w:vAlign w:val="bottom"/>
            <w:tcBorders>
              <w:bottom w:val="single" w:sz="8" w:color="EAF1DD"/>
            </w:tcBorders>
          </w:tcPr>
          <w:p>
            <w:pPr>
              <w:spacing w:after="0"/>
              <w:rPr>
                <w:sz w:val="19"/>
                <w:szCs w:val="19"/>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EAF1DD"/>
            </w:tcBorders>
          </w:tcPr>
          <w:p>
            <w:pPr>
              <w:spacing w:after="0"/>
              <w:rPr>
                <w:sz w:val="19"/>
                <w:szCs w:val="19"/>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11,542</w:t>
            </w:r>
          </w:p>
        </w:tc>
        <w:tc>
          <w:tcPr>
            <w:tcW w:w="120" w:type="dxa"/>
            <w:vAlign w:val="bottom"/>
            <w:tcBorders>
              <w:bottom w:val="single" w:sz="8" w:color="EAF1DD"/>
            </w:tcBorders>
          </w:tcPr>
          <w:p>
            <w:pPr>
              <w:spacing w:after="0"/>
              <w:rPr>
                <w:sz w:val="19"/>
                <w:szCs w:val="19"/>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40%</w:t>
            </w:r>
          </w:p>
        </w:tc>
        <w:tc>
          <w:tcPr>
            <w:tcW w:w="1080" w:type="dxa"/>
            <w:vAlign w:val="bottom"/>
            <w:tcBorders>
              <w:bottom w:val="single" w:sz="8" w:color="EAF1DD"/>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-18%</w:t>
            </w:r>
          </w:p>
        </w:tc>
      </w:tr>
      <w:tr>
        <w:trPr>
          <w:trHeight w:val="203"/>
        </w:trPr>
        <w:tc>
          <w:tcPr>
            <w:tcW w:w="3340" w:type="dxa"/>
            <w:vAlign w:val="bottom"/>
            <w:tcBorders>
              <w:left w:val="single" w:sz="8" w:color="808080"/>
            </w:tcBorders>
            <w:shd w:val="clear" w:color="auto" w:fill="EAF1DD"/>
          </w:tcPr>
          <w:p>
            <w:pPr>
              <w:ind w:left="240"/>
              <w:spacing w:after="0"/>
              <w:rPr>
                <w:sz w:val="20"/>
                <w:szCs w:val="20"/>
                <w:color w:val="auto"/>
              </w:rPr>
            </w:pPr>
            <w:r>
              <w:rPr>
                <w:rFonts w:ascii="Arial" w:cs="Arial" w:eastAsia="Arial" w:hAnsi="Arial"/>
                <w:sz w:val="16"/>
                <w:szCs w:val="16"/>
                <w:color w:val="auto"/>
              </w:rPr>
              <w:t>Gross profit</w:t>
            </w:r>
          </w:p>
        </w:tc>
        <w:tc>
          <w:tcPr>
            <w:tcW w:w="680" w:type="dxa"/>
            <w:vAlign w:val="bottom"/>
            <w:shd w:val="clear" w:color="auto" w:fill="EAF1DD"/>
          </w:tcPr>
          <w:p>
            <w:pPr>
              <w:jc w:val="right"/>
              <w:ind w:right="40"/>
              <w:spacing w:after="0"/>
              <w:rPr>
                <w:sz w:val="20"/>
                <w:szCs w:val="20"/>
                <w:color w:val="auto"/>
              </w:rPr>
            </w:pPr>
            <w:r>
              <w:rPr>
                <w:rFonts w:ascii="Arial" w:cs="Arial" w:eastAsia="Arial" w:hAnsi="Arial"/>
                <w:sz w:val="16"/>
                <w:szCs w:val="16"/>
                <w:color w:val="auto"/>
              </w:rPr>
              <w:t>6,977</w:t>
            </w:r>
          </w:p>
        </w:tc>
        <w:tc>
          <w:tcPr>
            <w:tcW w:w="82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EAF1DD"/>
          </w:tcPr>
          <w:p>
            <w:pPr>
              <w:spacing w:after="0"/>
              <w:rPr>
                <w:sz w:val="17"/>
                <w:szCs w:val="17"/>
                <w:color w:val="auto"/>
              </w:rPr>
            </w:pPr>
          </w:p>
        </w:tc>
        <w:tc>
          <w:tcPr>
            <w:tcW w:w="140" w:type="dxa"/>
            <w:vAlign w:val="bottom"/>
            <w:shd w:val="clear" w:color="auto" w:fill="EAF1DD"/>
          </w:tcPr>
          <w:p>
            <w:pPr>
              <w:spacing w:after="0"/>
              <w:rPr>
                <w:sz w:val="17"/>
                <w:szCs w:val="17"/>
                <w:color w:val="auto"/>
              </w:rPr>
            </w:pPr>
          </w:p>
        </w:tc>
        <w:tc>
          <w:tcPr>
            <w:tcW w:w="520" w:type="dxa"/>
            <w:vAlign w:val="bottom"/>
            <w:shd w:val="clear" w:color="auto" w:fill="EAF1DD"/>
          </w:tcPr>
          <w:p>
            <w:pPr>
              <w:jc w:val="right"/>
              <w:spacing w:after="0"/>
              <w:rPr>
                <w:sz w:val="20"/>
                <w:szCs w:val="20"/>
                <w:color w:val="auto"/>
              </w:rPr>
            </w:pPr>
            <w:r>
              <w:rPr>
                <w:rFonts w:ascii="Arial" w:cs="Arial" w:eastAsia="Arial" w:hAnsi="Arial"/>
                <w:sz w:val="16"/>
                <w:szCs w:val="16"/>
                <w:color w:val="auto"/>
              </w:rPr>
              <w:t>6,254</w:t>
            </w:r>
          </w:p>
        </w:tc>
        <w:tc>
          <w:tcPr>
            <w:tcW w:w="80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60%</w:t>
            </w:r>
          </w:p>
        </w:tc>
        <w:tc>
          <w:tcPr>
            <w:tcW w:w="76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EAF1DD"/>
          </w:tcPr>
          <w:p>
            <w:pPr>
              <w:spacing w:after="0"/>
              <w:rPr>
                <w:sz w:val="17"/>
                <w:szCs w:val="17"/>
                <w:color w:val="auto"/>
              </w:rPr>
            </w:pPr>
          </w:p>
        </w:tc>
        <w:tc>
          <w:tcPr>
            <w:tcW w:w="780" w:type="dxa"/>
            <w:vAlign w:val="bottom"/>
            <w:gridSpan w:val="3"/>
            <w:shd w:val="clear" w:color="auto" w:fill="EAF1DD"/>
          </w:tcPr>
          <w:p>
            <w:pPr>
              <w:jc w:val="right"/>
              <w:ind w:right="100"/>
              <w:spacing w:after="0"/>
              <w:rPr>
                <w:sz w:val="20"/>
                <w:szCs w:val="20"/>
                <w:color w:val="auto"/>
              </w:rPr>
            </w:pPr>
            <w:r>
              <w:rPr>
                <w:rFonts w:ascii="Arial" w:cs="Arial" w:eastAsia="Arial" w:hAnsi="Arial"/>
                <w:sz w:val="16"/>
                <w:szCs w:val="16"/>
                <w:color w:val="auto"/>
              </w:rPr>
              <w:t>20,436</w:t>
            </w:r>
          </w:p>
        </w:tc>
        <w:tc>
          <w:tcPr>
            <w:tcW w:w="76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60%</w:t>
            </w:r>
          </w:p>
        </w:tc>
        <w:tc>
          <w:tcPr>
            <w:tcW w:w="760" w:type="dxa"/>
            <w:vAlign w:val="bottom"/>
            <w:gridSpan w:val="2"/>
            <w:shd w:val="clear" w:color="auto" w:fill="EAF1DD"/>
          </w:tcPr>
          <w:p>
            <w:pPr>
              <w:jc w:val="right"/>
              <w:ind w:right="1"/>
              <w:spacing w:after="0"/>
              <w:rPr>
                <w:sz w:val="20"/>
                <w:szCs w:val="20"/>
                <w:color w:val="auto"/>
              </w:rPr>
            </w:pPr>
            <w:r>
              <w:rPr>
                <w:rFonts w:ascii="Arial" w:cs="Arial" w:eastAsia="Arial" w:hAnsi="Arial"/>
                <w:sz w:val="16"/>
                <w:szCs w:val="16"/>
                <w:color w:val="auto"/>
              </w:rPr>
              <w:t>17,110</w:t>
            </w:r>
          </w:p>
        </w:tc>
        <w:tc>
          <w:tcPr>
            <w:tcW w:w="760" w:type="dxa"/>
            <w:vAlign w:val="bottom"/>
            <w:gridSpan w:val="2"/>
            <w:shd w:val="clear" w:color="auto" w:fill="EAF1DD"/>
          </w:tcPr>
          <w:p>
            <w:pPr>
              <w:jc w:val="right"/>
              <w:ind w:right="44"/>
              <w:spacing w:after="0"/>
              <w:rPr>
                <w:sz w:val="20"/>
                <w:szCs w:val="20"/>
                <w:color w:val="auto"/>
              </w:rPr>
            </w:pPr>
            <w:r>
              <w:rPr>
                <w:rFonts w:ascii="Arial" w:cs="Arial" w:eastAsia="Arial" w:hAnsi="Arial"/>
                <w:sz w:val="16"/>
                <w:szCs w:val="16"/>
                <w:color w:val="auto"/>
              </w:rPr>
              <w:t>60%</w:t>
            </w:r>
          </w:p>
        </w:tc>
        <w:tc>
          <w:tcPr>
            <w:tcW w:w="1080" w:type="dxa"/>
            <w:vAlign w:val="bottom"/>
            <w:tcBorders>
              <w:right w:val="single" w:sz="8" w:color="808080"/>
            </w:tcBorders>
            <w:gridSpan w:val="2"/>
            <w:shd w:val="clear" w:color="auto" w:fill="EAF1DD"/>
          </w:tcPr>
          <w:p>
            <w:pPr>
              <w:jc w:val="right"/>
              <w:ind w:right="277"/>
              <w:spacing w:after="0"/>
              <w:rPr>
                <w:sz w:val="20"/>
                <w:szCs w:val="20"/>
                <w:color w:val="auto"/>
              </w:rPr>
            </w:pPr>
            <w:r>
              <w:rPr>
                <w:rFonts w:ascii="Arial" w:cs="Arial" w:eastAsia="Arial" w:hAnsi="Arial"/>
                <w:sz w:val="16"/>
                <w:szCs w:val="16"/>
                <w:color w:val="auto"/>
              </w:rPr>
              <w:t>19%</w:t>
            </w:r>
          </w:p>
        </w:tc>
      </w:tr>
      <w:tr>
        <w:trPr>
          <w:trHeight w:val="216"/>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2,184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2,243</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22%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6,274</w:t>
            </w:r>
          </w:p>
        </w:tc>
        <w:tc>
          <w:tcPr>
            <w:tcW w:w="760" w:type="dxa"/>
            <w:vAlign w:val="bottom"/>
            <w:gridSpan w:val="2"/>
          </w:tcPr>
          <w:p>
            <w:pPr>
              <w:jc w:val="right"/>
              <w:ind w:right="64"/>
              <w:spacing w:after="0"/>
              <w:rPr>
                <w:sz w:val="20"/>
                <w:szCs w:val="20"/>
                <w:color w:val="auto"/>
              </w:rPr>
            </w:pPr>
            <w:r>
              <w:rPr>
                <w:rFonts w:ascii="Arial" w:cs="Arial" w:eastAsia="Arial" w:hAnsi="Arial"/>
                <w:sz w:val="16"/>
                <w:szCs w:val="16"/>
                <w:color w:val="auto"/>
              </w:rPr>
              <w:t>18%</w:t>
            </w:r>
          </w:p>
        </w:tc>
        <w:tc>
          <w:tcPr>
            <w:tcW w:w="760" w:type="dxa"/>
            <w:vAlign w:val="bottom"/>
            <w:gridSpan w:val="2"/>
          </w:tcPr>
          <w:p>
            <w:pPr>
              <w:jc w:val="right"/>
              <w:ind w:right="1"/>
              <w:spacing w:after="0"/>
              <w:rPr>
                <w:sz w:val="20"/>
                <w:szCs w:val="20"/>
                <w:color w:val="auto"/>
              </w:rPr>
            </w:pPr>
            <w:r>
              <w:rPr>
                <w:rFonts w:ascii="Arial" w:cs="Arial" w:eastAsia="Arial" w:hAnsi="Arial"/>
                <w:sz w:val="16"/>
                <w:szCs w:val="16"/>
                <w:color w:val="auto"/>
              </w:rPr>
              <w:t>6,328</w:t>
            </w:r>
          </w:p>
        </w:tc>
        <w:tc>
          <w:tcPr>
            <w:tcW w:w="760" w:type="dxa"/>
            <w:vAlign w:val="bottom"/>
            <w:gridSpan w:val="2"/>
          </w:tcPr>
          <w:p>
            <w:pPr>
              <w:jc w:val="right"/>
              <w:ind w:right="44"/>
              <w:spacing w:after="0"/>
              <w:rPr>
                <w:sz w:val="20"/>
                <w:szCs w:val="20"/>
                <w:color w:val="auto"/>
              </w:rPr>
            </w:pPr>
            <w:r>
              <w:rPr>
                <w:rFonts w:ascii="Arial" w:cs="Arial" w:eastAsia="Arial" w:hAnsi="Arial"/>
                <w:sz w:val="16"/>
                <w:szCs w:val="16"/>
                <w:color w:val="auto"/>
              </w:rPr>
              <w:t>22%</w:t>
            </w:r>
          </w:p>
        </w:tc>
        <w:tc>
          <w:tcPr>
            <w:tcW w:w="1080" w:type="dxa"/>
            <w:vAlign w:val="bottom"/>
            <w:tcBorders>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1%</w:t>
            </w:r>
          </w:p>
        </w:tc>
      </w:tr>
      <w:tr>
        <w:trPr>
          <w:trHeight w:val="216"/>
        </w:trPr>
        <w:tc>
          <w:tcPr>
            <w:tcW w:w="33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6"/>
                <w:szCs w:val="16"/>
                <w:color w:val="auto"/>
              </w:rPr>
              <w:t>Research and product development</w:t>
            </w:r>
          </w:p>
        </w:tc>
        <w:tc>
          <w:tcPr>
            <w:tcW w:w="680" w:type="dxa"/>
            <w:vAlign w:val="bottom"/>
            <w:shd w:val="clear" w:color="auto" w:fill="EAF1DD"/>
          </w:tcPr>
          <w:p>
            <w:pPr>
              <w:jc w:val="right"/>
              <w:ind w:right="40"/>
              <w:spacing w:after="0"/>
              <w:rPr>
                <w:sz w:val="20"/>
                <w:szCs w:val="20"/>
                <w:color w:val="auto"/>
              </w:rPr>
            </w:pPr>
            <w:r>
              <w:rPr>
                <w:rFonts w:ascii="Arial" w:cs="Arial" w:eastAsia="Arial" w:hAnsi="Arial"/>
                <w:sz w:val="16"/>
                <w:szCs w:val="16"/>
                <w:color w:val="auto"/>
              </w:rPr>
              <w:t>1,796</w:t>
            </w:r>
          </w:p>
        </w:tc>
        <w:tc>
          <w:tcPr>
            <w:tcW w:w="82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EAF1DD"/>
          </w:tcPr>
          <w:p>
            <w:pPr>
              <w:spacing w:after="0"/>
              <w:rPr>
                <w:sz w:val="18"/>
                <w:szCs w:val="18"/>
                <w:color w:val="auto"/>
              </w:rPr>
            </w:pPr>
          </w:p>
        </w:tc>
        <w:tc>
          <w:tcPr>
            <w:tcW w:w="140" w:type="dxa"/>
            <w:vAlign w:val="bottom"/>
            <w:shd w:val="clear" w:color="auto" w:fill="EAF1DD"/>
          </w:tcPr>
          <w:p>
            <w:pPr>
              <w:spacing w:after="0"/>
              <w:rPr>
                <w:sz w:val="18"/>
                <w:szCs w:val="18"/>
                <w:color w:val="auto"/>
              </w:rPr>
            </w:pPr>
          </w:p>
        </w:tc>
        <w:tc>
          <w:tcPr>
            <w:tcW w:w="520" w:type="dxa"/>
            <w:vAlign w:val="bottom"/>
            <w:shd w:val="clear" w:color="auto" w:fill="EAF1DD"/>
          </w:tcPr>
          <w:p>
            <w:pPr>
              <w:jc w:val="right"/>
              <w:spacing w:after="0"/>
              <w:rPr>
                <w:sz w:val="20"/>
                <w:szCs w:val="20"/>
                <w:color w:val="auto"/>
              </w:rPr>
            </w:pPr>
            <w:r>
              <w:rPr>
                <w:rFonts w:ascii="Arial" w:cs="Arial" w:eastAsia="Arial" w:hAnsi="Arial"/>
                <w:sz w:val="16"/>
                <w:szCs w:val="16"/>
                <w:color w:val="auto"/>
              </w:rPr>
              <w:t>2,124</w:t>
            </w:r>
          </w:p>
        </w:tc>
        <w:tc>
          <w:tcPr>
            <w:tcW w:w="80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21%</w:t>
            </w:r>
          </w:p>
        </w:tc>
        <w:tc>
          <w:tcPr>
            <w:tcW w:w="760" w:type="dxa"/>
            <w:vAlign w:val="bottom"/>
            <w:gridSpan w:val="2"/>
            <w:shd w:val="clear" w:color="auto" w:fill="EAF1DD"/>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EAF1DD"/>
          </w:tcPr>
          <w:p>
            <w:pPr>
              <w:spacing w:after="0"/>
              <w:rPr>
                <w:sz w:val="18"/>
                <w:szCs w:val="18"/>
                <w:color w:val="auto"/>
              </w:rPr>
            </w:pPr>
          </w:p>
        </w:tc>
        <w:tc>
          <w:tcPr>
            <w:tcW w:w="780" w:type="dxa"/>
            <w:vAlign w:val="bottom"/>
            <w:gridSpan w:val="3"/>
            <w:shd w:val="clear" w:color="auto" w:fill="EAF1DD"/>
          </w:tcPr>
          <w:p>
            <w:pPr>
              <w:jc w:val="right"/>
              <w:ind w:right="100"/>
              <w:spacing w:after="0"/>
              <w:rPr>
                <w:sz w:val="20"/>
                <w:szCs w:val="20"/>
                <w:color w:val="auto"/>
              </w:rPr>
            </w:pPr>
            <w:r>
              <w:rPr>
                <w:rFonts w:ascii="Arial" w:cs="Arial" w:eastAsia="Arial" w:hAnsi="Arial"/>
                <w:sz w:val="16"/>
                <w:szCs w:val="16"/>
                <w:color w:val="auto"/>
              </w:rPr>
              <w:t>5,249</w:t>
            </w:r>
          </w:p>
        </w:tc>
        <w:tc>
          <w:tcPr>
            <w:tcW w:w="760" w:type="dxa"/>
            <w:vAlign w:val="bottom"/>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15%</w:t>
            </w:r>
          </w:p>
        </w:tc>
        <w:tc>
          <w:tcPr>
            <w:tcW w:w="760" w:type="dxa"/>
            <w:vAlign w:val="bottom"/>
            <w:gridSpan w:val="2"/>
            <w:shd w:val="clear" w:color="auto" w:fill="EAF1DD"/>
          </w:tcPr>
          <w:p>
            <w:pPr>
              <w:jc w:val="right"/>
              <w:ind w:right="1"/>
              <w:spacing w:after="0"/>
              <w:rPr>
                <w:sz w:val="20"/>
                <w:szCs w:val="20"/>
                <w:color w:val="auto"/>
              </w:rPr>
            </w:pPr>
            <w:r>
              <w:rPr>
                <w:rFonts w:ascii="Arial" w:cs="Arial" w:eastAsia="Arial" w:hAnsi="Arial"/>
                <w:sz w:val="16"/>
                <w:szCs w:val="16"/>
                <w:color w:val="auto"/>
              </w:rPr>
              <w:t>5,772</w:t>
            </w:r>
          </w:p>
        </w:tc>
        <w:tc>
          <w:tcPr>
            <w:tcW w:w="760" w:type="dxa"/>
            <w:vAlign w:val="bottom"/>
            <w:gridSpan w:val="2"/>
            <w:shd w:val="clear" w:color="auto" w:fill="EAF1DD"/>
          </w:tcPr>
          <w:p>
            <w:pPr>
              <w:jc w:val="right"/>
              <w:ind w:right="44"/>
              <w:spacing w:after="0"/>
              <w:rPr>
                <w:sz w:val="20"/>
                <w:szCs w:val="20"/>
                <w:color w:val="auto"/>
              </w:rPr>
            </w:pPr>
            <w:r>
              <w:rPr>
                <w:rFonts w:ascii="Arial" w:cs="Arial" w:eastAsia="Arial" w:hAnsi="Arial"/>
                <w:sz w:val="16"/>
                <w:szCs w:val="16"/>
                <w:color w:val="auto"/>
              </w:rPr>
              <w:t>20%</w:t>
            </w:r>
          </w:p>
        </w:tc>
        <w:tc>
          <w:tcPr>
            <w:tcW w:w="1080" w:type="dxa"/>
            <w:vAlign w:val="bottom"/>
            <w:tcBorders>
              <w:right w:val="single" w:sz="8" w:color="808080"/>
            </w:tcBorders>
            <w:gridSpan w:val="2"/>
            <w:shd w:val="clear" w:color="auto" w:fill="EAF1DD"/>
          </w:tcPr>
          <w:p>
            <w:pPr>
              <w:jc w:val="right"/>
              <w:ind w:right="277"/>
              <w:spacing w:after="0"/>
              <w:rPr>
                <w:sz w:val="20"/>
                <w:szCs w:val="20"/>
                <w:color w:val="auto"/>
              </w:rPr>
            </w:pPr>
            <w:r>
              <w:rPr>
                <w:rFonts w:ascii="Arial" w:cs="Arial" w:eastAsia="Arial" w:hAnsi="Arial"/>
                <w:sz w:val="16"/>
                <w:szCs w:val="16"/>
                <w:color w:val="auto"/>
              </w:rPr>
              <w:t>9%</w:t>
            </w:r>
          </w:p>
        </w:tc>
      </w:tr>
      <w:tr>
        <w:trPr>
          <w:trHeight w:val="216"/>
        </w:trPr>
        <w:tc>
          <w:tcPr>
            <w:tcW w:w="3340" w:type="dxa"/>
            <w:vAlign w:val="bottom"/>
            <w:tcBorders>
              <w:left w:val="single" w:sz="8" w:color="808080"/>
            </w:tcBorders>
          </w:tcPr>
          <w:p>
            <w:pPr>
              <w:ind w:left="80"/>
              <w:spacing w:after="0"/>
              <w:rPr>
                <w:sz w:val="20"/>
                <w:szCs w:val="20"/>
                <w:color w:val="auto"/>
              </w:rPr>
            </w:pPr>
            <w:r>
              <w:rPr>
                <w:rFonts w:ascii="Arial" w:cs="Arial" w:eastAsia="Arial" w:hAnsi="Arial"/>
                <w:sz w:val="16"/>
                <w:szCs w:val="16"/>
                <w:color w:val="auto"/>
              </w:rPr>
              <w:t>General and administrative</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1,333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1,106</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11%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4,166</w:t>
            </w:r>
          </w:p>
        </w:tc>
        <w:tc>
          <w:tcPr>
            <w:tcW w:w="760" w:type="dxa"/>
            <w:vAlign w:val="bottom"/>
            <w:gridSpan w:val="2"/>
          </w:tcPr>
          <w:p>
            <w:pPr>
              <w:jc w:val="right"/>
              <w:ind w:right="64"/>
              <w:spacing w:after="0"/>
              <w:rPr>
                <w:sz w:val="20"/>
                <w:szCs w:val="20"/>
                <w:color w:val="auto"/>
              </w:rPr>
            </w:pPr>
            <w:r>
              <w:rPr>
                <w:rFonts w:ascii="Arial" w:cs="Arial" w:eastAsia="Arial" w:hAnsi="Arial"/>
                <w:sz w:val="16"/>
                <w:szCs w:val="16"/>
                <w:color w:val="auto"/>
              </w:rPr>
              <w:t>12%</w:t>
            </w:r>
          </w:p>
        </w:tc>
        <w:tc>
          <w:tcPr>
            <w:tcW w:w="760" w:type="dxa"/>
            <w:vAlign w:val="bottom"/>
            <w:gridSpan w:val="2"/>
          </w:tcPr>
          <w:p>
            <w:pPr>
              <w:jc w:val="right"/>
              <w:ind w:right="1"/>
              <w:spacing w:after="0"/>
              <w:rPr>
                <w:sz w:val="20"/>
                <w:szCs w:val="20"/>
                <w:color w:val="auto"/>
              </w:rPr>
            </w:pPr>
            <w:r>
              <w:rPr>
                <w:rFonts w:ascii="Arial" w:cs="Arial" w:eastAsia="Arial" w:hAnsi="Arial"/>
                <w:sz w:val="16"/>
                <w:szCs w:val="16"/>
                <w:color w:val="auto"/>
              </w:rPr>
              <w:t>3,252</w:t>
            </w:r>
          </w:p>
        </w:tc>
        <w:tc>
          <w:tcPr>
            <w:tcW w:w="760" w:type="dxa"/>
            <w:vAlign w:val="bottom"/>
            <w:gridSpan w:val="2"/>
          </w:tcPr>
          <w:p>
            <w:pPr>
              <w:jc w:val="right"/>
              <w:ind w:right="44"/>
              <w:spacing w:after="0"/>
              <w:rPr>
                <w:sz w:val="20"/>
                <w:szCs w:val="20"/>
                <w:color w:val="auto"/>
              </w:rPr>
            </w:pPr>
            <w:r>
              <w:rPr>
                <w:rFonts w:ascii="Arial" w:cs="Arial" w:eastAsia="Arial" w:hAnsi="Arial"/>
                <w:sz w:val="16"/>
                <w:szCs w:val="16"/>
                <w:color w:val="auto"/>
              </w:rPr>
              <w:t>11%</w:t>
            </w:r>
          </w:p>
        </w:tc>
        <w:tc>
          <w:tcPr>
            <w:tcW w:w="1080" w:type="dxa"/>
            <w:vAlign w:val="bottom"/>
            <w:tcBorders>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-28%</w:t>
            </w:r>
          </w:p>
        </w:tc>
      </w:tr>
      <w:tr>
        <w:trPr>
          <w:trHeight w:val="236"/>
        </w:trPr>
        <w:tc>
          <w:tcPr>
            <w:tcW w:w="3340" w:type="dxa"/>
            <w:vAlign w:val="bottom"/>
            <w:tcBorders>
              <w:left w:val="single" w:sz="8" w:color="808080"/>
              <w:bottom w:val="single" w:sz="8" w:color="EAF1DD"/>
            </w:tcBorders>
            <w:shd w:val="clear" w:color="auto" w:fill="EAF1DD"/>
          </w:tcPr>
          <w:p>
            <w:pPr>
              <w:ind w:left="80"/>
              <w:spacing w:after="0"/>
              <w:rPr>
                <w:sz w:val="20"/>
                <w:szCs w:val="20"/>
                <w:color w:val="auto"/>
              </w:rPr>
            </w:pPr>
            <w:r>
              <w:rPr>
                <w:rFonts w:ascii="Arial" w:cs="Arial" w:eastAsia="Arial" w:hAnsi="Arial"/>
                <w:sz w:val="16"/>
                <w:szCs w:val="16"/>
                <w:color w:val="auto"/>
              </w:rPr>
              <w:t>Proceeds from litigation</w:t>
            </w:r>
          </w:p>
        </w:tc>
        <w:tc>
          <w:tcPr>
            <w:tcW w:w="680" w:type="dxa"/>
            <w:vAlign w:val="bottom"/>
            <w:tcBorders>
              <w:bottom w:val="single" w:sz="8" w:color="EAF1DD"/>
            </w:tcBorders>
            <w:shd w:val="clear" w:color="auto" w:fill="EAF1DD"/>
          </w:tcPr>
          <w:p>
            <w:pPr>
              <w:jc w:val="right"/>
              <w:spacing w:after="0"/>
              <w:rPr>
                <w:sz w:val="20"/>
                <w:szCs w:val="20"/>
                <w:color w:val="auto"/>
              </w:rPr>
            </w:pPr>
            <w:r>
              <w:rPr>
                <w:rFonts w:ascii="Arial" w:cs="Arial" w:eastAsia="Arial" w:hAnsi="Arial"/>
                <w:sz w:val="16"/>
                <w:szCs w:val="16"/>
                <w:color w:val="auto"/>
              </w:rPr>
              <w:t>(3,702)</w:t>
            </w:r>
          </w:p>
        </w:tc>
        <w:tc>
          <w:tcPr>
            <w:tcW w:w="820" w:type="dxa"/>
            <w:vAlign w:val="bottom"/>
            <w:tcBorders>
              <w:bottom w:val="single" w:sz="8" w:color="EAF1DD"/>
            </w:tcBorders>
            <w:gridSpan w:val="2"/>
            <w:shd w:val="clear" w:color="auto" w:fill="EAF1DD"/>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EAF1DD"/>
            </w:tcBorders>
            <w:shd w:val="clear" w:color="auto" w:fill="EAF1DD"/>
          </w:tcPr>
          <w:p>
            <w:pPr>
              <w:spacing w:after="0"/>
              <w:rPr>
                <w:sz w:val="20"/>
                <w:szCs w:val="20"/>
                <w:color w:val="auto"/>
              </w:rPr>
            </w:pPr>
          </w:p>
        </w:tc>
        <w:tc>
          <w:tcPr>
            <w:tcW w:w="140" w:type="dxa"/>
            <w:vAlign w:val="bottom"/>
            <w:tcBorders>
              <w:bottom w:val="single" w:sz="8" w:color="EAF1DD"/>
            </w:tcBorders>
            <w:shd w:val="clear" w:color="auto" w:fill="EAF1DD"/>
          </w:tcPr>
          <w:p>
            <w:pPr>
              <w:spacing w:after="0"/>
              <w:rPr>
                <w:sz w:val="20"/>
                <w:szCs w:val="20"/>
                <w:color w:val="auto"/>
              </w:rPr>
            </w:pPr>
          </w:p>
        </w:tc>
        <w:tc>
          <w:tcPr>
            <w:tcW w:w="520" w:type="dxa"/>
            <w:vAlign w:val="bottom"/>
            <w:tcBorders>
              <w:bottom w:val="single" w:sz="8" w:color="EAF1DD"/>
            </w:tcBorders>
            <w:shd w:val="clear" w:color="auto" w:fill="EAF1DD"/>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AF1DD"/>
            </w:tcBorders>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0%</w:t>
            </w:r>
          </w:p>
        </w:tc>
        <w:tc>
          <w:tcPr>
            <w:tcW w:w="140" w:type="dxa"/>
            <w:vAlign w:val="bottom"/>
            <w:tcBorders>
              <w:bottom w:val="single" w:sz="8" w:color="EAF1DD"/>
            </w:tcBorders>
            <w:shd w:val="clear" w:color="auto" w:fill="EAF1DD"/>
          </w:tcPr>
          <w:p>
            <w:pPr>
              <w:spacing w:after="0"/>
              <w:rPr>
                <w:sz w:val="20"/>
                <w:szCs w:val="20"/>
                <w:color w:val="auto"/>
              </w:rPr>
            </w:pPr>
          </w:p>
        </w:tc>
        <w:tc>
          <w:tcPr>
            <w:tcW w:w="62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1DD"/>
            </w:tcBorders>
            <w:shd w:val="clear" w:color="auto" w:fill="EAF1DD"/>
          </w:tcPr>
          <w:p>
            <w:pPr>
              <w:spacing w:after="0"/>
              <w:rPr>
                <w:sz w:val="20"/>
                <w:szCs w:val="20"/>
                <w:color w:val="auto"/>
              </w:rPr>
            </w:pPr>
          </w:p>
        </w:tc>
        <w:tc>
          <w:tcPr>
            <w:tcW w:w="780" w:type="dxa"/>
            <w:vAlign w:val="bottom"/>
            <w:tcBorders>
              <w:bottom w:val="single" w:sz="8" w:color="EAF1DD"/>
            </w:tcBorders>
            <w:gridSpan w:val="3"/>
            <w:shd w:val="clear" w:color="auto" w:fill="EAF1DD"/>
          </w:tcPr>
          <w:p>
            <w:pPr>
              <w:jc w:val="right"/>
              <w:ind w:right="60"/>
              <w:spacing w:after="0"/>
              <w:rPr>
                <w:sz w:val="20"/>
                <w:szCs w:val="20"/>
                <w:color w:val="auto"/>
              </w:rPr>
            </w:pPr>
            <w:r>
              <w:rPr>
                <w:rFonts w:ascii="Arial" w:cs="Arial" w:eastAsia="Arial" w:hAnsi="Arial"/>
                <w:sz w:val="16"/>
                <w:szCs w:val="16"/>
                <w:color w:val="auto"/>
              </w:rPr>
              <w:t>(3,702)</w:t>
            </w:r>
          </w:p>
        </w:tc>
        <w:tc>
          <w:tcPr>
            <w:tcW w:w="760" w:type="dxa"/>
            <w:vAlign w:val="bottom"/>
            <w:tcBorders>
              <w:bottom w:val="single" w:sz="8" w:color="EAF1DD"/>
            </w:tcBorders>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-11%</w:t>
            </w:r>
          </w:p>
        </w:tc>
        <w:tc>
          <w:tcPr>
            <w:tcW w:w="760" w:type="dxa"/>
            <w:vAlign w:val="bottom"/>
            <w:tcBorders>
              <w:bottom w:val="single" w:sz="8" w:color="EAF1DD"/>
            </w:tcBorders>
            <w:gridSpan w:val="2"/>
            <w:shd w:val="clear" w:color="auto" w:fill="EAF1DD"/>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AF1DD"/>
            </w:tcBorders>
            <w:gridSpan w:val="2"/>
            <w:shd w:val="clear" w:color="auto" w:fill="EAF1DD"/>
          </w:tcPr>
          <w:p>
            <w:pPr>
              <w:jc w:val="right"/>
              <w:ind w:right="44"/>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EAF1DD"/>
            </w:tcBorders>
            <w:shd w:val="clear" w:color="auto" w:fill="EAF1DD"/>
          </w:tcPr>
          <w:p>
            <w:pPr>
              <w:spacing w:after="0"/>
              <w:rPr>
                <w:sz w:val="20"/>
                <w:szCs w:val="20"/>
                <w:color w:val="auto"/>
              </w:rPr>
            </w:pPr>
          </w:p>
        </w:tc>
        <w:tc>
          <w:tcPr>
            <w:tcW w:w="960" w:type="dxa"/>
            <w:vAlign w:val="bottom"/>
            <w:tcBorders>
              <w:bottom w:val="single" w:sz="8" w:color="auto"/>
              <w:right w:val="single" w:sz="8" w:color="808080"/>
            </w:tcBorders>
            <w:shd w:val="clear" w:color="auto" w:fill="EAF1DD"/>
          </w:tcPr>
          <w:p>
            <w:pPr>
              <w:jc w:val="right"/>
              <w:ind w:right="277"/>
              <w:spacing w:after="0"/>
              <w:rPr>
                <w:sz w:val="20"/>
                <w:szCs w:val="20"/>
                <w:color w:val="auto"/>
              </w:rPr>
            </w:pPr>
            <w:r>
              <w:rPr>
                <w:rFonts w:ascii="Arial" w:cs="Arial" w:eastAsia="Arial" w:hAnsi="Arial"/>
                <w:sz w:val="18"/>
                <w:szCs w:val="18"/>
                <w:color w:val="auto"/>
              </w:rPr>
              <w:t>¤</w:t>
            </w:r>
          </w:p>
        </w:tc>
      </w:tr>
      <w:tr>
        <w:trPr>
          <w:trHeight w:val="190"/>
        </w:trPr>
        <w:tc>
          <w:tcPr>
            <w:tcW w:w="3340" w:type="dxa"/>
            <w:vAlign w:val="bottom"/>
            <w:tcBorders>
              <w:left w:val="single" w:sz="8" w:color="808080"/>
            </w:tcBorders>
          </w:tcPr>
          <w:p>
            <w:pPr>
              <w:ind w:left="240"/>
              <w:spacing w:after="0"/>
              <w:rPr>
                <w:sz w:val="20"/>
                <w:szCs w:val="20"/>
                <w:color w:val="auto"/>
              </w:rPr>
            </w:pPr>
            <w:r>
              <w:rPr>
                <w:rFonts w:ascii="Arial" w:cs="Arial" w:eastAsia="Arial" w:hAnsi="Arial"/>
                <w:sz w:val="16"/>
                <w:szCs w:val="16"/>
                <w:color w:val="auto"/>
              </w:rPr>
              <w:t>Operating income</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5,366</w:t>
            </w:r>
          </w:p>
        </w:tc>
        <w:tc>
          <w:tcPr>
            <w:tcW w:w="14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140" w:type="dxa"/>
            <w:vAlign w:val="bottom"/>
          </w:tcPr>
          <w:p>
            <w:pPr>
              <w:spacing w:after="0"/>
              <w:rPr>
                <w:sz w:val="16"/>
                <w:szCs w:val="16"/>
                <w:color w:val="auto"/>
              </w:rPr>
            </w:pPr>
          </w:p>
        </w:tc>
        <w:tc>
          <w:tcPr>
            <w:tcW w:w="6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587%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6%</w:t>
            </w:r>
          </w:p>
        </w:tc>
        <w:tc>
          <w:tcPr>
            <w:tcW w:w="1080" w:type="dxa"/>
            <w:vAlign w:val="bottom"/>
            <w:tcBorders>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381%</w:t>
            </w:r>
          </w:p>
        </w:tc>
      </w:tr>
      <w:tr>
        <w:trPr>
          <w:trHeight w:val="216"/>
        </w:trPr>
        <w:tc>
          <w:tcPr>
            <w:tcW w:w="3340" w:type="dxa"/>
            <w:vAlign w:val="bottom"/>
            <w:tcBorders>
              <w:left w:val="single" w:sz="8" w:color="808080"/>
              <w:bottom w:val="single" w:sz="8" w:color="EAF1DD"/>
            </w:tcBorders>
            <w:shd w:val="clear" w:color="auto" w:fill="EAF1DD"/>
          </w:tcPr>
          <w:p>
            <w:pPr>
              <w:ind w:left="80"/>
              <w:spacing w:after="0"/>
              <w:rPr>
                <w:sz w:val="20"/>
                <w:szCs w:val="20"/>
                <w:color w:val="auto"/>
              </w:rPr>
            </w:pPr>
            <w:r>
              <w:rPr>
                <w:rFonts w:ascii="Arial" w:cs="Arial" w:eastAsia="Arial" w:hAnsi="Arial"/>
                <w:sz w:val="16"/>
                <w:szCs w:val="16"/>
                <w:color w:val="auto"/>
              </w:rPr>
              <w:t>Other income (expense), net</w:t>
            </w:r>
          </w:p>
        </w:tc>
        <w:tc>
          <w:tcPr>
            <w:tcW w:w="68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EAF1DD"/>
            </w:tcBorders>
            <w:shd w:val="clear" w:color="auto" w:fill="EAF1DD"/>
          </w:tcPr>
          <w:p>
            <w:pPr>
              <w:spacing w:after="0"/>
              <w:rPr>
                <w:sz w:val="18"/>
                <w:szCs w:val="18"/>
                <w:color w:val="auto"/>
              </w:rPr>
            </w:pPr>
          </w:p>
        </w:tc>
        <w:tc>
          <w:tcPr>
            <w:tcW w:w="68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EAF1DD"/>
            </w:tcBorders>
            <w:shd w:val="clear" w:color="auto" w:fill="EAF1DD"/>
          </w:tcPr>
          <w:p>
            <w:pPr>
              <w:spacing w:after="0"/>
              <w:rPr>
                <w:sz w:val="18"/>
                <w:szCs w:val="18"/>
                <w:color w:val="auto"/>
              </w:rPr>
            </w:pPr>
          </w:p>
        </w:tc>
        <w:tc>
          <w:tcPr>
            <w:tcW w:w="140" w:type="dxa"/>
            <w:vAlign w:val="bottom"/>
            <w:tcBorders>
              <w:bottom w:val="single" w:sz="8" w:color="auto"/>
            </w:tcBorders>
            <w:shd w:val="clear" w:color="auto" w:fill="EAF1DD"/>
          </w:tcPr>
          <w:p>
            <w:pPr>
              <w:spacing w:after="0"/>
              <w:rPr>
                <w:sz w:val="18"/>
                <w:szCs w:val="18"/>
                <w:color w:val="auto"/>
              </w:rPr>
            </w:pPr>
          </w:p>
        </w:tc>
        <w:tc>
          <w:tcPr>
            <w:tcW w:w="52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EAF1DD"/>
            </w:tcBorders>
            <w:shd w:val="clear" w:color="auto" w:fill="EAF1DD"/>
          </w:tcPr>
          <w:p>
            <w:pPr>
              <w:spacing w:after="0"/>
              <w:rPr>
                <w:sz w:val="18"/>
                <w:szCs w:val="18"/>
                <w:color w:val="auto"/>
              </w:rPr>
            </w:pPr>
          </w:p>
        </w:tc>
        <w:tc>
          <w:tcPr>
            <w:tcW w:w="660" w:type="dxa"/>
            <w:vAlign w:val="bottom"/>
            <w:tcBorders>
              <w:bottom w:val="single" w:sz="8" w:color="auto"/>
            </w:tcBorders>
            <w:shd w:val="clear" w:color="auto" w:fill="EAF1DD"/>
          </w:tcPr>
          <w:p>
            <w:pPr>
              <w:jc w:val="right"/>
              <w:ind w:right="64"/>
              <w:spacing w:after="0"/>
              <w:rPr>
                <w:sz w:val="20"/>
                <w:szCs w:val="20"/>
                <w:color w:val="auto"/>
              </w:rPr>
            </w:pPr>
            <w:r>
              <w:rPr>
                <w:rFonts w:ascii="Arial" w:cs="Arial" w:eastAsia="Arial" w:hAnsi="Arial"/>
                <w:sz w:val="16"/>
                <w:szCs w:val="16"/>
                <w:color w:val="auto"/>
              </w:rPr>
              <w:t>0%</w:t>
            </w:r>
          </w:p>
        </w:tc>
        <w:tc>
          <w:tcPr>
            <w:tcW w:w="140" w:type="dxa"/>
            <w:vAlign w:val="bottom"/>
            <w:tcBorders>
              <w:bottom w:val="single" w:sz="8" w:color="EAF1DD"/>
            </w:tcBorders>
            <w:shd w:val="clear" w:color="auto" w:fill="EAF1DD"/>
          </w:tcPr>
          <w:p>
            <w:pPr>
              <w:spacing w:after="0"/>
              <w:rPr>
                <w:sz w:val="18"/>
                <w:szCs w:val="18"/>
                <w:color w:val="auto"/>
              </w:rPr>
            </w:pPr>
          </w:p>
        </w:tc>
        <w:tc>
          <w:tcPr>
            <w:tcW w:w="62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-133%</w:t>
            </w:r>
          </w:p>
        </w:tc>
        <w:tc>
          <w:tcPr>
            <w:tcW w:w="20" w:type="dxa"/>
            <w:vAlign w:val="bottom"/>
            <w:tcBorders>
              <w:bottom w:val="single" w:sz="8" w:color="EAF1DD"/>
            </w:tcBorders>
            <w:shd w:val="clear" w:color="auto" w:fill="EAF1DD"/>
          </w:tcPr>
          <w:p>
            <w:pPr>
              <w:spacing w:after="0"/>
              <w:rPr>
                <w:sz w:val="18"/>
                <w:szCs w:val="18"/>
                <w:color w:val="auto"/>
              </w:rPr>
            </w:pPr>
          </w:p>
        </w:tc>
        <w:tc>
          <w:tcPr>
            <w:tcW w:w="120" w:type="dxa"/>
            <w:vAlign w:val="bottom"/>
            <w:tcBorders>
              <w:bottom w:val="single" w:sz="8" w:color="EAF1DD"/>
            </w:tcBorders>
            <w:shd w:val="clear" w:color="auto" w:fill="EAF1DD"/>
          </w:tcPr>
          <w:p>
            <w:pPr>
              <w:spacing w:after="0"/>
              <w:rPr>
                <w:sz w:val="18"/>
                <w:szCs w:val="18"/>
                <w:color w:val="auto"/>
              </w:rPr>
            </w:pPr>
          </w:p>
        </w:tc>
        <w:tc>
          <w:tcPr>
            <w:tcW w:w="660" w:type="dxa"/>
            <w:vAlign w:val="bottom"/>
            <w:tcBorders>
              <w:bottom w:val="single" w:sz="8" w:color="auto"/>
            </w:tcBorders>
            <w:gridSpan w:val="2"/>
            <w:shd w:val="clear" w:color="auto" w:fill="EAF1DD"/>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EAF1DD"/>
            </w:tcBorders>
            <w:shd w:val="clear" w:color="auto" w:fill="EAF1DD"/>
          </w:tcPr>
          <w:p>
            <w:pPr>
              <w:spacing w:after="0"/>
              <w:rPr>
                <w:sz w:val="18"/>
                <w:szCs w:val="18"/>
                <w:color w:val="auto"/>
              </w:rPr>
            </w:pPr>
          </w:p>
        </w:tc>
        <w:tc>
          <w:tcPr>
            <w:tcW w:w="640" w:type="dxa"/>
            <w:vAlign w:val="bottom"/>
            <w:tcBorders>
              <w:bottom w:val="single" w:sz="8" w:color="auto"/>
            </w:tcBorders>
            <w:shd w:val="clear" w:color="auto" w:fill="EAF1DD"/>
          </w:tcPr>
          <w:p>
            <w:pPr>
              <w:jc w:val="right"/>
              <w:ind w:right="64"/>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EAF1DD"/>
            </w:tcBorders>
            <w:shd w:val="clear" w:color="auto" w:fill="EAF1DD"/>
          </w:tcPr>
          <w:p>
            <w:pPr>
              <w:spacing w:after="0"/>
              <w:rPr>
                <w:sz w:val="18"/>
                <w:szCs w:val="18"/>
                <w:color w:val="auto"/>
              </w:rPr>
            </w:pPr>
          </w:p>
        </w:tc>
        <w:tc>
          <w:tcPr>
            <w:tcW w:w="66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EAF1DD"/>
            </w:tcBorders>
            <w:shd w:val="clear" w:color="auto" w:fill="EAF1DD"/>
          </w:tcPr>
          <w:p>
            <w:pPr>
              <w:spacing w:after="0"/>
              <w:rPr>
                <w:sz w:val="18"/>
                <w:szCs w:val="18"/>
                <w:color w:val="auto"/>
              </w:rPr>
            </w:pPr>
          </w:p>
        </w:tc>
        <w:tc>
          <w:tcPr>
            <w:tcW w:w="640" w:type="dxa"/>
            <w:vAlign w:val="bottom"/>
            <w:tcBorders>
              <w:bottom w:val="single" w:sz="8" w:color="auto"/>
            </w:tcBorders>
            <w:shd w:val="clear" w:color="auto" w:fill="EAF1DD"/>
          </w:tcPr>
          <w:p>
            <w:pPr>
              <w:jc w:val="right"/>
              <w:ind w:right="44"/>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EAF1DD"/>
            </w:tcBorders>
            <w:shd w:val="clear" w:color="auto" w:fill="EAF1DD"/>
          </w:tcPr>
          <w:p>
            <w:pPr>
              <w:spacing w:after="0"/>
              <w:rPr>
                <w:sz w:val="18"/>
                <w:szCs w:val="18"/>
                <w:color w:val="auto"/>
              </w:rPr>
            </w:pPr>
          </w:p>
        </w:tc>
        <w:tc>
          <w:tcPr>
            <w:tcW w:w="960" w:type="dxa"/>
            <w:vAlign w:val="bottom"/>
            <w:tcBorders>
              <w:bottom w:val="single" w:sz="8" w:color="auto"/>
              <w:right w:val="single" w:sz="8" w:color="808080"/>
            </w:tcBorders>
            <w:shd w:val="clear" w:color="auto" w:fill="EAF1DD"/>
          </w:tcPr>
          <w:p>
            <w:pPr>
              <w:jc w:val="right"/>
              <w:ind w:right="277"/>
              <w:spacing w:after="0"/>
              <w:rPr>
                <w:sz w:val="20"/>
                <w:szCs w:val="20"/>
                <w:color w:val="auto"/>
              </w:rPr>
            </w:pPr>
            <w:r>
              <w:rPr>
                <w:rFonts w:ascii="Arial" w:cs="Arial" w:eastAsia="Arial" w:hAnsi="Arial"/>
                <w:sz w:val="16"/>
                <w:szCs w:val="16"/>
                <w:color w:val="auto"/>
              </w:rPr>
              <w:t>-113%</w:t>
            </w:r>
          </w:p>
        </w:tc>
      </w:tr>
      <w:tr>
        <w:trPr>
          <w:trHeight w:val="210"/>
        </w:trPr>
        <w:tc>
          <w:tcPr>
            <w:tcW w:w="3340" w:type="dxa"/>
            <w:vAlign w:val="bottom"/>
            <w:tcBorders>
              <w:left w:val="single" w:sz="8" w:color="808080"/>
            </w:tcBorders>
          </w:tcPr>
          <w:p>
            <w:pPr>
              <w:ind w:left="240"/>
              <w:spacing w:after="0"/>
              <w:rPr>
                <w:sz w:val="20"/>
                <w:szCs w:val="20"/>
                <w:color w:val="auto"/>
              </w:rPr>
            </w:pPr>
            <w:r>
              <w:rPr>
                <w:rFonts w:ascii="Arial" w:cs="Arial" w:eastAsia="Arial" w:hAnsi="Arial"/>
                <w:sz w:val="16"/>
                <w:szCs w:val="16"/>
                <w:color w:val="auto"/>
              </w:rPr>
              <w:t>Income before income taxes</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5,362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793</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576%</w:t>
            </w: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8,464</w:t>
            </w:r>
          </w:p>
        </w:tc>
        <w:tc>
          <w:tcPr>
            <w:tcW w:w="760" w:type="dxa"/>
            <w:vAlign w:val="bottom"/>
            <w:gridSpan w:val="2"/>
          </w:tcPr>
          <w:p>
            <w:pPr>
              <w:jc w:val="right"/>
              <w:ind w:right="64"/>
              <w:spacing w:after="0"/>
              <w:rPr>
                <w:sz w:val="20"/>
                <w:szCs w:val="20"/>
                <w:color w:val="auto"/>
              </w:rPr>
            </w:pPr>
            <w:r>
              <w:rPr>
                <w:rFonts w:ascii="Arial" w:cs="Arial" w:eastAsia="Arial" w:hAnsi="Arial"/>
                <w:sz w:val="16"/>
                <w:szCs w:val="16"/>
                <w:color w:val="auto"/>
              </w:rPr>
              <w:t>25%</w:t>
            </w:r>
          </w:p>
        </w:tc>
        <w:tc>
          <w:tcPr>
            <w:tcW w:w="760" w:type="dxa"/>
            <w:vAlign w:val="bottom"/>
            <w:gridSpan w:val="2"/>
          </w:tcPr>
          <w:p>
            <w:pPr>
              <w:jc w:val="right"/>
              <w:ind w:right="1"/>
              <w:spacing w:after="0"/>
              <w:rPr>
                <w:sz w:val="20"/>
                <w:szCs w:val="20"/>
                <w:color w:val="auto"/>
              </w:rPr>
            </w:pPr>
            <w:r>
              <w:rPr>
                <w:rFonts w:ascii="Arial" w:cs="Arial" w:eastAsia="Arial" w:hAnsi="Arial"/>
                <w:sz w:val="16"/>
                <w:szCs w:val="16"/>
                <w:color w:val="auto"/>
              </w:rPr>
              <w:t>1,638</w:t>
            </w:r>
          </w:p>
        </w:tc>
        <w:tc>
          <w:tcPr>
            <w:tcW w:w="760" w:type="dxa"/>
            <w:vAlign w:val="bottom"/>
            <w:gridSpan w:val="2"/>
          </w:tcPr>
          <w:p>
            <w:pPr>
              <w:jc w:val="right"/>
              <w:ind w:right="44"/>
              <w:spacing w:after="0"/>
              <w:rPr>
                <w:sz w:val="20"/>
                <w:szCs w:val="20"/>
                <w:color w:val="auto"/>
              </w:rPr>
            </w:pPr>
            <w:r>
              <w:rPr>
                <w:rFonts w:ascii="Arial" w:cs="Arial" w:eastAsia="Arial" w:hAnsi="Arial"/>
                <w:sz w:val="16"/>
                <w:szCs w:val="16"/>
                <w:color w:val="auto"/>
              </w:rPr>
              <w:t>6%</w:t>
            </w:r>
          </w:p>
        </w:tc>
        <w:tc>
          <w:tcPr>
            <w:tcW w:w="1080" w:type="dxa"/>
            <w:vAlign w:val="bottom"/>
            <w:tcBorders>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417%</w:t>
            </w:r>
          </w:p>
        </w:tc>
      </w:tr>
      <w:tr>
        <w:trPr>
          <w:trHeight w:val="210"/>
        </w:trPr>
        <w:tc>
          <w:tcPr>
            <w:tcW w:w="3340" w:type="dxa"/>
            <w:vAlign w:val="bottom"/>
            <w:tcBorders>
              <w:left w:val="single" w:sz="8" w:color="808080"/>
              <w:bottom w:val="single" w:sz="8" w:color="EAF1DD"/>
            </w:tcBorders>
            <w:shd w:val="clear" w:color="auto" w:fill="EAF1DD"/>
          </w:tcPr>
          <w:p>
            <w:pPr>
              <w:ind w:left="240"/>
              <w:spacing w:after="0"/>
              <w:rPr>
                <w:sz w:val="20"/>
                <w:szCs w:val="20"/>
                <w:color w:val="auto"/>
              </w:rPr>
            </w:pPr>
            <w:r>
              <w:rPr>
                <w:rFonts w:ascii="Arial" w:cs="Arial" w:eastAsia="Arial" w:hAnsi="Arial"/>
                <w:sz w:val="16"/>
                <w:szCs w:val="16"/>
                <w:color w:val="auto"/>
              </w:rPr>
              <w:t>Income tax benefit (provision)</w:t>
            </w:r>
          </w:p>
        </w:tc>
        <w:tc>
          <w:tcPr>
            <w:tcW w:w="68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(1,987)</w:t>
            </w:r>
          </w:p>
        </w:tc>
        <w:tc>
          <w:tcPr>
            <w:tcW w:w="820" w:type="dxa"/>
            <w:vAlign w:val="bottom"/>
            <w:tcBorders>
              <w:bottom w:val="single" w:sz="8" w:color="EAF1DD"/>
            </w:tcBorders>
            <w:gridSpan w:val="2"/>
            <w:shd w:val="clear" w:color="auto" w:fill="EAF1DD"/>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EAF1DD"/>
            </w:tcBorders>
            <w:shd w:val="clear" w:color="auto" w:fill="EAF1DD"/>
          </w:tcPr>
          <w:p>
            <w:pPr>
              <w:spacing w:after="0"/>
              <w:rPr>
                <w:sz w:val="18"/>
                <w:szCs w:val="18"/>
                <w:color w:val="auto"/>
              </w:rPr>
            </w:pPr>
          </w:p>
        </w:tc>
        <w:tc>
          <w:tcPr>
            <w:tcW w:w="140" w:type="dxa"/>
            <w:vAlign w:val="bottom"/>
            <w:tcBorders>
              <w:bottom w:val="single" w:sz="8" w:color="EAF1DD"/>
            </w:tcBorders>
            <w:shd w:val="clear" w:color="auto" w:fill="EAF1DD"/>
          </w:tcPr>
          <w:p>
            <w:pPr>
              <w:spacing w:after="0"/>
              <w:rPr>
                <w:sz w:val="18"/>
                <w:szCs w:val="18"/>
                <w:color w:val="auto"/>
              </w:rPr>
            </w:pPr>
          </w:p>
        </w:tc>
        <w:tc>
          <w:tcPr>
            <w:tcW w:w="520" w:type="dxa"/>
            <w:vAlign w:val="bottom"/>
            <w:tcBorders>
              <w:bottom w:val="single" w:sz="8" w:color="auto"/>
            </w:tcBorders>
            <w:shd w:val="clear" w:color="auto" w:fill="EAF1DD"/>
          </w:tcPr>
          <w:p>
            <w:pPr>
              <w:jc w:val="right"/>
              <w:spacing w:after="0"/>
              <w:rPr>
                <w:sz w:val="20"/>
                <w:szCs w:val="20"/>
                <w:color w:val="auto"/>
              </w:rPr>
            </w:pPr>
            <w:r>
              <w:rPr>
                <w:rFonts w:ascii="Arial" w:cs="Arial" w:eastAsia="Arial" w:hAnsi="Arial"/>
                <w:sz w:val="16"/>
                <w:szCs w:val="16"/>
                <w:color w:val="auto"/>
              </w:rPr>
              <w:t>194</w:t>
            </w:r>
          </w:p>
        </w:tc>
        <w:tc>
          <w:tcPr>
            <w:tcW w:w="800" w:type="dxa"/>
            <w:vAlign w:val="bottom"/>
            <w:tcBorders>
              <w:bottom w:val="single" w:sz="8" w:color="EAF1DD"/>
            </w:tcBorders>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EAF1DD"/>
            </w:tcBorders>
            <w:shd w:val="clear" w:color="auto" w:fill="EAF1DD"/>
          </w:tcPr>
          <w:p>
            <w:pPr>
              <w:spacing w:after="0"/>
              <w:rPr>
                <w:sz w:val="18"/>
                <w:szCs w:val="18"/>
                <w:color w:val="auto"/>
              </w:rPr>
            </w:pPr>
          </w:p>
        </w:tc>
        <w:tc>
          <w:tcPr>
            <w:tcW w:w="620" w:type="dxa"/>
            <w:vAlign w:val="bottom"/>
            <w:tcBorders>
              <w:bottom w:val="single" w:sz="8" w:color="auto"/>
            </w:tcBorders>
            <w:shd w:val="clear" w:color="auto" w:fill="EAF1DD"/>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EAF1DD"/>
            </w:tcBorders>
            <w:shd w:val="clear" w:color="auto" w:fill="EAF1DD"/>
          </w:tcPr>
          <w:p>
            <w:pPr>
              <w:spacing w:after="0"/>
              <w:rPr>
                <w:sz w:val="18"/>
                <w:szCs w:val="18"/>
                <w:color w:val="auto"/>
              </w:rPr>
            </w:pPr>
          </w:p>
        </w:tc>
        <w:tc>
          <w:tcPr>
            <w:tcW w:w="780" w:type="dxa"/>
            <w:vAlign w:val="bottom"/>
            <w:tcBorders>
              <w:bottom w:val="single" w:sz="8" w:color="EAF1DD"/>
            </w:tcBorders>
            <w:gridSpan w:val="3"/>
            <w:shd w:val="clear" w:color="auto" w:fill="EAF1DD"/>
          </w:tcPr>
          <w:p>
            <w:pPr>
              <w:jc w:val="right"/>
              <w:ind w:right="60"/>
              <w:spacing w:after="0"/>
              <w:rPr>
                <w:sz w:val="20"/>
                <w:szCs w:val="20"/>
                <w:color w:val="auto"/>
              </w:rPr>
            </w:pPr>
            <w:r>
              <w:rPr>
                <w:rFonts w:ascii="Arial" w:cs="Arial" w:eastAsia="Arial" w:hAnsi="Arial"/>
                <w:sz w:val="16"/>
                <w:szCs w:val="16"/>
                <w:color w:val="auto"/>
              </w:rPr>
              <w:t>(2,956)</w:t>
            </w:r>
          </w:p>
        </w:tc>
        <w:tc>
          <w:tcPr>
            <w:tcW w:w="760" w:type="dxa"/>
            <w:vAlign w:val="bottom"/>
            <w:tcBorders>
              <w:bottom w:val="single" w:sz="8" w:color="EAF1DD"/>
            </w:tcBorders>
            <w:gridSpan w:val="2"/>
            <w:shd w:val="clear" w:color="auto" w:fill="EAF1DD"/>
          </w:tcPr>
          <w:p>
            <w:pPr>
              <w:jc w:val="right"/>
              <w:ind w:right="64"/>
              <w:spacing w:after="0"/>
              <w:rPr>
                <w:sz w:val="20"/>
                <w:szCs w:val="20"/>
                <w:color w:val="auto"/>
              </w:rPr>
            </w:pPr>
            <w:r>
              <w:rPr>
                <w:rFonts w:ascii="Arial" w:cs="Arial" w:eastAsia="Arial" w:hAnsi="Arial"/>
                <w:sz w:val="16"/>
                <w:szCs w:val="16"/>
                <w:color w:val="auto"/>
              </w:rPr>
              <w:t>-9%</w:t>
            </w:r>
          </w:p>
        </w:tc>
        <w:tc>
          <w:tcPr>
            <w:tcW w:w="760" w:type="dxa"/>
            <w:vAlign w:val="bottom"/>
            <w:tcBorders>
              <w:bottom w:val="single" w:sz="8" w:color="EAF1DD"/>
            </w:tcBorders>
            <w:gridSpan w:val="2"/>
            <w:shd w:val="clear" w:color="auto" w:fill="EAF1DD"/>
          </w:tcPr>
          <w:p>
            <w:pPr>
              <w:jc w:val="right"/>
              <w:spacing w:after="0"/>
              <w:rPr>
                <w:sz w:val="20"/>
                <w:szCs w:val="20"/>
                <w:color w:val="auto"/>
              </w:rPr>
            </w:pPr>
            <w:r>
              <w:rPr>
                <w:rFonts w:ascii="Arial" w:cs="Arial" w:eastAsia="Arial" w:hAnsi="Arial"/>
                <w:sz w:val="16"/>
                <w:szCs w:val="16"/>
                <w:color w:val="auto"/>
              </w:rPr>
              <w:t>(81)</w:t>
            </w:r>
          </w:p>
        </w:tc>
        <w:tc>
          <w:tcPr>
            <w:tcW w:w="760" w:type="dxa"/>
            <w:vAlign w:val="bottom"/>
            <w:tcBorders>
              <w:bottom w:val="single" w:sz="8" w:color="EAF1DD"/>
            </w:tcBorders>
            <w:gridSpan w:val="2"/>
            <w:shd w:val="clear" w:color="auto" w:fill="EAF1DD"/>
          </w:tcPr>
          <w:p>
            <w:pPr>
              <w:jc w:val="right"/>
              <w:ind w:right="44"/>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EAF1DD"/>
            </w:tcBorders>
            <w:shd w:val="clear" w:color="auto" w:fill="EAF1DD"/>
          </w:tcPr>
          <w:p>
            <w:pPr>
              <w:spacing w:after="0"/>
              <w:rPr>
                <w:sz w:val="18"/>
                <w:szCs w:val="18"/>
                <w:color w:val="auto"/>
              </w:rPr>
            </w:pPr>
          </w:p>
        </w:tc>
        <w:tc>
          <w:tcPr>
            <w:tcW w:w="960" w:type="dxa"/>
            <w:vAlign w:val="bottom"/>
            <w:tcBorders>
              <w:bottom w:val="single" w:sz="8" w:color="auto"/>
              <w:right w:val="single" w:sz="8" w:color="808080"/>
            </w:tcBorders>
            <w:shd w:val="clear" w:color="auto" w:fill="EAF1DD"/>
          </w:tcPr>
          <w:p>
            <w:pPr>
              <w:jc w:val="right"/>
              <w:ind w:right="277"/>
              <w:spacing w:after="0" w:line="202" w:lineRule="exact"/>
              <w:rPr>
                <w:sz w:val="20"/>
                <w:szCs w:val="20"/>
                <w:color w:val="auto"/>
              </w:rPr>
            </w:pPr>
            <w:r>
              <w:rPr>
                <w:rFonts w:ascii="Arial" w:cs="Arial" w:eastAsia="Arial" w:hAnsi="Arial"/>
                <w:sz w:val="18"/>
                <w:szCs w:val="18"/>
                <w:color w:val="auto"/>
              </w:rPr>
              <w:t>¤</w:t>
            </w:r>
          </w:p>
        </w:tc>
      </w:tr>
      <w:tr>
        <w:trPr>
          <w:trHeight w:val="216"/>
        </w:trPr>
        <w:tc>
          <w:tcPr>
            <w:tcW w:w="3340" w:type="dxa"/>
            <w:vAlign w:val="bottom"/>
            <w:tcBorders>
              <w:left w:val="single" w:sz="8" w:color="808080"/>
            </w:tcBorders>
          </w:tcPr>
          <w:p>
            <w:pPr>
              <w:ind w:left="240"/>
              <w:spacing w:after="0"/>
              <w:rPr>
                <w:sz w:val="20"/>
                <w:szCs w:val="20"/>
                <w:color w:val="auto"/>
              </w:rPr>
            </w:pPr>
            <w:r>
              <w:rPr>
                <w:rFonts w:ascii="Arial" w:cs="Arial" w:eastAsia="Arial" w:hAnsi="Arial"/>
                <w:sz w:val="16"/>
                <w:szCs w:val="16"/>
                <w:color w:val="auto"/>
              </w:rPr>
              <w:t>Net income</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$ 3,375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987</w:t>
            </w:r>
          </w:p>
        </w:tc>
        <w:tc>
          <w:tcPr>
            <w:tcW w:w="800" w:type="dxa"/>
            <w:vAlign w:val="bottom"/>
            <w:gridSpan w:val="2"/>
          </w:tcPr>
          <w:p>
            <w:pPr>
              <w:jc w:val="right"/>
              <w:ind w:right="64"/>
              <w:spacing w:after="0"/>
              <w:rPr>
                <w:sz w:val="20"/>
                <w:szCs w:val="20"/>
                <w:color w:val="auto"/>
              </w:rPr>
            </w:pPr>
            <w:r>
              <w:rPr>
                <w:rFonts w:ascii="Arial" w:cs="Arial" w:eastAsia="Arial" w:hAnsi="Arial"/>
                <w:sz w:val="16"/>
                <w:szCs w:val="16"/>
                <w:color w:val="auto"/>
              </w:rPr>
              <w:t>10%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$ 5,508</w:t>
            </w:r>
          </w:p>
        </w:tc>
        <w:tc>
          <w:tcPr>
            <w:tcW w:w="760" w:type="dxa"/>
            <w:vAlign w:val="bottom"/>
            <w:gridSpan w:val="2"/>
          </w:tcPr>
          <w:p>
            <w:pPr>
              <w:jc w:val="right"/>
              <w:ind w:right="64"/>
              <w:spacing w:after="0"/>
              <w:rPr>
                <w:sz w:val="20"/>
                <w:szCs w:val="20"/>
                <w:color w:val="auto"/>
              </w:rPr>
            </w:pPr>
            <w:r>
              <w:rPr>
                <w:rFonts w:ascii="Arial" w:cs="Arial" w:eastAsia="Arial" w:hAnsi="Arial"/>
                <w:sz w:val="16"/>
                <w:szCs w:val="16"/>
                <w:color w:val="auto"/>
              </w:rPr>
              <w:t>16%</w:t>
            </w:r>
          </w:p>
        </w:tc>
        <w:tc>
          <w:tcPr>
            <w:tcW w:w="760" w:type="dxa"/>
            <w:vAlign w:val="bottom"/>
            <w:gridSpan w:val="2"/>
          </w:tcPr>
          <w:p>
            <w:pPr>
              <w:jc w:val="right"/>
              <w:ind w:right="1"/>
              <w:spacing w:after="0"/>
              <w:rPr>
                <w:sz w:val="20"/>
                <w:szCs w:val="20"/>
                <w:color w:val="auto"/>
              </w:rPr>
            </w:pPr>
            <w:r>
              <w:rPr>
                <w:rFonts w:ascii="Arial" w:cs="Arial" w:eastAsia="Arial" w:hAnsi="Arial"/>
                <w:sz w:val="16"/>
                <w:szCs w:val="16"/>
                <w:color w:val="auto"/>
              </w:rPr>
              <w:t>$ 1,557</w:t>
            </w:r>
          </w:p>
        </w:tc>
        <w:tc>
          <w:tcPr>
            <w:tcW w:w="760" w:type="dxa"/>
            <w:vAlign w:val="bottom"/>
            <w:gridSpan w:val="2"/>
          </w:tcPr>
          <w:p>
            <w:pPr>
              <w:jc w:val="right"/>
              <w:ind w:right="44"/>
              <w:spacing w:after="0"/>
              <w:rPr>
                <w:sz w:val="20"/>
                <w:szCs w:val="20"/>
                <w:color w:val="auto"/>
              </w:rPr>
            </w:pPr>
            <w:r>
              <w:rPr>
                <w:rFonts w:ascii="Arial" w:cs="Arial" w:eastAsia="Arial" w:hAnsi="Arial"/>
                <w:sz w:val="16"/>
                <w:szCs w:val="16"/>
                <w:color w:val="auto"/>
              </w:rPr>
              <w:t>5%</w:t>
            </w:r>
          </w:p>
        </w:tc>
        <w:tc>
          <w:tcPr>
            <w:tcW w:w="1080" w:type="dxa"/>
            <w:vAlign w:val="bottom"/>
            <w:tcBorders>
              <w:right w:val="single" w:sz="8" w:color="808080"/>
            </w:tcBorders>
            <w:gridSpan w:val="2"/>
          </w:tcPr>
          <w:p>
            <w:pPr>
              <w:jc w:val="right"/>
              <w:ind w:right="277"/>
              <w:spacing w:after="0"/>
              <w:rPr>
                <w:sz w:val="20"/>
                <w:szCs w:val="20"/>
                <w:color w:val="auto"/>
              </w:rPr>
            </w:pPr>
            <w:r>
              <w:rPr>
                <w:rFonts w:ascii="Arial" w:cs="Arial" w:eastAsia="Arial" w:hAnsi="Arial"/>
                <w:sz w:val="16"/>
                <w:szCs w:val="16"/>
                <w:color w:val="auto"/>
              </w:rPr>
              <w:t>254%</w:t>
            </w:r>
          </w:p>
        </w:tc>
      </w:tr>
      <w:tr>
        <w:trPr>
          <w:trHeight w:val="20"/>
        </w:trPr>
        <w:tc>
          <w:tcPr>
            <w:tcW w:w="3340" w:type="dxa"/>
            <w:vAlign w:val="bottom"/>
            <w:tcBorders>
              <w:left w:val="single" w:sz="8" w:color="808080"/>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right w:val="single" w:sz="8" w:color="808080"/>
            </w:tcBorders>
          </w:tcPr>
          <w:p>
            <w:pPr>
              <w:spacing w:after="0" w:line="20" w:lineRule="exact"/>
              <w:rPr>
                <w:sz w:val="1"/>
                <w:szCs w:val="1"/>
                <w:color w:val="auto"/>
              </w:rPr>
            </w:pPr>
          </w:p>
        </w:tc>
      </w:tr>
      <w:tr>
        <w:trPr>
          <w:trHeight w:val="20"/>
        </w:trPr>
        <w:tc>
          <w:tcPr>
            <w:tcW w:w="3340" w:type="dxa"/>
            <w:vAlign w:val="bottom"/>
            <w:tcBorders>
              <w:left w:val="single" w:sz="8" w:color="808080"/>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96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Revenue for the quarter ended September 30, 2011 (“2011 Q3”) increased by approximately 11% over the quarter ended September 30, 2010 (“2010 Q3”). The increase was caused by an increase in revenue from our professional, premium and personal conferencing products in North America, Asia and Australia due to continued strength in these economies partly offset by reduced demand in Europe due to prolonged economic uncertainty caused by Greece’s national debt situation. Revenue from tabletop conferencing and NetStreams products did not change significantly and revenue from media carts were insignificant.</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3" w:name="page14"/>
    <w:bookmarkEnd w:id="13"/>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Revenue for the nine months ended September 30, 2011 (“2011 YTD”) increased by approximately 19% over the nine months ended September 30, 2010 (“2010 YTD”). The increase was caused by an overall increase in revenue from our professional, personal and premium conferencing products due to increased demand for our products in North America, Asia and Australia due to the continued strength in these economies and higher penetration of our products introduced last year. Revenues from Europe remained about the same. Revenues from tabletop conferencing and NetStreams products did not change significantly while revenues from media carts declined.</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2011 Q3 and 2010 Q3, the net change in deferred revenue was net recognition of revenue of $49,000 and $334,000 respectively. During 2011 YTD and 2010 YTD, the net change in deferred revenue was net recognition of revenue of $602,000 and $8,000 respectively. See “Critical Accounting Policies and Estimates” under “Revenue and Associated Allowance for Revenue Adjustments and Doubtful Accounts” below for a detailed discussion of deferred revenue.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Costs of Goods Sold and Gross Profit</w:t>
      </w:r>
    </w:p>
    <w:p>
      <w:pPr>
        <w:spacing w:after="0" w:line="239"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Our gross profit margin (GPM), which is gross profit as a percentage of revenue, was 61% and 60% in 2011 Q3 and 2010 Q3,</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respectively. </w:t>
      </w:r>
      <w:r>
        <w:rPr>
          <w:rFonts w:ascii="Arial" w:cs="Arial" w:eastAsia="Arial" w:hAnsi="Arial"/>
          <w:sz w:val="17"/>
          <w:szCs w:val="17"/>
          <w:color w:val="auto"/>
        </w:rPr>
        <w:t>GPM for both 2011 YTD and 2010 YTD remained at 60%.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Operating Expenses</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 xml:space="preserve">2011 Q3 operating expenses excluding litigation proceeds from Biamp of $3.7 million were approximately $5.3 million, a decrease of approximately $160,000 from $5.5 million in 2010 Q3 or a decrease of 3%. </w:t>
      </w:r>
      <w:r>
        <w:rPr>
          <w:rFonts w:ascii="Arial" w:cs="Arial" w:eastAsia="Arial" w:hAnsi="Arial"/>
          <w:sz w:val="15"/>
          <w:szCs w:val="15"/>
          <w:color w:val="auto"/>
        </w:rPr>
        <w:t>Operating expenses during 2011 YTD after excluding litigation</w:t>
      </w:r>
      <w:r>
        <w:rPr>
          <w:rFonts w:ascii="Arial" w:cs="Arial" w:eastAsia="Arial" w:hAnsi="Arial"/>
          <w:sz w:val="19"/>
          <w:szCs w:val="19"/>
          <w:color w:val="auto"/>
        </w:rPr>
        <w:t xml:space="preserve"> </w:t>
      </w:r>
      <w:r>
        <w:rPr>
          <w:rFonts w:ascii="Arial" w:cs="Arial" w:eastAsia="Arial" w:hAnsi="Arial"/>
          <w:sz w:val="15"/>
          <w:szCs w:val="15"/>
          <w:color w:val="auto"/>
        </w:rPr>
        <w:t>proceeds from Biamp of $3.7 million were approximately $15.7 million compared to $15.4 million during 2010 YTD, or an increase of 2% over 2010 YTD expenses.</w:t>
      </w: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Proceeds from litigation</w:t>
      </w:r>
      <w:r>
        <w:rPr>
          <w:rFonts w:ascii="Arial" w:cs="Arial" w:eastAsia="Arial" w:hAnsi="Arial"/>
          <w:sz w:val="17"/>
          <w:szCs w:val="17"/>
          <w:color w:val="auto"/>
        </w:rPr>
        <w:t xml:space="preserve"> below for additional information on the litigation proceeds from Biamp.</w:t>
      </w:r>
    </w:p>
    <w:p>
      <w:pPr>
        <w:spacing w:after="0" w:line="233" w:lineRule="exact"/>
        <w:rPr>
          <w:sz w:val="20"/>
          <w:szCs w:val="20"/>
          <w:color w:val="auto"/>
        </w:rPr>
      </w:pPr>
    </w:p>
    <w:p>
      <w:pPr>
        <w:ind w:right="640"/>
        <w:spacing w:after="0" w:line="328" w:lineRule="auto"/>
        <w:rPr>
          <w:sz w:val="20"/>
          <w:szCs w:val="20"/>
          <w:color w:val="auto"/>
        </w:rPr>
      </w:pPr>
      <w:r>
        <w:rPr>
          <w:rFonts w:ascii="Arial" w:cs="Arial" w:eastAsia="Arial" w:hAnsi="Arial"/>
          <w:sz w:val="19"/>
          <w:szCs w:val="19"/>
          <w:i w:val="1"/>
          <w:iCs w:val="1"/>
          <w:color w:val="auto"/>
        </w:rPr>
        <w:t xml:space="preserve">Sales and Marketing (“S&amp;M”) Expenses. </w:t>
      </w:r>
      <w:r>
        <w:rPr>
          <w:rFonts w:ascii="Arial" w:cs="Arial" w:eastAsia="Arial" w:hAnsi="Arial"/>
          <w:sz w:val="19"/>
          <w:szCs w:val="19"/>
          <w:color w:val="auto"/>
        </w:rPr>
        <w:t>S&amp;M expenses include selling, customer service, and marketing expenses such as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employee-related costs, allocations of overhead expenses, trade shows, and other advertising and selling expenses.</w:t>
      </w:r>
    </w:p>
    <w:p>
      <w:pPr>
        <w:spacing w:after="0" w:line="132" w:lineRule="exact"/>
        <w:rPr>
          <w:sz w:val="20"/>
          <w:szCs w:val="20"/>
          <w:color w:val="auto"/>
        </w:rPr>
      </w:pPr>
    </w:p>
    <w:p>
      <w:pPr>
        <w:jc w:val="both"/>
        <w:ind w:right="140"/>
        <w:spacing w:after="0" w:line="258" w:lineRule="auto"/>
        <w:rPr>
          <w:sz w:val="20"/>
          <w:szCs w:val="20"/>
          <w:color w:val="auto"/>
        </w:rPr>
      </w:pPr>
      <w:r>
        <w:rPr>
          <w:rFonts w:ascii="Arial" w:cs="Arial" w:eastAsia="Arial" w:hAnsi="Arial"/>
          <w:sz w:val="21"/>
          <w:szCs w:val="21"/>
          <w:color w:val="auto"/>
        </w:rPr>
        <w:t>S&amp;M expenses during 2011 Q3 decreased by approximately $59,000, or 3%, when compared to 2010 Q3. The decrease in S&amp;M expenses during 2011 Q3 was primarily due to reduction in employee-related costs, tradeshow costs and marketing costs partially offset by increases in consulting expenses and commissions to independent sales agents.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S&amp;M expenses during 2011 YTD were $6.3 million which was about the same as it was in 2010 YTD.</w:t>
      </w:r>
    </w:p>
    <w:p>
      <w:pPr>
        <w:spacing w:after="0" w:line="247"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i w:val="1"/>
          <w:iCs w:val="1"/>
          <w:color w:val="auto"/>
        </w:rPr>
        <w:t xml:space="preserve">Research and Development (“R&amp;D”) Expenses. </w:t>
      </w:r>
      <w:r>
        <w:rPr>
          <w:rFonts w:ascii="Arial" w:cs="Arial" w:eastAsia="Arial" w:hAnsi="Arial"/>
          <w:sz w:val="19"/>
          <w:szCs w:val="19"/>
          <w:color w:val="auto"/>
        </w:rPr>
        <w:t>R&amp;D expenses include research and development and product line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employee-related costs, outside services, expensed materials and depreciation, and an allocation of overhead expenses.</w:t>
      </w:r>
    </w:p>
    <w:p>
      <w:pPr>
        <w:spacing w:after="0" w:line="13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R&amp;D expenses during 2011 Q3 decreased by $328,000 or 16% compared to R&amp;D expenses during 2010 Q3. The decrease was primarily due to decreases in employee-related costs, project related costs, facilities and information technology charges and reallocation of an officer’s compensation to G&amp;A.</w:t>
      </w:r>
    </w:p>
    <w:p>
      <w:pPr>
        <w:spacing w:after="0" w:line="21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R&amp;D expenses during 2011 YTD decreased by $523,000 or 9% compared to R&amp;D expenses during 2010 YTD. The decrease was primarily due to decreases in facilities and information technology charges, reallocation of an officer’s compensation to G&amp;A and project related costs.</w:t>
      </w:r>
    </w:p>
    <w:p>
      <w:pPr>
        <w:sectPr>
          <w:pgSz w:w="11900" w:h="16838" w:orient="portrait"/>
          <w:cols w:equalWidth="0" w:num="1">
            <w:col w:w="11360"/>
          </w:cols>
          <w:pgMar w:left="240" w:top="1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360"/>
        <w:spacing w:after="0"/>
        <w:rPr>
          <w:sz w:val="20"/>
          <w:szCs w:val="20"/>
          <w:color w:val="auto"/>
        </w:rPr>
      </w:pPr>
      <w:r>
        <w:rPr>
          <w:rFonts w:ascii="Arial" w:cs="Arial" w:eastAsia="Arial" w:hAnsi="Arial"/>
          <w:sz w:val="22"/>
          <w:szCs w:val="22"/>
          <w:i w:val="1"/>
          <w:iCs w:val="1"/>
          <w:color w:val="auto"/>
        </w:rPr>
        <w:t xml:space="preserve">General and Administrative (“G&amp;A”) Expenses. </w:t>
      </w:r>
      <w:r>
        <w:rPr>
          <w:rFonts w:ascii="Arial" w:cs="Arial" w:eastAsia="Arial" w:hAnsi="Arial"/>
          <w:sz w:val="22"/>
          <w:szCs w:val="22"/>
          <w:color w:val="auto"/>
        </w:rPr>
        <w:t>G&amp;A expenses include employee-related costs, professional service fees,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of overhead expenses, litigation costs, and corporate administrative costs, including finance, information technology and human resources.</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G&amp;A expenses during 2011 Q3 increased by $227,000 or 21% compared to expenses during 2010 Q3. The increase was primarily due to increased bank fees, bad debts expense, accounting services and employee benefits and reallocation of officers’ compensation to G&amp;A. This increase was partially offset by reduced share-based compensaton, recruitment expenses and facilities and information technology charges.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G&amp;A expenses increased in 2011 YTD by $914,000 or 28% compared to 2010 YTD. The increase was primarily due to increased executive bonuses, employee benefits, telecommunication expenses, bank fees and annual report distribution costs, and reallocation of officers’ compensation to G&amp;A. This increase was partially offset by reduced recruitment expenses and facilities and information technology charges.</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We continue to incur high legal expenses due to litigation to protect our intellectual property and to defend ourselves from indemnification claims made by former officers.</w:t>
      </w:r>
    </w:p>
    <w:p>
      <w:pPr>
        <w:spacing w:after="0" w:line="200"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i w:val="1"/>
          <w:iCs w:val="1"/>
          <w:color w:val="auto"/>
        </w:rPr>
        <w:t xml:space="preserve">Proceeds from litigation. </w:t>
      </w:r>
      <w:r>
        <w:rPr>
          <w:rFonts w:ascii="Arial" w:cs="Arial" w:eastAsia="Arial" w:hAnsi="Arial"/>
          <w:sz w:val="22"/>
          <w:szCs w:val="22"/>
          <w:color w:val="auto"/>
        </w:rPr>
        <w:t>Operating expenses for 2011 Q3 and 2011 YTD is reduced by a credit for proceeds receivable of</w:t>
      </w:r>
      <w:r>
        <w:rPr>
          <w:rFonts w:ascii="Arial" w:cs="Arial" w:eastAsia="Arial" w:hAnsi="Arial"/>
          <w:sz w:val="22"/>
          <w:szCs w:val="22"/>
          <w:i w:val="1"/>
          <w:iCs w:val="1"/>
          <w:color w:val="auto"/>
        </w:rPr>
        <w:t xml:space="preserve"> </w:t>
      </w:r>
      <w:r>
        <w:rPr>
          <w:rFonts w:ascii="Arial" w:cs="Arial" w:eastAsia="Arial" w:hAnsi="Arial"/>
          <w:sz w:val="22"/>
          <w:szCs w:val="22"/>
          <w:color w:val="auto"/>
        </w:rPr>
        <w:t>approximately $3.7 million from Biamp with respect to a judgment award in litigation related to the theft of our intellectual property. The Tenth Circuit Court of Appeals affirmed in ClearOne’s favor and against Biamp the federal district court’s award of exemplary damages based upon the finding that Biamp’s misappropriation was willful and malicious. We expect to collect the judgment against Biamp from the approximately $3.7 million cash bond posted by Biamp. As Biamp has discontinued all efforts to appeal or otherwise contest the ruling, and is actively faciliting ClearOne’s collection of the judgment we have recognized the amount in these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income (expense), net</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22"/>
          <w:szCs w:val="22"/>
          <w:color w:val="auto"/>
        </w:rPr>
        <w:t>Other income (expense), net, includes interest income, interest expense, gain (loss) on the disposal of assets, and currency gain (loss).</w:t>
      </w:r>
    </w:p>
    <w:p>
      <w:pPr>
        <w:spacing w:after="0" w:line="212"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Other expense, net during 2010 YTD included a loss of approximately $111,000 incurred on disposal of fixed assets and interest expense of approximately $51,000 contributing to the variance between other income, net in 2011 YTD and other expense, net in 2010 YTD.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Provision for income taxes</w:t>
      </w:r>
    </w:p>
    <w:p>
      <w:pPr>
        <w:spacing w:after="0" w:line="14" w:lineRule="exact"/>
        <w:rPr>
          <w:sz w:val="20"/>
          <w:szCs w:val="20"/>
          <w:color w:val="auto"/>
        </w:rPr>
      </w:pPr>
    </w:p>
    <w:p>
      <w:pPr>
        <w:jc w:val="both"/>
        <w:ind w:right="100"/>
        <w:spacing w:after="0" w:line="246" w:lineRule="auto"/>
        <w:rPr>
          <w:sz w:val="20"/>
          <w:szCs w:val="20"/>
          <w:color w:val="auto"/>
        </w:rPr>
      </w:pPr>
      <w:r>
        <w:rPr>
          <w:rFonts w:ascii="Arial" w:cs="Arial" w:eastAsia="Arial" w:hAnsi="Arial"/>
          <w:sz w:val="21"/>
          <w:szCs w:val="21"/>
          <w:color w:val="auto"/>
        </w:rPr>
        <w:t>During 2011 YTD, we accrued income taxes for the year at the expected annualized rate of 34.9%. During 2010 YTD effective tax rate was a benefit of 4.9%. The benefit in 2010 YTD resulted from the completion of Internal Revenue Service audit leading to the reduction of certain tax attributes related to its tax years ending from June 30, 2007 through December 31, 2009. Income taxes are based on the estimated effective federal, state and foreign income tax rates.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As of September 30, 2011, our cash and cash equivalents were approximately $13.1 million, an increase of $1.7 million compared to cash and cash equivalents of approximately $11.4 million as of December 31, 2010.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Net cash provided by operating activities was $2.0 million in 2011 YTD, a decrease of approximately $2.4 million from 2010 YTD. The decrease was primarily due to payment of accrued liabilities, increase in inventories and increase in deferred revenue partially offset by increased profits and decreased accounts receivables.</w:t>
      </w:r>
    </w:p>
    <w:p>
      <w:pPr>
        <w:spacing w:after="0" w:line="213"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Net cash used in investing activities in 2011 YTD was approximately $1.1 million, which consisted of $750,000 paid towards the acquisition of the business of MagicBox and $309,000 towards purchases of equipment. Net cash used in investing activities in 2010 YTD consisted of the purchase of equipment of approximately $748,000 offset by the receipt of $350,000 towards the final working capital adjustment from the sellers of NetStreams.</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Net cash provided by financing activities during 2011 YTD was approximately $732,000, consisting of proceeds received from issuance of stock upon exercise of stock options. During 2010 YTD, $2 million of debt assumed in the acquisition of NetStreams was fully paid, representing the cash used in financing activities for such period.</w:t>
      </w:r>
    </w:p>
    <w:p>
      <w:pPr>
        <w:spacing w:after="0" w:line="213"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In May 2011, we terminated the Joinder to the Loan and Security Agreement with Square 1 Bank (the “Bank”), and the related Loan and Security Agreement dated November 12, 2008, as amended (the “Loan Agreement”), by and between the Bank, and NetStreams, Inc. and NetStreams, LLC (collectively, “NetStreams”), under which we were named as an additional borrower.</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had previously repaid the $2,000,000 liability of NetStreams under the Loan Agreement in March 2010. In connection with the termination, we repaid all remaining outstanding obligations, which consisted solely of the Bank’s expenses in connection with the restructuring of the loan facility and amending and restating the Loan Agreement, and termination of all security interests and liens held by the Bank under the Loan Agreement. In connection with our repayment of the remaining outstanding obligations, all of our indebtedness and obligations to the Bank were discharged in full and the Bank terminated all security interests and other liens held as security under the Loan Agreement.</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As of September 30, 2011 our working capital was $31.1 million as compared to $22.8 million as of December 31, 2010.</w:t>
      </w:r>
    </w:p>
    <w:p>
      <w:pPr>
        <w:spacing w:after="0" w:line="245"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80"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Our significant accounting policies are described in Note 2 to the Notes to the Consolidated Financial Statements included in our Annual Report on Form 10-K for the year ended December 31, 2010.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Associated Allowances for Revenue Adjustments and Doubtful Accounts</w:t>
      </w:r>
    </w:p>
    <w:p>
      <w:pPr>
        <w:spacing w:after="0" w:line="239"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pacing w:after="0" w:line="208"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212"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12"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The amounts of deferred cost of goods sold were included in consigned inventory. The following table details the amount of deferred revenue, cost of goods sold, and gross profit (dollars in thousands):</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3640" w:type="dxa"/>
            <w:vAlign w:val="bottom"/>
            <w:tcBorders>
              <w:top w:val="single" w:sz="8" w:color="808080"/>
              <w:left w:val="single" w:sz="8" w:color="808080"/>
            </w:tcBorders>
          </w:tcPr>
          <w:p>
            <w:pPr>
              <w:spacing w:after="0"/>
              <w:rPr>
                <w:sz w:val="20"/>
                <w:szCs w:val="20"/>
                <w:color w:val="auto"/>
              </w:rPr>
            </w:pPr>
          </w:p>
        </w:tc>
        <w:tc>
          <w:tcPr>
            <w:tcW w:w="560" w:type="dxa"/>
            <w:vAlign w:val="bottom"/>
            <w:tcBorders>
              <w:top w:val="single" w:sz="8" w:color="808080"/>
              <w:bottom w:val="single" w:sz="8" w:color="auto"/>
            </w:tcBorders>
          </w:tcPr>
          <w:p>
            <w:pPr>
              <w:spacing w:after="0"/>
              <w:rPr>
                <w:sz w:val="20"/>
                <w:szCs w:val="20"/>
                <w:color w:val="auto"/>
              </w:rPr>
            </w:pPr>
          </w:p>
        </w:tc>
        <w:tc>
          <w:tcPr>
            <w:tcW w:w="1000" w:type="dxa"/>
            <w:vAlign w:val="bottom"/>
            <w:tcBorders>
              <w:top w:val="single" w:sz="8" w:color="808080"/>
              <w:bottom w:val="single" w:sz="8" w:color="auto"/>
            </w:tcBorders>
          </w:tcPr>
          <w:p>
            <w:pPr>
              <w:spacing w:after="0"/>
              <w:rPr>
                <w:sz w:val="20"/>
                <w:szCs w:val="20"/>
                <w:color w:val="auto"/>
              </w:rPr>
            </w:pPr>
          </w:p>
        </w:tc>
        <w:tc>
          <w:tcPr>
            <w:tcW w:w="1040" w:type="dxa"/>
            <w:vAlign w:val="bottom"/>
            <w:tcBorders>
              <w:top w:val="single" w:sz="8" w:color="808080"/>
              <w:bottom w:val="single" w:sz="8" w:color="auto"/>
            </w:tcBorders>
            <w:gridSpan w:val="3"/>
          </w:tcPr>
          <w:p>
            <w:pPr>
              <w:jc w:val="right"/>
              <w:ind w:right="554"/>
              <w:spacing w:after="0"/>
              <w:rPr>
                <w:sz w:val="20"/>
                <w:szCs w:val="20"/>
                <w:color w:val="auto"/>
              </w:rPr>
            </w:pPr>
            <w:r>
              <w:rPr>
                <w:rFonts w:ascii="Arial" w:cs="Arial" w:eastAsia="Arial" w:hAnsi="Arial"/>
                <w:sz w:val="16"/>
                <w:szCs w:val="16"/>
                <w:b w:val="1"/>
                <w:bCs w:val="1"/>
                <w:color w:val="auto"/>
                <w:w w:val="94"/>
              </w:rPr>
              <w:t>As of</w:t>
            </w:r>
          </w:p>
        </w:tc>
        <w:tc>
          <w:tcPr>
            <w:tcW w:w="1000" w:type="dxa"/>
            <w:vAlign w:val="bottom"/>
            <w:tcBorders>
              <w:top w:val="single" w:sz="8" w:color="808080"/>
              <w:bottom w:val="single" w:sz="8" w:color="auto"/>
              <w:right w:val="single" w:sz="8" w:color="808080"/>
            </w:tcBorders>
          </w:tcPr>
          <w:p>
            <w:pPr>
              <w:spacing w:after="0"/>
              <w:rPr>
                <w:sz w:val="20"/>
                <w:szCs w:val="20"/>
                <w:color w:val="auto"/>
              </w:rPr>
            </w:pPr>
          </w:p>
        </w:tc>
      </w:tr>
      <w:tr>
        <w:trPr>
          <w:trHeight w:val="199"/>
        </w:trPr>
        <w:tc>
          <w:tcPr>
            <w:tcW w:w="3640" w:type="dxa"/>
            <w:vAlign w:val="bottom"/>
            <w:tcBorders>
              <w:left w:val="single" w:sz="8" w:color="808080"/>
            </w:tcBorders>
          </w:tcPr>
          <w:p>
            <w:pPr>
              <w:spacing w:after="0"/>
              <w:rPr>
                <w:sz w:val="17"/>
                <w:szCs w:val="17"/>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2"/>
              </w:rPr>
              <w:t>September 30, 2011</w:t>
            </w:r>
          </w:p>
        </w:tc>
        <w:tc>
          <w:tcPr>
            <w:tcW w:w="1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bottom w:val="single" w:sz="8" w:color="auto"/>
              <w:right w:val="single" w:sz="8" w:color="808080"/>
            </w:tcBorders>
            <w:gridSpan w:val="2"/>
          </w:tcPr>
          <w:p>
            <w:pPr>
              <w:jc w:val="right"/>
              <w:ind w:right="90"/>
              <w:spacing w:after="0"/>
              <w:rPr>
                <w:sz w:val="20"/>
                <w:szCs w:val="20"/>
                <w:color w:val="auto"/>
              </w:rPr>
            </w:pPr>
            <w:r>
              <w:rPr>
                <w:rFonts w:ascii="Arial" w:cs="Arial" w:eastAsia="Arial" w:hAnsi="Arial"/>
                <w:sz w:val="16"/>
                <w:szCs w:val="16"/>
                <w:b w:val="1"/>
                <w:bCs w:val="1"/>
                <w:color w:val="auto"/>
                <w:w w:val="99"/>
              </w:rPr>
              <w:t>December 31, 2010</w:t>
            </w:r>
          </w:p>
        </w:tc>
      </w:tr>
      <w:tr>
        <w:trPr>
          <w:trHeight w:val="210"/>
        </w:trPr>
        <w:tc>
          <w:tcPr>
            <w:tcW w:w="3640" w:type="dxa"/>
            <w:vAlign w:val="bottom"/>
            <w:tcBorders>
              <w:left w:val="single" w:sz="8" w:color="808080"/>
            </w:tcBorders>
            <w:shd w:val="clear" w:color="auto" w:fill="EAF1DD"/>
          </w:tcPr>
          <w:p>
            <w:pPr>
              <w:ind w:left="8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EAF1DD"/>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1DD"/>
          </w:tcPr>
          <w:p>
            <w:pPr>
              <w:jc w:val="right"/>
              <w:ind w:right="210"/>
              <w:spacing w:after="0"/>
              <w:rPr>
                <w:sz w:val="20"/>
                <w:szCs w:val="20"/>
                <w:color w:val="auto"/>
              </w:rPr>
            </w:pPr>
            <w:r>
              <w:rPr>
                <w:rFonts w:ascii="Arial" w:cs="Arial" w:eastAsia="Arial" w:hAnsi="Arial"/>
                <w:sz w:val="18"/>
                <w:szCs w:val="18"/>
                <w:color w:val="auto"/>
              </w:rPr>
              <w:t>3,704</w:t>
            </w:r>
          </w:p>
        </w:tc>
        <w:tc>
          <w:tcPr>
            <w:tcW w:w="1040" w:type="dxa"/>
            <w:vAlign w:val="bottom"/>
            <w:gridSpan w:val="3"/>
            <w:shd w:val="clear" w:color="auto" w:fill="EAF1DD"/>
          </w:tcPr>
          <w:p>
            <w:pPr>
              <w:jc w:val="right"/>
              <w:ind w:right="274"/>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808080"/>
            </w:tcBorders>
            <w:shd w:val="clear" w:color="auto" w:fill="EAF1DD"/>
          </w:tcPr>
          <w:p>
            <w:pPr>
              <w:jc w:val="right"/>
              <w:ind w:right="130"/>
              <w:spacing w:after="0"/>
              <w:rPr>
                <w:sz w:val="20"/>
                <w:szCs w:val="20"/>
                <w:color w:val="auto"/>
              </w:rPr>
            </w:pPr>
            <w:r>
              <w:rPr>
                <w:rFonts w:ascii="Arial" w:cs="Arial" w:eastAsia="Arial" w:hAnsi="Arial"/>
                <w:sz w:val="18"/>
                <w:szCs w:val="18"/>
                <w:color w:val="auto"/>
              </w:rPr>
              <w:t>4,306</w:t>
            </w:r>
          </w:p>
        </w:tc>
      </w:tr>
      <w:tr>
        <w:trPr>
          <w:trHeight w:val="216"/>
        </w:trPr>
        <w:tc>
          <w:tcPr>
            <w:tcW w:w="3640" w:type="dxa"/>
            <w:vAlign w:val="bottom"/>
            <w:tcBorders>
              <w:left w:val="single" w:sz="8" w:color="808080"/>
              <w:bottom w:val="single" w:sz="8" w:color="EAF1DD"/>
            </w:tcBorders>
          </w:tcPr>
          <w:p>
            <w:pPr>
              <w:ind w:left="80"/>
              <w:spacing w:after="0"/>
              <w:rPr>
                <w:sz w:val="20"/>
                <w:szCs w:val="20"/>
                <w:color w:val="auto"/>
              </w:rPr>
            </w:pPr>
            <w:r>
              <w:rPr>
                <w:rFonts w:ascii="Arial" w:cs="Arial" w:eastAsia="Arial" w:hAnsi="Arial"/>
                <w:sz w:val="18"/>
                <w:szCs w:val="18"/>
                <w:color w:val="auto"/>
              </w:rPr>
              <w:t>Deferred Cost of Goods Sold</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EAF1DD"/>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808080"/>
            </w:tcBorders>
          </w:tcPr>
          <w:p>
            <w:pPr>
              <w:jc w:val="right"/>
              <w:ind w:right="130"/>
              <w:spacing w:after="0"/>
              <w:rPr>
                <w:sz w:val="20"/>
                <w:szCs w:val="20"/>
                <w:color w:val="auto"/>
              </w:rPr>
            </w:pPr>
            <w:r>
              <w:rPr>
                <w:rFonts w:ascii="Arial" w:cs="Arial" w:eastAsia="Arial" w:hAnsi="Arial"/>
                <w:sz w:val="18"/>
                <w:szCs w:val="18"/>
                <w:color w:val="auto"/>
              </w:rPr>
              <w:t>1,742</w:t>
            </w:r>
          </w:p>
        </w:tc>
      </w:tr>
      <w:tr>
        <w:trPr>
          <w:trHeight w:val="223"/>
        </w:trPr>
        <w:tc>
          <w:tcPr>
            <w:tcW w:w="3640" w:type="dxa"/>
            <w:vAlign w:val="bottom"/>
            <w:tcBorders>
              <w:left w:val="single" w:sz="8" w:color="808080"/>
              <w:bottom w:val="single" w:sz="8" w:color="EAF1DD"/>
            </w:tcBorders>
            <w:shd w:val="clear" w:color="auto" w:fill="EAF1DD"/>
          </w:tcPr>
          <w:p>
            <w:pPr>
              <w:ind w:left="80"/>
              <w:spacing w:after="0" w:line="182" w:lineRule="exact"/>
              <w:rPr>
                <w:sz w:val="20"/>
                <w:szCs w:val="20"/>
                <w:color w:val="auto"/>
              </w:rPr>
            </w:pPr>
            <w:r>
              <w:rPr>
                <w:rFonts w:ascii="Arial" w:cs="Arial" w:eastAsia="Arial" w:hAnsi="Arial"/>
                <w:sz w:val="18"/>
                <w:szCs w:val="18"/>
                <w:color w:val="auto"/>
              </w:rPr>
              <w:t>Deferred Gross Profit</w:t>
            </w:r>
          </w:p>
        </w:tc>
        <w:tc>
          <w:tcPr>
            <w:tcW w:w="560" w:type="dxa"/>
            <w:vAlign w:val="bottom"/>
            <w:tcBorders>
              <w:bottom w:val="single" w:sz="8" w:color="auto"/>
            </w:tcBorders>
            <w:shd w:val="clear" w:color="auto" w:fill="EAF1DD"/>
          </w:tcPr>
          <w:p>
            <w:pPr>
              <w:ind w:left="18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AF1DD"/>
          </w:tcPr>
          <w:p>
            <w:pPr>
              <w:jc w:val="right"/>
              <w:ind w:right="210"/>
              <w:spacing w:after="0" w:line="182" w:lineRule="exact"/>
              <w:rPr>
                <w:sz w:val="20"/>
                <w:szCs w:val="20"/>
                <w:color w:val="auto"/>
              </w:rPr>
            </w:pPr>
            <w:r>
              <w:rPr>
                <w:rFonts w:ascii="Arial" w:cs="Arial" w:eastAsia="Arial" w:hAnsi="Arial"/>
                <w:sz w:val="18"/>
                <w:szCs w:val="18"/>
                <w:color w:val="auto"/>
              </w:rPr>
              <w:t>2,322</w:t>
            </w:r>
          </w:p>
        </w:tc>
        <w:tc>
          <w:tcPr>
            <w:tcW w:w="100" w:type="dxa"/>
            <w:vAlign w:val="bottom"/>
            <w:tcBorders>
              <w:bottom w:val="single" w:sz="8" w:color="auto"/>
            </w:tcBorders>
            <w:shd w:val="clear" w:color="auto" w:fill="EAF1DD"/>
          </w:tcPr>
          <w:p>
            <w:pPr>
              <w:spacing w:after="0"/>
              <w:rPr>
                <w:sz w:val="19"/>
                <w:szCs w:val="19"/>
                <w:color w:val="auto"/>
              </w:rPr>
            </w:pPr>
          </w:p>
        </w:tc>
        <w:tc>
          <w:tcPr>
            <w:tcW w:w="300" w:type="dxa"/>
            <w:vAlign w:val="bottom"/>
            <w:tcBorders>
              <w:bottom w:val="single" w:sz="8" w:color="EAF1DD"/>
            </w:tcBorders>
            <w:shd w:val="clear" w:color="auto" w:fill="EAF1DD"/>
          </w:tcPr>
          <w:p>
            <w:pPr>
              <w:spacing w:after="0"/>
              <w:rPr>
                <w:sz w:val="19"/>
                <w:szCs w:val="19"/>
                <w:color w:val="auto"/>
              </w:rPr>
            </w:pPr>
          </w:p>
        </w:tc>
        <w:tc>
          <w:tcPr>
            <w:tcW w:w="640" w:type="dxa"/>
            <w:vAlign w:val="bottom"/>
            <w:tcBorders>
              <w:bottom w:val="single" w:sz="8" w:color="auto"/>
            </w:tcBorders>
            <w:shd w:val="clear" w:color="auto" w:fill="EAF1DD"/>
          </w:tcPr>
          <w:p>
            <w:pPr>
              <w:jc w:val="right"/>
              <w:ind w:right="274"/>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808080"/>
            </w:tcBorders>
            <w:shd w:val="clear" w:color="auto" w:fill="EAF1DD"/>
          </w:tcPr>
          <w:p>
            <w:pPr>
              <w:jc w:val="right"/>
              <w:ind w:right="130"/>
              <w:spacing w:after="0" w:line="182" w:lineRule="exact"/>
              <w:rPr>
                <w:sz w:val="20"/>
                <w:szCs w:val="20"/>
                <w:color w:val="auto"/>
              </w:rPr>
            </w:pPr>
            <w:r>
              <w:rPr>
                <w:rFonts w:ascii="Arial" w:cs="Arial" w:eastAsia="Arial" w:hAnsi="Arial"/>
                <w:sz w:val="18"/>
                <w:szCs w:val="18"/>
                <w:color w:val="auto"/>
              </w:rPr>
              <w:t>2,564</w:t>
            </w:r>
          </w:p>
        </w:tc>
      </w:tr>
      <w:tr>
        <w:trPr>
          <w:trHeight w:val="20"/>
        </w:trPr>
        <w:tc>
          <w:tcPr>
            <w:tcW w:w="3640" w:type="dxa"/>
            <w:vAlign w:val="bottom"/>
            <w:tcBorders>
              <w:left w:val="single" w:sz="8" w:color="808080"/>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right w:val="single" w:sz="8" w:color="808080"/>
            </w:tcBorders>
          </w:tcPr>
          <w:p>
            <w:pPr>
              <w:spacing w:after="0" w:line="20" w:lineRule="exact"/>
              <w:rPr>
                <w:sz w:val="1"/>
                <w:szCs w:val="1"/>
                <w:color w:val="auto"/>
              </w:rPr>
            </w:pPr>
          </w:p>
        </w:tc>
      </w:tr>
    </w:tbl>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Goodwill and Intangible Assets</w:t>
      </w:r>
    </w:p>
    <w:p>
      <w:pPr>
        <w:spacing w:after="0" w:line="239"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We allocated the purchase price of our acquisition of NetStreams, Inc. on the basis of well established valuation techniques performed by qualified experts. The purchase price towards acquisition of the business of MagicBox, Inc. has been allocated on a provisional basis pending full expert valuation. Goodwill is measured as the excess of the cost of acquisition over the sum of the amounts assigned to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September 30, 2011, $726,000 and $475,000 have been recorded as goodwill and intangible assets with an indefinite useful life, respectively.</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In response to changes in industry, technology and competitive circumstances we might be required to exit or dispose of the business acquired through NetStreams, Inc., which could result in an impairment of goodwill and intangible assets.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Income Taxes</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September 30, 2011 is $1.0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Lower-of-Cost or Market Adjustments and Reserves for Excess and Obsolete Inventory</w:t>
      </w:r>
    </w:p>
    <w:p>
      <w:pPr>
        <w:spacing w:after="0" w:line="104"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Payment</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In December 2004, the FASB issued guidelines now contained under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7"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An evaluation of the effectiveness of our disclosure controls and procedures (as defined in Rules 13a-15(e) and 15d-15(e) of the Exchange Act) as of September 30, 2011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w:t>
      </w:r>
    </w:p>
    <w:p>
      <w:pPr>
        <w:spacing w:after="0" w:line="4" w:lineRule="exact"/>
        <w:rPr>
          <w:sz w:val="20"/>
          <w:szCs w:val="20"/>
          <w:color w:val="auto"/>
        </w:rPr>
      </w:pPr>
    </w:p>
    <w:p>
      <w:pPr>
        <w:ind w:right="340"/>
        <w:spacing w:after="0" w:line="237" w:lineRule="auto"/>
        <w:rPr>
          <w:sz w:val="20"/>
          <w:szCs w:val="20"/>
          <w:color w:val="auto"/>
        </w:rPr>
      </w:pPr>
      <w:r>
        <w:rPr>
          <w:rFonts w:ascii="Arial" w:cs="Arial" w:eastAsia="Arial" w:hAnsi="Arial"/>
          <w:sz w:val="22"/>
          <w:szCs w:val="22"/>
          <w:color w:val="auto"/>
        </w:rPr>
        <w:t>of September 30, 2011 to ensure that information required to be disclosed by us in reports we file or submit under the Exchange Act is recorded, processed, summarized and reported as specified in the SEC’s rules and forms.</w:t>
      </w:r>
    </w:p>
    <w:p>
      <w:pPr>
        <w:spacing w:after="0" w:line="212"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There was no change in our internal control over financial reporting during the quarter ended September 30, 2011 that materially affected, or that we believe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is an update to the status of the legal proceedings and commitments and contingencies reported in our Form 10-K for the year ended December 31, 2010 under Part I, Item 3. Legal Proceedings and Note - 9 Commitments and Contingencies of the Notes to Consolidated Financial Statements (Part II, Item 8), as supplemented in our Forms 10-Q for the periods ended March 31, 2011 and June 30, 2011 under Part II, Item 1. Legal Proceedings.</w:t>
      </w:r>
    </w:p>
    <w:p>
      <w:pPr>
        <w:spacing w:after="0" w:line="195"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b w:val="1"/>
          <w:bCs w:val="1"/>
          <w:i w:val="1"/>
          <w:iCs w:val="1"/>
          <w:color w:val="auto"/>
        </w:rPr>
        <w:t>Former Officer Indemnification</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Flood</w:t>
      </w:r>
      <w:r>
        <w:rPr>
          <w:rFonts w:ascii="Arial" w:cs="Arial" w:eastAsia="Arial" w:hAnsi="Arial"/>
          <w:sz w:val="19"/>
          <w:szCs w:val="19"/>
          <w:color w:val="auto"/>
        </w:rPr>
        <w:t>: On November 29, 2010, ClearOne filed a motion in the United States District Court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District of Utah seeking a turn-over of the amount ClearOne previously paid into the court’s escrow account of approximately $248,000 and for restitution from Flood’s attorneys for the amount paid to them by ClearOne of approximately $373,000 as compelled by the U.S. District Court’s January 2009 preliminary injunction order which was subsequently vacated by the United States Court of Appeals for the Tenth Circuit on August 30, 2010. ClearOne’s motion for a turn-over of the escrow money and for restitution of the amount paid to Flood’s attorneys is scheduled to be heard on November 16, 2011.</w:t>
      </w:r>
    </w:p>
    <w:p>
      <w:pPr>
        <w:spacing w:after="0" w:line="172"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b w:val="1"/>
          <w:bCs w:val="1"/>
          <w:color w:val="auto"/>
        </w:rPr>
        <w:t xml:space="preserve">Strohm: </w:t>
      </w:r>
      <w:r>
        <w:rPr>
          <w:rFonts w:ascii="Arial" w:cs="Arial" w:eastAsia="Arial" w:hAnsi="Arial"/>
          <w:sz w:val="19"/>
          <w:szCs w:val="19"/>
          <w:color w:val="auto"/>
        </w:rPr>
        <w:t>On June 8, 2011, the Utah state court entered a Judgment in Strohm’s indemnification case against ClearOne as follows: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amount of approximately $973,000 for fees and expenses incurred in connection with Strohm’s criminal case, plus approximately $362,000 in interest at 18% through February 1, 2011, and in the amount of approximately $865,000 for fees and expenses incurred in connection with Strohm’s civil case against ClearOne, plus per diem interest. ClearOne has paid to Strohm’s counsel, under protest, the outstanding criminal case fees and expenses of approximately $973,000, and the balance of the Judgment has been paid to the Third Judicial District Court in Salt Lake City, Utah as a cash bond. Both ClearOne and Strohm’s counsel have appealed from the Judgment and ClearOne requested that the Utah Supreme Court retain jurisdiction to hear and resolve the appeal. On August 4, 2011, the highest court in the state of Utah, the Utah Supreme Court, decided to retain the appeal on its docket and vacated its prior order transferring the appeal to the Utah Court of Appeals. ClearOne’s appellate brief was filed on October 13, 2011. On November 8, 2011, the Tenth Circuit affirmed Strohm’s perjury conviction.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22"/>
          <w:szCs w:val="22"/>
          <w:b w:val="1"/>
          <w:bCs w:val="1"/>
          <w:color w:val="auto"/>
        </w:rPr>
        <w:t>CLEARONE COMMUNICATIONS, INC.</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i w:val="1"/>
          <w:iCs w:val="1"/>
          <w:color w:val="auto"/>
        </w:rPr>
        <w:t xml:space="preserve">ARS Special Arbitration. </w:t>
      </w:r>
      <w:r>
        <w:rPr>
          <w:rFonts w:ascii="Arial" w:cs="Arial" w:eastAsia="Arial" w:hAnsi="Arial"/>
          <w:sz w:val="19"/>
          <w:szCs w:val="19"/>
          <w:color w:val="auto"/>
        </w:rPr>
        <w:t>In January 2010, we filed an arbitration proceeding against UBS Financial Services, Inc. (“UBS”)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Financial Industry Regulatory Authority (“FINRA”) pursuant to the Auction Rate Securities (“ARS”) Special Arbitration Procedures established by FINRA for securities firms who entered into settlement agreements with the SEC regarding the firms’ sales of auction rate securities. We also filed a separate FINRA arbitration proceeding against Morgan Stanley &amp; Co., Inc. (“Morgan Stanley”) pursuant to the ARS Special Arbitration Proceedings established for securities firms that entered into settlement agreements with the Office of the New York State Attorney General. At the relevant time we held an aggregate of $12.2 million in ARS from UBS and Morgan Stanley, which turned out to be illiquid. In October 2008, we accepted offers to repurchase our $12.2 million of ARS, at par value, from these two investment banks that sold them to us pursuant to the settlement agreements, but did not waive any claims for consequential damages. In both arbitration proceedings, we are seeking consequential damages as a result of our inability to access funds invested in ARS that UBS and Morgan Stanley sold to us, including losses with respect to a planned strategic business acquisition and related due diligence costs. The arbitration against Morgan Stanley is currently set for hearing in Salt Lake City, Utah, with the first half of the hearing scheduled to begin November 29, 2011 and the second half scheduled to begin on March 12, 2012 having been rescheduled from October 2011. The arbitration against UBS is currently set for hearing in Salt Lake City, Utah in January 2012. We have made significant damages claims in these proceedings, and if we prevail with respect to some or all of our claims, we may be entitled to a material recovery against one or both of the defendants. We cannot, however, predict the outcome of these proceedings or the magnitude of any potential recovery.</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9"/>
          <w:szCs w:val="19"/>
          <w:b w:val="1"/>
          <w:bCs w:val="1"/>
          <w:i w:val="1"/>
          <w:iCs w:val="1"/>
          <w:color w:val="auto"/>
        </w:rPr>
        <w:t xml:space="preserve">Theft of Intellectual Property and Related Cases. </w:t>
      </w:r>
      <w:r>
        <w:rPr>
          <w:rFonts w:ascii="Arial" w:cs="Arial" w:eastAsia="Arial" w:hAnsi="Arial"/>
          <w:sz w:val="19"/>
          <w:szCs w:val="19"/>
          <w:color w:val="auto"/>
        </w:rPr>
        <w:t>Oral argument was held on the appeals on May 10, 2011. On June 27, 2011,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Tenth Circuit affirmed in all respects the verdict and related rulings against the WideBand Defendants. On July 8, 2011, the Tenth Circuit affirmed the contempt orders against Donald Bowers and the other contempt defendants. On August 8, 2011, the Tenth Circuit affirmed Biamp’s liability, including the federal district court’s award of exemplary damages based upon the finding that Biamp’s misappropriation was willful and malicious, but made two reductions in the amount of damages. The amount of ClearOne’s judgment against Biamp is now estimated to be $3.7 million, not including additional amounts that may be awarded for attorney fees incurred on appeal. This amount reflects reductions by the Tenth Circuit Court of Appeals of approximately $1.1 million from the federal district court’s previous judgment of about $4.8 million. On August 9, 2011, the Tenth Circuit denied ClearOne’s appeal requesting additional pre-judgment interest. On October 18, 2011, the Tenth Circuit granted ClearOne’s request for its attorney fees and costs incurred on appeal, and remanded the case to the District Court to determine the amount of fees to be awarded. We are preparing our fee request, which will be submitted in November 2011.</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We expect to collect the judgment against Biamp from the approximately $3.7 million cash bond posted by Biamp. We also expect to collect the amount of appellate attorney fees incurred by ClearOne on the Biamp appeal, from Biamp. As to the balance of the awards against the other defendants, while we intend to vigorously pursue collection of the damage awards, there can be no assurance that we will ultimately collect on all or a portion of these award.</w:t>
      </w:r>
    </w:p>
    <w:p>
      <w:pPr>
        <w:spacing w:after="0" w:line="4" w:lineRule="exact"/>
        <w:rPr>
          <w:sz w:val="20"/>
          <w:szCs w:val="20"/>
          <w:color w:val="auto"/>
        </w:rPr>
      </w:pPr>
    </w:p>
    <w:p>
      <w:pPr>
        <w:ind w:right="20"/>
        <w:spacing w:after="0" w:line="241" w:lineRule="auto"/>
        <w:rPr>
          <w:sz w:val="20"/>
          <w:szCs w:val="20"/>
          <w:color w:val="auto"/>
        </w:rPr>
      </w:pPr>
      <w:r>
        <w:rPr>
          <w:rFonts w:ascii="Arial" w:cs="Arial" w:eastAsia="Arial" w:hAnsi="Arial"/>
          <w:sz w:val="21"/>
          <w:szCs w:val="21"/>
          <w:b w:val="1"/>
          <w:bCs w:val="1"/>
          <w:color w:val="auto"/>
        </w:rPr>
        <w:t xml:space="preserve">The DialHD Georgia Action </w:t>
      </w:r>
      <w:r>
        <w:rPr>
          <w:rFonts w:ascii="Arial" w:cs="Arial" w:eastAsia="Arial" w:hAnsi="Arial"/>
          <w:sz w:val="21"/>
          <w:szCs w:val="21"/>
          <w:color w:val="auto"/>
        </w:rPr>
        <w:t>: During July 2009, DialHD and Donald Bowers filed a lawsuit against us in the Superior Court of</w:t>
      </w:r>
      <w:r>
        <w:rPr>
          <w:rFonts w:ascii="Arial" w:cs="Arial" w:eastAsia="Arial" w:hAnsi="Arial"/>
          <w:sz w:val="21"/>
          <w:szCs w:val="21"/>
          <w:b w:val="1"/>
          <w:bCs w:val="1"/>
          <w:color w:val="auto"/>
        </w:rPr>
        <w:t xml:space="preserve"> </w:t>
      </w:r>
      <w:r>
        <w:rPr>
          <w:rFonts w:ascii="Arial" w:cs="Arial" w:eastAsia="Arial" w:hAnsi="Arial"/>
          <w:sz w:val="21"/>
          <w:szCs w:val="21"/>
          <w:color w:val="auto"/>
        </w:rPr>
        <w:t>Columbia County in the State of Georgia. DialHD is apparently owned in whole or in part by Donald Bowers, who is the father of WideBand defendant Lonny Bowers. On September 7, 2010, the Court dismissed most of the claims against ClearOne. On September 13, 2011, the Court dismissed the remaining claims against ClearOne. On October 12, 2011, ClearOne filed a motion seeking an award of its attorney fees and costs incurred in the case from Dial HD, Donald Bowers, and/or the attorney representing them, as a sanction. That motion is pending.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60"/>
          </w:cols>
          <w:pgMar w:left="240" w:top="11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type w:val="continuous"/>
        </w:sectPr>
      </w:pPr>
    </w:p>
    <w:bookmarkStart w:id="21" w:name="page22"/>
    <w:bookmarkEnd w:id="21"/>
    <w:p>
      <w:pPr>
        <w:jc w:val="center"/>
        <w:ind w:right="-15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REMOVED AND RESERVED.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206"/>
        </w:trPr>
        <w:tc>
          <w:tcPr>
            <w:tcW w:w="80" w:type="dxa"/>
            <w:vAlign w:val="bottom"/>
            <w:tcBorders>
              <w:top w:val="single" w:sz="8" w:color="808080"/>
              <w:left w:val="single" w:sz="8" w:color="808080"/>
            </w:tcBorders>
          </w:tcPr>
          <w:p>
            <w:pPr>
              <w:spacing w:after="0"/>
              <w:rPr>
                <w:sz w:val="17"/>
                <w:szCs w:val="17"/>
                <w:color w:val="auto"/>
              </w:rPr>
            </w:pPr>
          </w:p>
        </w:tc>
        <w:tc>
          <w:tcPr>
            <w:tcW w:w="1600" w:type="dxa"/>
            <w:vAlign w:val="bottom"/>
            <w:tcBorders>
              <w:top w:val="single" w:sz="8" w:color="808080"/>
            </w:tcBorders>
            <w:gridSpan w:val="2"/>
          </w:tcPr>
          <w:p>
            <w:pPr>
              <w:spacing w:after="0" w:line="206" w:lineRule="exact"/>
              <w:rPr>
                <w:sz w:val="20"/>
                <w:szCs w:val="20"/>
                <w:color w:val="auto"/>
              </w:rPr>
            </w:pPr>
            <w:r>
              <w:rPr>
                <w:rFonts w:ascii="Arial" w:cs="Arial" w:eastAsia="Arial" w:hAnsi="Arial"/>
                <w:sz w:val="18"/>
                <w:szCs w:val="18"/>
                <w:b w:val="1"/>
                <w:bCs w:val="1"/>
                <w:color w:val="auto"/>
              </w:rPr>
              <w:t>Exhibit No.</w:t>
            </w:r>
          </w:p>
        </w:tc>
        <w:tc>
          <w:tcPr>
            <w:tcW w:w="6260" w:type="dxa"/>
            <w:vAlign w:val="bottom"/>
            <w:tcBorders>
              <w:top w:val="single" w:sz="8" w:color="808080"/>
              <w:right w:val="single" w:sz="8" w:color="808080"/>
            </w:tcBorders>
            <w:gridSpan w:val="4"/>
          </w:tcPr>
          <w:p>
            <w:pPr>
              <w:spacing w:after="0" w:line="206" w:lineRule="exact"/>
              <w:rPr>
                <w:sz w:val="20"/>
                <w:szCs w:val="20"/>
                <w:color w:val="auto"/>
              </w:rPr>
            </w:pPr>
            <w:r>
              <w:rPr>
                <w:rFonts w:ascii="Arial" w:cs="Arial" w:eastAsia="Arial" w:hAnsi="Arial"/>
                <w:sz w:val="18"/>
                <w:szCs w:val="18"/>
                <w:b w:val="1"/>
                <w:bCs w:val="1"/>
                <w:color w:val="auto"/>
              </w:rPr>
              <w:t>Title of Document</w:t>
            </w:r>
          </w:p>
        </w:tc>
        <w:tc>
          <w:tcPr>
            <w:tcW w:w="0" w:type="dxa"/>
            <w:vAlign w:val="bottom"/>
          </w:tcPr>
          <w:p>
            <w:pPr>
              <w:spacing w:after="0"/>
              <w:rPr>
                <w:sz w:val="1"/>
                <w:szCs w:val="1"/>
                <w:color w:val="auto"/>
              </w:rPr>
            </w:pPr>
          </w:p>
        </w:tc>
      </w:tr>
      <w:tr>
        <w:trPr>
          <w:trHeight w:val="21"/>
        </w:trPr>
        <w:tc>
          <w:tcPr>
            <w:tcW w:w="80" w:type="dxa"/>
            <w:vAlign w:val="bottom"/>
            <w:tcBorders>
              <w:left w:val="single" w:sz="8" w:color="808080"/>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Borders>
              <w:right w:val="single" w:sz="8" w:color="808080"/>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Borders>
              <w:left w:val="single" w:sz="8" w:color="808080"/>
            </w:tcBorders>
            <w:gridSpan w:val="2"/>
            <w:shd w:val="clear" w:color="auto" w:fill="EAF1DD"/>
          </w:tcPr>
          <w:p>
            <w:pPr>
              <w:ind w:left="80"/>
              <w:spacing w:after="0"/>
              <w:rPr>
                <w:sz w:val="20"/>
                <w:szCs w:val="20"/>
                <w:color w:val="auto"/>
              </w:rPr>
            </w:pPr>
            <w:r>
              <w:rPr>
                <w:rFonts w:ascii="Arial" w:cs="Arial" w:eastAsia="Arial" w:hAnsi="Arial"/>
                <w:sz w:val="18"/>
                <w:szCs w:val="18"/>
                <w:color w:val="auto"/>
              </w:rPr>
              <w:t>31.1</w:t>
            </w:r>
          </w:p>
        </w:tc>
        <w:tc>
          <w:tcPr>
            <w:tcW w:w="720" w:type="dxa"/>
            <w:vAlign w:val="bottom"/>
            <w:shd w:val="clear" w:color="auto" w:fill="EAF1DD"/>
          </w:tcPr>
          <w:p>
            <w:pPr>
              <w:spacing w:after="0"/>
              <w:rPr>
                <w:sz w:val="18"/>
                <w:szCs w:val="18"/>
                <w:color w:val="auto"/>
              </w:rPr>
            </w:pPr>
          </w:p>
        </w:tc>
        <w:tc>
          <w:tcPr>
            <w:tcW w:w="880" w:type="dxa"/>
            <w:vAlign w:val="bottom"/>
            <w:shd w:val="clear" w:color="auto" w:fill="EAF1DD"/>
          </w:tcPr>
          <w:p>
            <w:pPr>
              <w:spacing w:after="0"/>
              <w:rPr>
                <w:sz w:val="20"/>
                <w:szCs w:val="20"/>
                <w:color w:val="auto"/>
              </w:rPr>
            </w:pPr>
            <w:r>
              <w:rPr>
                <w:rFonts w:ascii="Arial" w:cs="Arial" w:eastAsia="Arial" w:hAnsi="Arial"/>
                <w:sz w:val="18"/>
                <w:szCs w:val="18"/>
                <w:color w:val="auto"/>
                <w:w w:val="90"/>
              </w:rPr>
              <w:t>Section 302</w:t>
            </w:r>
          </w:p>
        </w:tc>
        <w:tc>
          <w:tcPr>
            <w:tcW w:w="5340" w:type="dxa"/>
            <w:vAlign w:val="bottom"/>
            <w:gridSpan w:val="2"/>
            <w:shd w:val="clear" w:color="auto" w:fill="EAF1DD"/>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40" w:type="dxa"/>
            <w:vAlign w:val="bottom"/>
            <w:tcBorders>
              <w:right w:val="single" w:sz="8" w:color="80808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Financial Officer</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tcBorders>
            <w:gridSpan w:val="2"/>
            <w:shd w:val="clear" w:color="auto" w:fill="EAF1DD"/>
          </w:tcPr>
          <w:p>
            <w:pPr>
              <w:ind w:left="80"/>
              <w:spacing w:after="0"/>
              <w:rPr>
                <w:sz w:val="20"/>
                <w:szCs w:val="20"/>
                <w:color w:val="auto"/>
              </w:rPr>
            </w:pPr>
            <w:r>
              <w:rPr>
                <w:rFonts w:ascii="Arial" w:cs="Arial" w:eastAsia="Arial" w:hAnsi="Arial"/>
                <w:sz w:val="18"/>
                <w:szCs w:val="18"/>
                <w:color w:val="auto"/>
              </w:rPr>
              <w:t>32.1</w:t>
            </w:r>
          </w:p>
        </w:tc>
        <w:tc>
          <w:tcPr>
            <w:tcW w:w="720" w:type="dxa"/>
            <w:vAlign w:val="bottom"/>
            <w:shd w:val="clear" w:color="auto" w:fill="EAF1DD"/>
          </w:tcPr>
          <w:p>
            <w:pPr>
              <w:spacing w:after="0"/>
              <w:rPr>
                <w:sz w:val="18"/>
                <w:szCs w:val="18"/>
                <w:color w:val="auto"/>
              </w:rPr>
            </w:pPr>
          </w:p>
        </w:tc>
        <w:tc>
          <w:tcPr>
            <w:tcW w:w="880" w:type="dxa"/>
            <w:vAlign w:val="bottom"/>
            <w:shd w:val="clear" w:color="auto" w:fill="EAF1DD"/>
          </w:tcPr>
          <w:p>
            <w:pPr>
              <w:spacing w:after="0"/>
              <w:rPr>
                <w:sz w:val="20"/>
                <w:szCs w:val="20"/>
                <w:color w:val="auto"/>
              </w:rPr>
            </w:pPr>
            <w:r>
              <w:rPr>
                <w:rFonts w:ascii="Arial" w:cs="Arial" w:eastAsia="Arial" w:hAnsi="Arial"/>
                <w:sz w:val="18"/>
                <w:szCs w:val="18"/>
                <w:color w:val="auto"/>
                <w:w w:val="90"/>
              </w:rPr>
              <w:t>Section 906</w:t>
            </w:r>
          </w:p>
        </w:tc>
        <w:tc>
          <w:tcPr>
            <w:tcW w:w="5340" w:type="dxa"/>
            <w:vAlign w:val="bottom"/>
            <w:gridSpan w:val="2"/>
            <w:shd w:val="clear" w:color="auto" w:fill="EAF1DD"/>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808080"/>
            </w:tcBorders>
            <w:gridSpan w:val="2"/>
          </w:tcPr>
          <w:p>
            <w:pPr>
              <w:ind w:left="8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Financial Officer</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808080"/>
            </w:tcBorders>
            <w:shd w:val="clear" w:color="auto" w:fill="EAF1DD"/>
          </w:tcPr>
          <w:p>
            <w:pPr>
              <w:spacing w:after="0"/>
              <w:rPr>
                <w:sz w:val="18"/>
                <w:szCs w:val="18"/>
                <w:color w:val="auto"/>
              </w:rPr>
            </w:pPr>
          </w:p>
        </w:tc>
        <w:tc>
          <w:tcPr>
            <w:tcW w:w="1600" w:type="dxa"/>
            <w:vAlign w:val="bottom"/>
            <w:gridSpan w:val="2"/>
            <w:shd w:val="clear" w:color="auto" w:fill="EAF1DD"/>
          </w:tcPr>
          <w:p>
            <w:pPr>
              <w:spacing w:after="0"/>
              <w:rPr>
                <w:sz w:val="20"/>
                <w:szCs w:val="20"/>
                <w:color w:val="auto"/>
              </w:rPr>
            </w:pPr>
            <w:r>
              <w:rPr>
                <w:rFonts w:ascii="Arial" w:cs="Arial" w:eastAsia="Arial" w:hAnsi="Arial"/>
                <w:sz w:val="18"/>
                <w:szCs w:val="18"/>
                <w:color w:val="auto"/>
              </w:rPr>
              <w:t>101.INS</w:t>
            </w:r>
          </w:p>
        </w:tc>
        <w:tc>
          <w:tcPr>
            <w:tcW w:w="6220" w:type="dxa"/>
            <w:vAlign w:val="bottom"/>
            <w:gridSpan w:val="3"/>
            <w:shd w:val="clear" w:color="auto" w:fill="EAF1DD"/>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808080"/>
            </w:tcBorders>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808080"/>
            </w:tcBorders>
            <w:shd w:val="clear" w:color="auto" w:fill="EAF1DD"/>
          </w:tcPr>
          <w:p>
            <w:pPr>
              <w:spacing w:after="0"/>
              <w:rPr>
                <w:sz w:val="18"/>
                <w:szCs w:val="18"/>
                <w:color w:val="auto"/>
              </w:rPr>
            </w:pPr>
          </w:p>
        </w:tc>
        <w:tc>
          <w:tcPr>
            <w:tcW w:w="1600" w:type="dxa"/>
            <w:vAlign w:val="bottom"/>
            <w:gridSpan w:val="2"/>
            <w:shd w:val="clear" w:color="auto" w:fill="EAF1DD"/>
          </w:tcPr>
          <w:p>
            <w:pPr>
              <w:spacing w:after="0"/>
              <w:rPr>
                <w:sz w:val="20"/>
                <w:szCs w:val="20"/>
                <w:color w:val="auto"/>
              </w:rPr>
            </w:pPr>
            <w:r>
              <w:rPr>
                <w:rFonts w:ascii="Arial" w:cs="Arial" w:eastAsia="Arial" w:hAnsi="Arial"/>
                <w:sz w:val="18"/>
                <w:szCs w:val="18"/>
                <w:color w:val="auto"/>
              </w:rPr>
              <w:t>101.CAL</w:t>
            </w:r>
          </w:p>
        </w:tc>
        <w:tc>
          <w:tcPr>
            <w:tcW w:w="6220" w:type="dxa"/>
            <w:vAlign w:val="bottom"/>
            <w:gridSpan w:val="3"/>
            <w:shd w:val="clear" w:color="auto" w:fill="EAF1DD"/>
          </w:tcPr>
          <w:p>
            <w:pPr>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808080"/>
            </w:tcBorders>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2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808080"/>
            </w:tcBorders>
            <w:shd w:val="clear" w:color="auto" w:fill="EAF1DD"/>
          </w:tcPr>
          <w:p>
            <w:pPr>
              <w:spacing w:after="0"/>
              <w:rPr>
                <w:sz w:val="18"/>
                <w:szCs w:val="18"/>
                <w:color w:val="auto"/>
              </w:rPr>
            </w:pPr>
          </w:p>
        </w:tc>
        <w:tc>
          <w:tcPr>
            <w:tcW w:w="1600" w:type="dxa"/>
            <w:vAlign w:val="bottom"/>
            <w:gridSpan w:val="2"/>
            <w:shd w:val="clear" w:color="auto" w:fill="EAF1DD"/>
          </w:tcPr>
          <w:p>
            <w:pPr>
              <w:spacing w:after="0"/>
              <w:rPr>
                <w:sz w:val="20"/>
                <w:szCs w:val="20"/>
                <w:color w:val="auto"/>
              </w:rPr>
            </w:pPr>
            <w:r>
              <w:rPr>
                <w:rFonts w:ascii="Arial" w:cs="Arial" w:eastAsia="Arial" w:hAnsi="Arial"/>
                <w:sz w:val="18"/>
                <w:szCs w:val="18"/>
                <w:color w:val="auto"/>
              </w:rPr>
              <w:t>101.LAB</w:t>
            </w:r>
          </w:p>
        </w:tc>
        <w:tc>
          <w:tcPr>
            <w:tcW w:w="6220" w:type="dxa"/>
            <w:vAlign w:val="bottom"/>
            <w:gridSpan w:val="3"/>
            <w:shd w:val="clear" w:color="auto" w:fill="EAF1DD"/>
          </w:tcPr>
          <w:p>
            <w:pPr>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Borders>
              <w:left w:val="single" w:sz="8" w:color="808080"/>
              <w:bottom w:val="single" w:sz="8" w:color="808080"/>
            </w:tcBorders>
          </w:tcPr>
          <w:p>
            <w:pPr>
              <w:spacing w:after="0"/>
              <w:rPr>
                <w:sz w:val="19"/>
                <w:szCs w:val="19"/>
                <w:color w:val="auto"/>
              </w:rPr>
            </w:pPr>
          </w:p>
        </w:tc>
        <w:tc>
          <w:tcPr>
            <w:tcW w:w="16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101.PRE</w:t>
            </w:r>
          </w:p>
        </w:tc>
        <w:tc>
          <w:tcPr>
            <w:tcW w:w="6220" w:type="dxa"/>
            <w:vAlign w:val="bottom"/>
            <w:tcBorders>
              <w:bottom w:val="single" w:sz="8" w:color="808080"/>
            </w:tcBorders>
            <w:gridSpan w:val="3"/>
          </w:tcPr>
          <w:p>
            <w:pPr>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Borders>
              <w:bottom w:val="single" w:sz="8" w:color="808080"/>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30" w:type="dxa"/>
        <w:tblCellMar>
          <w:top w:w="0" w:type="dxa"/>
          <w:left w:w="0" w:type="dxa"/>
          <w:bottom w:w="0" w:type="dxa"/>
          <w:right w:w="0" w:type="dxa"/>
        </w:tblCellMar>
      </w:tblPr>
      <w:tr>
        <w:trPr>
          <w:trHeight w:val="232"/>
        </w:trPr>
        <w:tc>
          <w:tcPr>
            <w:tcW w:w="3080" w:type="dxa"/>
            <w:vAlign w:val="bottom"/>
            <w:tcBorders>
              <w:top w:val="single" w:sz="8" w:color="808080"/>
              <w:left w:val="single" w:sz="8" w:color="808080"/>
            </w:tcBorders>
          </w:tcPr>
          <w:p>
            <w:pPr>
              <w:spacing w:after="0"/>
              <w:rPr>
                <w:sz w:val="20"/>
                <w:szCs w:val="20"/>
                <w:color w:val="auto"/>
              </w:rPr>
            </w:pPr>
          </w:p>
        </w:tc>
        <w:tc>
          <w:tcPr>
            <w:tcW w:w="2200" w:type="dxa"/>
            <w:vAlign w:val="bottom"/>
            <w:tcBorders>
              <w:top w:val="single" w:sz="8" w:color="808080"/>
            </w:tcBorders>
          </w:tcPr>
          <w:p>
            <w:pPr>
              <w:spacing w:after="0"/>
              <w:rPr>
                <w:sz w:val="20"/>
                <w:szCs w:val="20"/>
                <w:color w:val="auto"/>
              </w:rPr>
            </w:pPr>
          </w:p>
        </w:tc>
        <w:tc>
          <w:tcPr>
            <w:tcW w:w="4460" w:type="dxa"/>
            <w:vAlign w:val="bottom"/>
            <w:tcBorders>
              <w:top w:val="single" w:sz="8" w:color="808080"/>
              <w:right w:val="single" w:sz="8" w:color="808080"/>
            </w:tcBorders>
            <w:gridSpan w:val="2"/>
          </w:tcPr>
          <w:p>
            <w:pPr>
              <w:ind w:left="60"/>
              <w:spacing w:after="0"/>
              <w:rPr>
                <w:sz w:val="20"/>
                <w:szCs w:val="20"/>
                <w:color w:val="auto"/>
              </w:rPr>
            </w:pPr>
            <w:r>
              <w:rPr>
                <w:rFonts w:ascii="Arial" w:cs="Arial" w:eastAsia="Arial" w:hAnsi="Arial"/>
                <w:sz w:val="18"/>
                <w:szCs w:val="18"/>
                <w:color w:val="auto"/>
              </w:rPr>
              <w:t>ClearOne Communications, Inc.,</w:t>
            </w:r>
          </w:p>
        </w:tc>
      </w:tr>
      <w:tr>
        <w:trPr>
          <w:trHeight w:val="230"/>
        </w:trPr>
        <w:tc>
          <w:tcPr>
            <w:tcW w:w="3080" w:type="dxa"/>
            <w:vAlign w:val="bottom"/>
            <w:tcBorders>
              <w:left w:val="single" w:sz="8" w:color="808080"/>
            </w:tcBorders>
          </w:tcPr>
          <w:p>
            <w:pPr>
              <w:spacing w:after="0"/>
              <w:rPr>
                <w:sz w:val="20"/>
                <w:szCs w:val="20"/>
                <w:color w:val="auto"/>
              </w:rPr>
            </w:pPr>
          </w:p>
        </w:tc>
        <w:tc>
          <w:tcPr>
            <w:tcW w:w="2200" w:type="dxa"/>
            <w:vAlign w:val="bottom"/>
          </w:tcPr>
          <w:p>
            <w:pPr>
              <w:spacing w:after="0"/>
              <w:rPr>
                <w:sz w:val="20"/>
                <w:szCs w:val="20"/>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(Registrant)</w:t>
            </w:r>
          </w:p>
        </w:tc>
      </w:tr>
      <w:tr>
        <w:trPr>
          <w:trHeight w:val="648"/>
        </w:trPr>
        <w:tc>
          <w:tcPr>
            <w:tcW w:w="30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November 14,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/s/ Zeynep Hakimoglu</w:t>
            </w:r>
          </w:p>
        </w:tc>
      </w:tr>
      <w:tr>
        <w:trPr>
          <w:trHeight w:val="195"/>
        </w:trPr>
        <w:tc>
          <w:tcPr>
            <w:tcW w:w="3080" w:type="dxa"/>
            <w:vAlign w:val="bottom"/>
            <w:tcBorders>
              <w:left w:val="single" w:sz="8" w:color="808080"/>
            </w:tcBorders>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Zeynep Hakimoglu</w:t>
            </w:r>
          </w:p>
        </w:tc>
        <w:tc>
          <w:tcPr>
            <w:tcW w:w="2240" w:type="dxa"/>
            <w:vAlign w:val="bottom"/>
            <w:tcBorders>
              <w:right w:val="single" w:sz="8" w:color="808080"/>
            </w:tcBorders>
          </w:tcPr>
          <w:p>
            <w:pPr>
              <w:spacing w:after="0"/>
              <w:rPr>
                <w:sz w:val="16"/>
                <w:szCs w:val="16"/>
                <w:color w:val="auto"/>
              </w:rPr>
            </w:pPr>
          </w:p>
        </w:tc>
      </w:tr>
      <w:tr>
        <w:trPr>
          <w:trHeight w:val="216"/>
        </w:trPr>
        <w:tc>
          <w:tcPr>
            <w:tcW w:w="3080" w:type="dxa"/>
            <w:vAlign w:val="bottom"/>
            <w:tcBorders>
              <w:left w:val="single" w:sz="8" w:color="808080"/>
            </w:tcBorders>
          </w:tcPr>
          <w:p>
            <w:pPr>
              <w:spacing w:after="0"/>
              <w:rPr>
                <w:sz w:val="18"/>
                <w:szCs w:val="18"/>
                <w:color w:val="auto"/>
              </w:rPr>
            </w:pPr>
          </w:p>
        </w:tc>
        <w:tc>
          <w:tcPr>
            <w:tcW w:w="2200" w:type="dxa"/>
            <w:vAlign w:val="bottom"/>
          </w:tcPr>
          <w:p>
            <w:pPr>
              <w:spacing w:after="0"/>
              <w:rPr>
                <w:sz w:val="18"/>
                <w:szCs w:val="18"/>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3080" w:type="dxa"/>
            <w:vAlign w:val="bottom"/>
            <w:tcBorders>
              <w:left w:val="single" w:sz="8" w:color="808080"/>
            </w:tcBorders>
          </w:tcPr>
          <w:p>
            <w:pPr>
              <w:spacing w:after="0"/>
              <w:rPr>
                <w:sz w:val="20"/>
                <w:szCs w:val="20"/>
                <w:color w:val="auto"/>
              </w:rPr>
            </w:pPr>
          </w:p>
        </w:tc>
        <w:tc>
          <w:tcPr>
            <w:tcW w:w="2200" w:type="dxa"/>
            <w:vAlign w:val="bottom"/>
          </w:tcPr>
          <w:p>
            <w:pPr>
              <w:spacing w:after="0"/>
              <w:rPr>
                <w:sz w:val="20"/>
                <w:szCs w:val="20"/>
                <w:color w:val="auto"/>
              </w:rPr>
            </w:pP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080" w:type="dxa"/>
            <w:vAlign w:val="bottom"/>
            <w:tcBorders>
              <w:left w:val="single" w:sz="8" w:color="808080"/>
            </w:tcBorders>
          </w:tcPr>
          <w:p>
            <w:pPr>
              <w:ind w:left="80"/>
              <w:spacing w:after="0"/>
              <w:rPr>
                <w:sz w:val="20"/>
                <w:szCs w:val="20"/>
                <w:color w:val="auto"/>
              </w:rPr>
            </w:pPr>
            <w:r>
              <w:rPr>
                <w:rFonts w:ascii="Arial" w:cs="Arial" w:eastAsia="Arial" w:hAnsi="Arial"/>
                <w:sz w:val="18"/>
                <w:szCs w:val="18"/>
                <w:color w:val="auto"/>
              </w:rPr>
              <w:t>November 14,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4460" w:type="dxa"/>
            <w:vAlign w:val="bottom"/>
            <w:tcBorders>
              <w:right w:val="single" w:sz="8" w:color="808080"/>
            </w:tcBorders>
            <w:gridSpan w:val="2"/>
          </w:tcPr>
          <w:p>
            <w:pPr>
              <w:ind w:left="60"/>
              <w:spacing w:after="0"/>
              <w:rPr>
                <w:sz w:val="20"/>
                <w:szCs w:val="20"/>
                <w:color w:val="auto"/>
              </w:rPr>
            </w:pPr>
            <w:r>
              <w:rPr>
                <w:rFonts w:ascii="Arial" w:cs="Arial" w:eastAsia="Arial" w:hAnsi="Arial"/>
                <w:sz w:val="18"/>
                <w:szCs w:val="18"/>
                <w:color w:val="auto"/>
              </w:rPr>
              <w:t>/s/ Narsi Narayanan</w:t>
            </w:r>
          </w:p>
        </w:tc>
      </w:tr>
      <w:tr>
        <w:trPr>
          <w:trHeight w:val="195"/>
        </w:trPr>
        <w:tc>
          <w:tcPr>
            <w:tcW w:w="3080" w:type="dxa"/>
            <w:vAlign w:val="bottom"/>
            <w:tcBorders>
              <w:left w:val="single" w:sz="8" w:color="808080"/>
            </w:tcBorders>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Narsi Narayanan</w:t>
            </w:r>
          </w:p>
        </w:tc>
        <w:tc>
          <w:tcPr>
            <w:tcW w:w="2240" w:type="dxa"/>
            <w:vAlign w:val="bottom"/>
            <w:tcBorders>
              <w:right w:val="single" w:sz="8" w:color="808080"/>
            </w:tcBorders>
          </w:tcPr>
          <w:p>
            <w:pPr>
              <w:spacing w:after="0"/>
              <w:rPr>
                <w:sz w:val="16"/>
                <w:szCs w:val="16"/>
                <w:color w:val="auto"/>
              </w:rPr>
            </w:pPr>
          </w:p>
        </w:tc>
      </w:tr>
      <w:tr>
        <w:trPr>
          <w:trHeight w:val="216"/>
        </w:trPr>
        <w:tc>
          <w:tcPr>
            <w:tcW w:w="3080" w:type="dxa"/>
            <w:vAlign w:val="bottom"/>
            <w:tcBorders>
              <w:left w:val="single" w:sz="8" w:color="808080"/>
            </w:tcBorders>
          </w:tcPr>
          <w:p>
            <w:pPr>
              <w:spacing w:after="0"/>
              <w:rPr>
                <w:sz w:val="18"/>
                <w:szCs w:val="18"/>
                <w:color w:val="auto"/>
              </w:rPr>
            </w:pPr>
          </w:p>
        </w:tc>
        <w:tc>
          <w:tcPr>
            <w:tcW w:w="2200" w:type="dxa"/>
            <w:vAlign w:val="bottom"/>
          </w:tcPr>
          <w:p>
            <w:pPr>
              <w:spacing w:after="0"/>
              <w:rPr>
                <w:sz w:val="18"/>
                <w:szCs w:val="18"/>
                <w:color w:val="auto"/>
              </w:rPr>
            </w:pPr>
          </w:p>
        </w:tc>
        <w:tc>
          <w:tcPr>
            <w:tcW w:w="4460" w:type="dxa"/>
            <w:vAlign w:val="bottom"/>
            <w:tcBorders>
              <w:right w:val="single" w:sz="8" w:color="808080"/>
            </w:tcBorders>
            <w:gridSpan w:val="2"/>
          </w:tcPr>
          <w:p>
            <w:pPr>
              <w:ind w:left="100"/>
              <w:spacing w:after="0"/>
              <w:rPr>
                <w:sz w:val="20"/>
                <w:szCs w:val="20"/>
                <w:color w:val="auto"/>
              </w:rPr>
            </w:pPr>
            <w:r>
              <w:rPr>
                <w:rFonts w:ascii="Arial" w:cs="Arial" w:eastAsia="Arial" w:hAnsi="Arial"/>
                <w:sz w:val="18"/>
                <w:szCs w:val="18"/>
                <w:color w:val="auto"/>
              </w:rPr>
              <w:t>Vice President of Finance</w:t>
            </w:r>
          </w:p>
        </w:tc>
      </w:tr>
      <w:tr>
        <w:trPr>
          <w:trHeight w:val="241"/>
        </w:trPr>
        <w:tc>
          <w:tcPr>
            <w:tcW w:w="3080" w:type="dxa"/>
            <w:vAlign w:val="bottom"/>
            <w:tcBorders>
              <w:left w:val="single" w:sz="8" w:color="808080"/>
              <w:bottom w:val="single" w:sz="8" w:color="808080"/>
            </w:tcBorders>
          </w:tcPr>
          <w:p>
            <w:pPr>
              <w:spacing w:after="0"/>
              <w:rPr>
                <w:sz w:val="20"/>
                <w:szCs w:val="20"/>
                <w:color w:val="auto"/>
              </w:rPr>
            </w:pPr>
          </w:p>
        </w:tc>
        <w:tc>
          <w:tcPr>
            <w:tcW w:w="2200" w:type="dxa"/>
            <w:vAlign w:val="bottom"/>
            <w:tcBorders>
              <w:bottom w:val="single" w:sz="8" w:color="808080"/>
            </w:tcBorders>
          </w:tcPr>
          <w:p>
            <w:pPr>
              <w:spacing w:after="0"/>
              <w:rPr>
                <w:sz w:val="20"/>
                <w:szCs w:val="20"/>
                <w:color w:val="auto"/>
              </w:rPr>
            </w:pPr>
          </w:p>
        </w:tc>
        <w:tc>
          <w:tcPr>
            <w:tcW w:w="4460" w:type="dxa"/>
            <w:vAlign w:val="bottom"/>
            <w:tcBorders>
              <w:bottom w:val="single" w:sz="8" w:color="808080"/>
              <w:right w:val="single" w:sz="8" w:color="808080"/>
            </w:tcBorders>
            <w:gridSpan w:val="2"/>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20</w:t>
      </w:r>
      <w:r>
        <w:rPr>
          <w:rFonts w:ascii="Arial" w:cs="Arial" w:eastAsia="Arial" w:hAnsi="Arial"/>
          <w:sz w:val="22"/>
          <w:szCs w:val="22"/>
          <w:color w:val="auto"/>
        </w:rPr>
        <w:t xml:space="preserve"> |</w:t>
      </w:r>
    </w:p>
    <w:p>
      <w:pPr>
        <w:sectPr>
          <w:pgSz w:w="11900" w:h="16838" w:orient="portrait"/>
          <w:cols w:equalWidth="0" w:num="1">
            <w:col w:w="11280"/>
          </w:cols>
          <w:pgMar w:left="240" w:top="111" w:right="37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Zeynep Hakimoglu, certify that:</w:t>
      </w:r>
    </w:p>
    <w:p>
      <w:pPr>
        <w:spacing w:after="0" w:line="85" w:lineRule="exact"/>
        <w:rPr>
          <w:sz w:val="20"/>
          <w:szCs w:val="20"/>
          <w:color w:val="auto"/>
        </w:rPr>
      </w:pPr>
    </w:p>
    <w:p>
      <w:pPr>
        <w:ind w:left="800" w:hanging="468"/>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2"/>
          <w:szCs w:val="22"/>
          <w:color w:val="auto"/>
        </w:rPr>
        <w:t>I have reviewed this quarterly report of ClearOne Communications, Inc. on Form 10-Q;</w:t>
      </w:r>
    </w:p>
    <w:p>
      <w:pPr>
        <w:spacing w:after="0" w:line="84" w:lineRule="exact"/>
        <w:rPr>
          <w:rFonts w:ascii="Arial" w:cs="Arial" w:eastAsia="Arial" w:hAnsi="Arial"/>
          <w:sz w:val="20"/>
          <w:szCs w:val="20"/>
          <w:color w:val="auto"/>
        </w:rPr>
      </w:pPr>
    </w:p>
    <w:p>
      <w:pPr>
        <w:ind w:left="820" w:right="20" w:hanging="488"/>
        <w:spacing w:after="0"/>
        <w:tabs>
          <w:tab w:leader="none" w:pos="793" w:val="left"/>
        </w:tabs>
        <w:numPr>
          <w:ilvl w:val="0"/>
          <w:numId w:val="4"/>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left="820" w:hanging="488"/>
        <w:spacing w:after="0"/>
        <w:tabs>
          <w:tab w:leader="none" w:pos="793" w:val="left"/>
        </w:tabs>
        <w:numPr>
          <w:ilvl w:val="0"/>
          <w:numId w:val="4"/>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ind w:left="820" w:right="220" w:hanging="488"/>
        <w:spacing w:after="0" w:line="258" w:lineRule="auto"/>
        <w:tabs>
          <w:tab w:leader="none" w:pos="793" w:val="left"/>
        </w:tabs>
        <w:numPr>
          <w:ilvl w:val="0"/>
          <w:numId w:val="4"/>
        </w:numPr>
        <w:rPr>
          <w:rFonts w:ascii="Arial" w:cs="Arial" w:eastAsia="Arial" w:hAnsi="Arial"/>
          <w:sz w:val="19"/>
          <w:szCs w:val="19"/>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820" w:right="40" w:hanging="488"/>
        <w:spacing w:after="0" w:line="297"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ind w:left="820" w:right="360" w:hanging="488"/>
        <w:spacing w:after="0" w:line="297"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820" w:right="220" w:hanging="488"/>
        <w:spacing w:after="0"/>
        <w:tabs>
          <w:tab w:leader="none" w:pos="793" w:val="left"/>
        </w:tabs>
        <w:numPr>
          <w:ilvl w:val="0"/>
          <w:numId w:val="5"/>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ind w:left="820" w:right="340" w:hanging="488"/>
        <w:spacing w:after="0" w:line="297"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 w:lineRule="exact"/>
        <w:rPr>
          <w:sz w:val="20"/>
          <w:szCs w:val="20"/>
          <w:color w:val="auto"/>
        </w:rPr>
      </w:pPr>
    </w:p>
    <w:p>
      <w:pPr>
        <w:ind w:left="820" w:right="160" w:hanging="488"/>
        <w:spacing w:after="0"/>
        <w:tabs>
          <w:tab w:leader="none" w:pos="793" w:val="left"/>
        </w:tabs>
        <w:numPr>
          <w:ilvl w:val="0"/>
          <w:numId w:val="6"/>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sz w:val="20"/>
          <w:szCs w:val="20"/>
          <w:color w:val="auto"/>
        </w:rPr>
      </w:pPr>
    </w:p>
    <w:p>
      <w:pPr>
        <w:ind w:left="820" w:right="140" w:hanging="488"/>
        <w:spacing w:after="0"/>
        <w:tabs>
          <w:tab w:leader="none" w:pos="793" w:val="left"/>
        </w:tabs>
        <w:numPr>
          <w:ilvl w:val="0"/>
          <w:numId w:val="7"/>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820" w:right="600" w:hanging="488"/>
        <w:spacing w:after="0" w:line="251" w:lineRule="auto"/>
        <w:tabs>
          <w:tab w:leader="none" w:pos="793" w:val="left"/>
        </w:tabs>
        <w:numPr>
          <w:ilvl w:val="0"/>
          <w:numId w:val="7"/>
        </w:numPr>
        <w:rPr>
          <w:rFonts w:ascii="Arial" w:cs="Arial" w:eastAsia="Arial" w:hAnsi="Arial"/>
          <w:sz w:val="20"/>
          <w:szCs w:val="20"/>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361950</wp:posOffset>
            </wp:positionV>
            <wp:extent cx="5775960" cy="973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5960" cy="9734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0"/>
        <w:spacing w:after="0"/>
        <w:tabs>
          <w:tab w:leader="none" w:pos="4300" w:val="left"/>
          <w:tab w:leader="none" w:pos="4960" w:val="left"/>
        </w:tabs>
        <w:rPr>
          <w:sz w:val="20"/>
          <w:szCs w:val="20"/>
          <w:color w:val="auto"/>
        </w:rPr>
      </w:pPr>
      <w:r>
        <w:rPr>
          <w:rFonts w:ascii="Arial" w:cs="Arial" w:eastAsia="Arial" w:hAnsi="Arial"/>
          <w:sz w:val="18"/>
          <w:szCs w:val="18"/>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Zeynep Hakimoglu</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Narsi Narayanan, certify that:</w:t>
      </w:r>
    </w:p>
    <w:p>
      <w:pPr>
        <w:spacing w:after="0" w:line="85" w:lineRule="exact"/>
        <w:rPr>
          <w:sz w:val="20"/>
          <w:szCs w:val="20"/>
          <w:color w:val="auto"/>
        </w:rPr>
      </w:pPr>
    </w:p>
    <w:p>
      <w:pPr>
        <w:ind w:left="800" w:hanging="468"/>
        <w:spacing w:after="0"/>
        <w:tabs>
          <w:tab w:leader="none" w:pos="800" w:val="left"/>
        </w:tabs>
        <w:numPr>
          <w:ilvl w:val="0"/>
          <w:numId w:val="8"/>
        </w:numPr>
        <w:rPr>
          <w:rFonts w:ascii="Arial" w:cs="Arial" w:eastAsia="Arial" w:hAnsi="Arial"/>
          <w:sz w:val="20"/>
          <w:szCs w:val="20"/>
          <w:color w:val="auto"/>
        </w:rPr>
      </w:pPr>
      <w:r>
        <w:rPr>
          <w:rFonts w:ascii="Arial" w:cs="Arial" w:eastAsia="Arial" w:hAnsi="Arial"/>
          <w:sz w:val="22"/>
          <w:szCs w:val="22"/>
          <w:color w:val="auto"/>
        </w:rPr>
        <w:t>I have reviewed this quarterly report of ClearOne Communications, Inc. on Form 10-Q;</w:t>
      </w:r>
    </w:p>
    <w:p>
      <w:pPr>
        <w:spacing w:after="0" w:line="84" w:lineRule="exact"/>
        <w:rPr>
          <w:rFonts w:ascii="Arial" w:cs="Arial" w:eastAsia="Arial" w:hAnsi="Arial"/>
          <w:sz w:val="20"/>
          <w:szCs w:val="20"/>
          <w:color w:val="auto"/>
        </w:rPr>
      </w:pPr>
    </w:p>
    <w:p>
      <w:pPr>
        <w:ind w:left="820" w:right="20" w:hanging="488"/>
        <w:spacing w:after="0"/>
        <w:tabs>
          <w:tab w:leader="none" w:pos="793" w:val="left"/>
        </w:tabs>
        <w:numPr>
          <w:ilvl w:val="0"/>
          <w:numId w:val="8"/>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20"/>
          <w:szCs w:val="20"/>
          <w:color w:val="auto"/>
        </w:rPr>
      </w:pPr>
    </w:p>
    <w:p>
      <w:pPr>
        <w:ind w:left="820" w:hanging="488"/>
        <w:spacing w:after="0"/>
        <w:tabs>
          <w:tab w:leader="none" w:pos="793" w:val="left"/>
        </w:tabs>
        <w:numPr>
          <w:ilvl w:val="0"/>
          <w:numId w:val="8"/>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ind w:left="820" w:right="220" w:hanging="488"/>
        <w:spacing w:after="0" w:line="258" w:lineRule="auto"/>
        <w:tabs>
          <w:tab w:leader="none" w:pos="793" w:val="left"/>
        </w:tabs>
        <w:numPr>
          <w:ilvl w:val="0"/>
          <w:numId w:val="8"/>
        </w:numPr>
        <w:rPr>
          <w:rFonts w:ascii="Arial" w:cs="Arial" w:eastAsia="Arial" w:hAnsi="Arial"/>
          <w:sz w:val="19"/>
          <w:szCs w:val="19"/>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820" w:right="40" w:hanging="488"/>
        <w:spacing w:after="0" w:line="297" w:lineRule="auto"/>
        <w:tabs>
          <w:tab w:leader="none" w:pos="793" w:val="left"/>
        </w:tabs>
        <w:numPr>
          <w:ilvl w:val="0"/>
          <w:numId w:val="9"/>
        </w:numPr>
        <w:rPr>
          <w:rFonts w:ascii="Arial" w:cs="Arial" w:eastAsia="Arial" w:hAnsi="Arial"/>
          <w:sz w:val="18"/>
          <w:szCs w:val="18"/>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ind w:left="820" w:right="360" w:hanging="488"/>
        <w:spacing w:after="0" w:line="297" w:lineRule="auto"/>
        <w:tabs>
          <w:tab w:leader="none" w:pos="793" w:val="left"/>
        </w:tabs>
        <w:numPr>
          <w:ilvl w:val="0"/>
          <w:numId w:val="9"/>
        </w:numPr>
        <w:rPr>
          <w:rFonts w:ascii="Arial" w:cs="Arial" w:eastAsia="Arial" w:hAnsi="Arial"/>
          <w:sz w:val="18"/>
          <w:szCs w:val="18"/>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820" w:right="220" w:hanging="488"/>
        <w:spacing w:after="0"/>
        <w:tabs>
          <w:tab w:leader="none" w:pos="793" w:val="left"/>
        </w:tabs>
        <w:numPr>
          <w:ilvl w:val="0"/>
          <w:numId w:val="9"/>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ind w:left="820" w:right="340" w:hanging="488"/>
        <w:spacing w:after="0" w:line="297" w:lineRule="auto"/>
        <w:tabs>
          <w:tab w:leader="none" w:pos="793" w:val="left"/>
        </w:tabs>
        <w:numPr>
          <w:ilvl w:val="0"/>
          <w:numId w:val="9"/>
        </w:numPr>
        <w:rPr>
          <w:rFonts w:ascii="Arial" w:cs="Arial" w:eastAsia="Arial" w:hAnsi="Arial"/>
          <w:sz w:val="18"/>
          <w:szCs w:val="18"/>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 w:lineRule="exact"/>
        <w:rPr>
          <w:sz w:val="20"/>
          <w:szCs w:val="20"/>
          <w:color w:val="auto"/>
        </w:rPr>
      </w:pPr>
    </w:p>
    <w:p>
      <w:pPr>
        <w:ind w:left="820" w:right="160" w:hanging="488"/>
        <w:spacing w:after="0"/>
        <w:tabs>
          <w:tab w:leader="none" w:pos="793" w:val="left"/>
        </w:tabs>
        <w:numPr>
          <w:ilvl w:val="0"/>
          <w:numId w:val="10"/>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sz w:val="20"/>
          <w:szCs w:val="20"/>
          <w:color w:val="auto"/>
        </w:rPr>
      </w:pPr>
    </w:p>
    <w:p>
      <w:pPr>
        <w:ind w:left="820" w:right="140" w:hanging="488"/>
        <w:spacing w:after="0"/>
        <w:tabs>
          <w:tab w:leader="none" w:pos="793" w:val="left"/>
        </w:tabs>
        <w:numPr>
          <w:ilvl w:val="0"/>
          <w:numId w:val="11"/>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820" w:right="600" w:hanging="488"/>
        <w:spacing w:after="0" w:line="251" w:lineRule="auto"/>
        <w:tabs>
          <w:tab w:leader="none" w:pos="793" w:val="left"/>
        </w:tabs>
        <w:numPr>
          <w:ilvl w:val="0"/>
          <w:numId w:val="11"/>
        </w:numPr>
        <w:rPr>
          <w:rFonts w:ascii="Arial" w:cs="Arial" w:eastAsia="Arial" w:hAnsi="Arial"/>
          <w:sz w:val="20"/>
          <w:szCs w:val="20"/>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361950</wp:posOffset>
            </wp:positionV>
            <wp:extent cx="5775960" cy="97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5960" cy="9734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0"/>
        <w:spacing w:after="0"/>
        <w:tabs>
          <w:tab w:leader="none" w:pos="4300" w:val="left"/>
          <w:tab w:leader="none" w:pos="4960" w:val="left"/>
        </w:tabs>
        <w:rPr>
          <w:sz w:val="20"/>
          <w:szCs w:val="20"/>
          <w:color w:val="auto"/>
        </w:rPr>
      </w:pPr>
      <w:r>
        <w:rPr>
          <w:rFonts w:ascii="Arial" w:cs="Arial" w:eastAsia="Arial" w:hAnsi="Arial"/>
          <w:sz w:val="18"/>
          <w:szCs w:val="18"/>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Narsi Narayanan</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I, Zeynep Hakimoglu, certify, to my best knowledge and belief, pursuant to 18 U.S.C. Section 1350, as adopted pursuant to Section 906 of the Sarbanes-Oxley Act of 2002, that the Quarterly Report of ClearOne Communications, Inc. on Form 10-Q for the quarter ended September 30,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4260" w:val="left"/>
          <w:tab w:leader="none" w:pos="4940" w:val="left"/>
        </w:tabs>
        <w:rPr>
          <w:sz w:val="20"/>
          <w:szCs w:val="20"/>
          <w:color w:val="auto"/>
        </w:rPr>
      </w:pPr>
      <w:r>
        <w:rPr>
          <w:rFonts w:ascii="Arial" w:cs="Arial" w:eastAsia="Arial" w:hAnsi="Arial"/>
          <w:sz w:val="18"/>
          <w:szCs w:val="18"/>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-130175</wp:posOffset>
            </wp:positionV>
            <wp:extent cx="1646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 Narsi Narayanan, certify, to my best knowledge and belief, pursuant to 18 U.S.C. Section 1350, as adopted pursuant to Section 906 of the Sarbanes-Oxley Act of 2002, that the Quarterly Report of ClearOne Communications, Inc. on Form 10-Q for the quarter ended September 30,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4260" w:val="left"/>
          <w:tab w:leader="none" w:pos="4940" w:val="left"/>
        </w:tabs>
        <w:rPr>
          <w:sz w:val="20"/>
          <w:szCs w:val="20"/>
          <w:color w:val="auto"/>
        </w:rPr>
      </w:pPr>
      <w:r>
        <w:rPr>
          <w:rFonts w:ascii="Arial" w:cs="Arial" w:eastAsia="Arial" w:hAnsi="Arial"/>
          <w:sz w:val="18"/>
          <w:szCs w:val="18"/>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-130175</wp:posOffset>
            </wp:positionV>
            <wp:extent cx="1646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3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2019-12-10T08:30:36Z</dcterms:created>
  <dcterms:modified xsi:type="dcterms:W3CDTF">2019-12-10T08:30:36Z</dcterms:modified>
</cp:coreProperties>
</file>