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880" w:right="3860" w:hanging="3872"/>
        <w:spacing w:after="0" w:line="598" w:lineRule="auto"/>
        <w:tabs>
          <w:tab w:leader="none" w:pos="59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2009</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4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Utah</w:t>
            </w: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00" w:type="dxa"/>
            <w:vAlign w:val="bottom"/>
          </w:tcPr>
          <w:p>
            <w:pPr>
              <w:spacing w:after="0"/>
              <w:rPr>
                <w:sz w:val="17"/>
                <w:szCs w:val="17"/>
                <w:color w:val="auto"/>
              </w:rPr>
            </w:pPr>
          </w:p>
        </w:tc>
        <w:tc>
          <w:tcPr>
            <w:tcW w:w="2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5225 Wiley Post Way, Suite 500</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1"/>
        </w:trPr>
        <w:tc>
          <w:tcPr>
            <w:tcW w:w="416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3"/>
              </w:rPr>
              <w:t>Salt Lake City, Utah</w:t>
            </w:r>
          </w:p>
        </w:tc>
        <w:tc>
          <w:tcPr>
            <w:tcW w:w="26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16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56" w:lineRule="exact"/>
        <w:rPr>
          <w:sz w:val="24"/>
          <w:szCs w:val="24"/>
          <w:color w:val="auto"/>
        </w:rPr>
      </w:pPr>
    </w:p>
    <w:p>
      <w:pPr>
        <w:jc w:val="both"/>
        <w:ind w:right="10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shorter period that the registrant was required to submit and post such files).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796" w:right="239" w:bottom="1440" w:gutter="0" w:footer="0" w:header="0"/>
        </w:sectPr>
      </w:pPr>
    </w:p>
    <w:p>
      <w:pPr>
        <w:spacing w:after="0" w:line="14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020" w:space="720"/>
            <w:col w:w="6680"/>
          </w:cols>
          <w:pgMar w:left="240" w:top="796" w:right="239" w:bottom="1440" w:gutter="0" w:footer="0" w:header="0"/>
          <w:type w:val="continuous"/>
        </w:sectPr>
      </w:pP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2" w:lineRule="exact"/>
        <w:rPr>
          <w:sz w:val="24"/>
          <w:szCs w:val="24"/>
          <w:color w:val="auto"/>
        </w:rPr>
      </w:pPr>
    </w:p>
    <w:p>
      <w:pPr>
        <w:sectPr>
          <w:pgSz w:w="11900" w:h="16838" w:orient="portrait"/>
          <w:cols w:equalWidth="0" w:num="2">
            <w:col w:w="3900" w:space="720"/>
            <w:col w:w="6800"/>
          </w:cols>
          <w:pgMar w:left="240" w:top="796" w:right="239" w:bottom="1440" w:gutter="0" w:footer="0" w:header="0"/>
          <w:type w:val="continuous"/>
        </w:sectPr>
      </w:pP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85"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8,929,041 shares issued and outstanding as of November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 TO FORM 10-Q</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 Number</w:t>
            </w: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gridSpan w:val="9"/>
          </w:tcPr>
          <w:p>
            <w:pPr>
              <w:jc w:val="center"/>
              <w:ind w:right="1920"/>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24"/>
                <w:szCs w:val="24"/>
                <w:color w:val="auto"/>
              </w:rPr>
            </w:pPr>
          </w:p>
        </w:tc>
      </w:tr>
      <w:tr>
        <w:trPr>
          <w:trHeight w:val="432"/>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16"/>
            <w:shd w:val="clear" w:color="auto" w:fill="CCEEFF"/>
          </w:tcPr>
          <w:p>
            <w:pPr>
              <w:ind w:left="380"/>
              <w:spacing w:after="0"/>
              <w:rPr>
                <w:sz w:val="20"/>
                <w:szCs w:val="20"/>
                <w:color w:val="auto"/>
              </w:rPr>
            </w:pPr>
            <w:r>
              <w:rPr>
                <w:rFonts w:ascii="Arial" w:cs="Arial" w:eastAsia="Arial" w:hAnsi="Arial"/>
                <w:sz w:val="18"/>
                <w:szCs w:val="18"/>
                <w:color w:val="auto"/>
              </w:rPr>
              <w:t>Condensed Consolidated Financial Statements:</w:t>
            </w:r>
          </w:p>
        </w:tc>
        <w:tc>
          <w:tcPr>
            <w:tcW w:w="1540" w:type="dxa"/>
            <w:vAlign w:val="bottom"/>
            <w:shd w:val="clear" w:color="auto" w:fill="CCEEFF"/>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7980" w:type="dxa"/>
            <w:vAlign w:val="bottom"/>
            <w:gridSpan w:val="16"/>
          </w:tcPr>
          <w:p>
            <w:pPr>
              <w:ind w:left="380"/>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2009 and June 30, 2009</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shd w:val="clear" w:color="auto" w:fill="CCEEFF"/>
          </w:tcPr>
          <w:p>
            <w:pPr>
              <w:spacing w:after="0"/>
              <w:rPr>
                <w:sz w:val="24"/>
                <w:szCs w:val="24"/>
                <w:color w:val="auto"/>
              </w:rPr>
            </w:pPr>
          </w:p>
        </w:tc>
        <w:tc>
          <w:tcPr>
            <w:tcW w:w="7980" w:type="dxa"/>
            <w:vAlign w:val="bottom"/>
            <w:gridSpan w:val="16"/>
            <w:shd w:val="clear" w:color="auto" w:fill="CCEEFF"/>
          </w:tcPr>
          <w:p>
            <w:pPr>
              <w:ind w:left="380"/>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Consolidated Statements of Operations for the three months ended September 30, 2009 and 2008</w:t>
              </w:r>
            </w:hyperlink>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760" w:type="dxa"/>
            <w:vAlign w:val="bottom"/>
          </w:tcPr>
          <w:p>
            <w:pPr>
              <w:spacing w:after="0"/>
              <w:rPr>
                <w:sz w:val="24"/>
                <w:szCs w:val="24"/>
                <w:color w:val="auto"/>
              </w:rPr>
            </w:pPr>
          </w:p>
        </w:tc>
        <w:tc>
          <w:tcPr>
            <w:tcW w:w="7980" w:type="dxa"/>
            <w:vAlign w:val="bottom"/>
            <w:gridSpan w:val="16"/>
          </w:tcPr>
          <w:p>
            <w:pPr>
              <w:ind w:left="380"/>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Cash Flows for the three months ended September 30, 2009 and 2008</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shd w:val="clear" w:color="auto" w:fill="CCEEFF"/>
          </w:tcPr>
          <w:p>
            <w:pPr>
              <w:spacing w:after="0"/>
              <w:rPr>
                <w:sz w:val="24"/>
                <w:szCs w:val="24"/>
                <w:color w:val="auto"/>
              </w:rPr>
            </w:pPr>
          </w:p>
        </w:tc>
        <w:tc>
          <w:tcPr>
            <w:tcW w:w="7980" w:type="dxa"/>
            <w:vAlign w:val="bottom"/>
            <w:gridSpan w:val="16"/>
            <w:shd w:val="clear" w:color="auto" w:fill="CCEEFF"/>
          </w:tcPr>
          <w:p>
            <w:pPr>
              <w:ind w:left="380"/>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16"/>
          </w:tcPr>
          <w:p>
            <w:pPr>
              <w:ind w:left="380"/>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980" w:type="dxa"/>
            <w:vAlign w:val="bottom"/>
            <w:gridSpan w:val="16"/>
            <w:shd w:val="clear" w:color="auto" w:fill="CCEEFF"/>
          </w:tcPr>
          <w:p>
            <w:pPr>
              <w:ind w:left="380"/>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Item 4T</w:t>
            </w:r>
          </w:p>
        </w:tc>
        <w:tc>
          <w:tcPr>
            <w:tcW w:w="7980" w:type="dxa"/>
            <w:vAlign w:val="bottom"/>
            <w:gridSpan w:val="16"/>
          </w:tcPr>
          <w:p>
            <w:pPr>
              <w:ind w:left="380"/>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2"/>
        </w:trPr>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80" w:type="dxa"/>
            <w:vAlign w:val="bottom"/>
            <w:gridSpan w:val="9"/>
            <w:shd w:val="clear" w:color="auto" w:fill="CCEEFF"/>
          </w:tcPr>
          <w:p>
            <w:pPr>
              <w:jc w:val="center"/>
              <w:ind w:right="1940"/>
              <w:spacing w:after="0"/>
              <w:rPr>
                <w:sz w:val="20"/>
                <w:szCs w:val="20"/>
                <w:color w:val="auto"/>
              </w:rPr>
            </w:pPr>
            <w:r>
              <w:rPr>
                <w:rFonts w:ascii="Arial" w:cs="Arial" w:eastAsia="Arial" w:hAnsi="Arial"/>
                <w:sz w:val="18"/>
                <w:szCs w:val="18"/>
                <w:b w:val="1"/>
                <w:bCs w:val="1"/>
                <w:color w:val="auto"/>
              </w:rPr>
              <w:t>PART II – OTHER INFORMATION</w:t>
            </w:r>
          </w:p>
        </w:tc>
        <w:tc>
          <w:tcPr>
            <w:tcW w:w="1540" w:type="dxa"/>
            <w:vAlign w:val="bottom"/>
            <w:shd w:val="clear" w:color="auto" w:fill="CCEEFF"/>
          </w:tcPr>
          <w:p>
            <w:pPr>
              <w:spacing w:after="0"/>
              <w:rPr>
                <w:sz w:val="24"/>
                <w:szCs w:val="24"/>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16"/>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7980" w:type="dxa"/>
            <w:vAlign w:val="bottom"/>
            <w:gridSpan w:val="16"/>
            <w:shd w:val="clear" w:color="auto" w:fill="CCEEFF"/>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16"/>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7980" w:type="dxa"/>
            <w:vAlign w:val="bottom"/>
            <w:gridSpan w:val="16"/>
            <w:shd w:val="clear" w:color="auto" w:fill="CCEEFF"/>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16"/>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7980" w:type="dxa"/>
            <w:vAlign w:val="bottom"/>
            <w:gridSpan w:val="16"/>
            <w:shd w:val="clear" w:color="auto" w:fill="CCEEFF"/>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7980" w:type="dxa"/>
            <w:vAlign w:val="bottom"/>
            <w:gridSpan w:val="16"/>
          </w:tcPr>
          <w:p>
            <w:pPr>
              <w:ind w:left="380"/>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2"/>
        </w:trPr>
        <w:tc>
          <w:tcPr>
            <w:tcW w:w="760" w:type="dxa"/>
            <w:vAlign w:val="bottom"/>
            <w:tcBorders>
              <w:bottom w:val="single" w:sz="8" w:color="0000EE"/>
            </w:tcBorders>
            <w:shd w:val="clear" w:color="auto" w:fill="CCEEFF"/>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Signatures</w:t>
              </w:r>
            </w:hyperlink>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
        </w:trPr>
        <w:tc>
          <w:tcPr>
            <w:tcW w:w="7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756" w:right="7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(Unaudited)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September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 of allowance for doubtful accounts of $103 and $103, respectively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asset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40,018</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par value $0.001, 50,000,000 shares authorized, 8,929,002 and 8,928,802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(10,420)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40,018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3" w:name="page4"/>
    <w:bookmarkEnd w:id="3"/>
    <w:p>
      <w:pPr>
        <w:jc w:val="center"/>
        <w:spacing w:after="0" w:line="261" w:lineRule="auto"/>
        <w:rPr>
          <w:sz w:val="20"/>
          <w:szCs w:val="20"/>
          <w:color w:val="auto"/>
        </w:rPr>
      </w:pPr>
      <w:r>
        <w:rPr>
          <w:rFonts w:ascii="Arial" w:cs="Arial" w:eastAsia="Arial" w:hAnsi="Arial"/>
          <w:sz w:val="18"/>
          <w:szCs w:val="18"/>
          <w:b w:val="1"/>
          <w:bCs w:val="1"/>
          <w:color w:val="auto"/>
        </w:rPr>
        <w:t>CLEARONE COMMUNICATIONS, INC. AND SUBSIDIARIES CONDENSED CONSOLIDATED STATEMENTS OF OPERATIONS (in thousands, except per share amounts) (Uaudited)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Basic (loss) earnings per common share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(loss) earnings per common share</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8,928,897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10,112,787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9,052,070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10,206,652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 from continuing operations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Adjustments to reconcile net (loss) income from continuing operations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 net cash (used in) provided by operating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assets and fixed assets write-offs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(1,658)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Note receivable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other assets or liabilities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Net cash (used in) provided by investing activities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Common stock purchased and retired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(received) paid for income taxes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w w:val="92"/>
              </w:rPr>
              <w:t>Exchanged accounts receivable from a vendor with accounts payable to the same vendor</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marketable securities, net of tax of $11 and $415, respectively</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ind w:left="300" w:right="2700"/>
        <w:spacing w:after="0" w:line="275"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accompanying interim consolidated financial statements for the three month periods ended September 30, 2009 and 2008 are not audited. Our consolidated financial statements are prepared in accordance with the requirements for unaudited interim periods and consequently do not include all disclosures required to be in conformity with accounting principles generally accepted in the United States of America. The accompanying consolidated financial statements contain all adjustments, consisting of normal recurring accruals, necessary for a fair presentation of our financial position as of September 30, 2009, the results of operations for the three-month periods ended September 30, 2009 and 2008, and the condensed statements of cash flows for the three months ended September 30, 2009 and 2008. The results of operations for the three-month periods ended September 30, 2009 and 2008 are not necessarily indicative of the results for a full-year period. These interim consolidated financial statements should be read in conjunction with the financial statements included in our Annual Report on Form 10-K for the year ended June 30, 2009 filed with the Securities and Exchange Commission (the “SEC”).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60" w:type="dxa"/>
            <w:vAlign w:val="bottom"/>
            <w:gridSpan w:val="2"/>
          </w:tcPr>
          <w:p>
            <w:pPr>
              <w:spacing w:after="0"/>
              <w:rPr>
                <w:sz w:val="20"/>
                <w:szCs w:val="20"/>
                <w:color w:val="auto"/>
              </w:rPr>
            </w:pPr>
            <w:r>
              <w:rPr>
                <w:rFonts w:ascii="Arial" w:cs="Arial" w:eastAsia="Arial" w:hAnsi="Arial"/>
                <w:sz w:val="18"/>
                <w:szCs w:val="18"/>
                <w:color w:val="auto"/>
              </w:rPr>
              <w:t>Inventories, net of reserves, consisted of the following (in thousands):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Total inventory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4,759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Current finished goods include consigned inventory in the amounts of approximately $1.9 million and $1.8 million for the periods ended September 30, 2009 and June 30, 2009, respectively. Consigned inventory represents inventory at distributors and other customers where revenue recognition criteria have not been achieved.</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losses incurred on valuation of inventory at lower of cost or market value and write-off of obsolete inventory amounted to $7,000 and $27,000 during the quarters ended September 30, 2009 and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allocated as follows (in thousands):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7" w:name="page8"/>
    <w:bookmarkEnd w:id="7"/>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9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740" w:type="dxa"/>
            <w:vAlign w:val="bottom"/>
            <w:shd w:val="clear" w:color="auto" w:fill="CCEEFF"/>
          </w:tcPr>
          <w:p>
            <w:pPr>
              <w:jc w:val="right"/>
              <w:ind w:right="57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114</w:t>
            </w:r>
          </w:p>
        </w:tc>
        <w:tc>
          <w:tcPr>
            <w:tcW w:w="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share-based compensation</w:t>
            </w:r>
          </w:p>
        </w:tc>
        <w:tc>
          <w:tcPr>
            <w:tcW w:w="74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2009, the total remaining unrecognized compensation cost related to non-vested stock options, net of forfeitures, was approximately</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$441,000. During the quarter ended September 30, 2009 and 2008, we granted 42,500 and 7,500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equity of $28.3 million at September 30, 2009 declined approximately $142,000 from June 30,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our first three months of fiscal 2010, we recorded approximately $34,000 related to unrecognized tax benefits that would favorably impact our effective tax rate if recognized. The total outstanding balance for liabilities related to unrecognized tax benefits at September 30, 2009 was approximately $1.3 million of which $39,000 was associated with interest and penalties. We account for interest expense and penalties for unrecognized tax benefits as part of our income tax provision.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gross unrealized gains and fair value of our investments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Long-term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Marketable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Marketable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Cost Basis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Basis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2009</w:t>
            </w: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2009</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bonds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Changes in the unrealized holding gains (losses) on our marketable securities are reported as a separate component of accumulated other comprehensive income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as of June 30, 2009</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color w:val="auto"/>
                <w:w w:val="94"/>
              </w:rPr>
              <w:t>Unrealized gains, in available-for-sale investments during the quarter ended</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September 30, 2009</w:t>
            </w: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Unrealized holding gains as of September 30, 2009</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40" w:type="dxa"/>
            <w:vAlign w:val="bottom"/>
            <w:gridSpan w:val="2"/>
            <w:vMerge w:val="restart"/>
          </w:tcPr>
          <w:p>
            <w:pPr>
              <w:jc w:val="right"/>
              <w:ind w:right="219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0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Unrealized gains (net of taxes) of $15,000 during the quarter ended September 30, 2009 is associated with an investment in a corporate bond.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7.  Comprehensive Income (loss)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686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(loss) are as follows (in thousands):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1"/>
        </w:trPr>
        <w:tc>
          <w:tcPr>
            <w:tcW w:w="2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8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8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3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r>
      <w:tr>
        <w:trPr>
          <w:trHeight w:val="216"/>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00" w:type="dxa"/>
            <w:vAlign w:val="bottom"/>
            <w:shd w:val="clear" w:color="auto" w:fill="CCEEFF"/>
          </w:tcPr>
          <w:p>
            <w:pPr>
              <w:jc w:val="right"/>
              <w:ind w:right="53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16"/>
        </w:trPr>
        <w:tc>
          <w:tcPr>
            <w:tcW w:w="2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230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Unrealized gains (losses), in available-for-sale investments,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r>
      <w:tr>
        <w:trPr>
          <w:trHeight w:val="230"/>
        </w:trPr>
        <w:tc>
          <w:tcPr>
            <w:tcW w:w="2300" w:type="dxa"/>
            <w:vAlign w:val="bottom"/>
          </w:tcPr>
          <w:p>
            <w:pPr>
              <w:spacing w:after="0"/>
              <w:rPr>
                <w:sz w:val="20"/>
                <w:szCs w:val="20"/>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of taxes</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230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Comprehensive (loss) income</w:t>
            </w:r>
          </w:p>
        </w:tc>
        <w:tc>
          <w:tcPr>
            <w:tcW w:w="700" w:type="dxa"/>
            <w:vAlign w:val="bottom"/>
          </w:tcPr>
          <w:p>
            <w:pPr>
              <w:jc w:val="right"/>
              <w:ind w:right="53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adopted ASC Topic 820 “Fair Value Measurements” (as impacted by ASC Topic 820-10-15) on July 1, 2008. This statement defines fair value, establishes a framework to measure fair value, and expands disclosures about fair value measurements. ASC Topic 820 defines fair value as the price that could be received upon the sale of an asset or paid to transfer a liability in an orderly transaction between market participants at the measurement date. ASC Topic 820 establishes a fair value hierarchy used to prioritize the quality and reliability of the information used to determine fair values. Categorization within the fair value hierarchy is based on the lowest level of input that is significant to the fair value measurement. The fair value hierarchy is classified into the following three categories:</w:t>
      </w:r>
    </w:p>
    <w:p>
      <w:pPr>
        <w:spacing w:after="0" w:line="220"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Level 1: Valuations based on quoted prices in active markets for identical instruments that we are able to access. Since valuations are based on quoted prices that are readily and regularly available in an active market, valuation of these products does not entail a significant degree of judgment.</w:t>
      </w:r>
    </w:p>
    <w:p>
      <w:pPr>
        <w:spacing w:after="0" w:line="151"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Level 2: Valuations based on quoted prices in active markets for instruments that are similar, or quoted prices in markets that are not active for identical or similar instruments, and model-derived valuations in which all significant inputs and significant value drivers are observable in active markets.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2009, financial assets utilizing Level 1 inputs included short-term investment securities traded on active securities exchanges. We did not have any financial assets utilizing Level 2 or Level 3 inputs. We did not have any liabilities that were required to be measured at fair value as of September 30, 2009.</w:t>
      </w:r>
    </w:p>
    <w:p>
      <w:pPr>
        <w:spacing w:after="0" w:line="20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market participants would use in pricing the asset or liability at the measurement date.</w:t>
      </w:r>
    </w:p>
    <w:p>
      <w:pPr>
        <w:spacing w:after="0" w:line="20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ASC Topic 820 requires that the valuation techniques used by us are consistent with at least one of the three possible approaches: the market approach, income approach, and/or cost approach. Our Level 1 valuations are based on the market approach and consist of quoted prices for identical items on active securities exchanges.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financial assets carried at fair value measured on a recurring basis as of September 30, 2009 (in thousands):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Quoted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6"/>
              </w:rPr>
              <w:t>Significant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Total Fair Value</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Active Markets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7"/>
              </w:rPr>
              <w:t>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Significant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at 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for 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8"/>
              </w:rPr>
              <w:t>observable</w:t>
            </w:r>
          </w:p>
        </w:tc>
        <w:tc>
          <w:tcPr>
            <w:tcW w:w="200" w:type="dxa"/>
            <w:vAlign w:val="bottom"/>
          </w:tcPr>
          <w:p>
            <w:pPr>
              <w:spacing w:after="0"/>
              <w:rPr>
                <w:sz w:val="18"/>
                <w:szCs w:val="18"/>
                <w:color w:val="auto"/>
              </w:rPr>
            </w:pPr>
          </w:p>
        </w:tc>
        <w:tc>
          <w:tcPr>
            <w:tcW w:w="1600" w:type="dxa"/>
            <w:vAlign w:val="bottom"/>
            <w:gridSpan w:val="4"/>
          </w:tcPr>
          <w:p>
            <w:pPr>
              <w:jc w:val="center"/>
              <w:ind w:right="440"/>
              <w:spacing w:after="0"/>
              <w:rPr>
                <w:sz w:val="20"/>
                <w:szCs w:val="20"/>
                <w:color w:val="auto"/>
              </w:rPr>
            </w:pPr>
            <w:r>
              <w:rPr>
                <w:rFonts w:ascii="Arial" w:cs="Arial" w:eastAsia="Arial" w:hAnsi="Arial"/>
                <w:sz w:val="18"/>
                <w:szCs w:val="18"/>
                <w:color w:val="auto"/>
                <w:w w:val="88"/>
              </w:rPr>
              <w:t>unobservable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30, 2009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1"/>
              </w:rPr>
              <w:t>inputs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inputs</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Level 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Level 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Level 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r>
      <w:tr>
        <w:trPr>
          <w:trHeight w:val="851"/>
        </w:trPr>
        <w:tc>
          <w:tcPr>
            <w:tcW w:w="20" w:type="dxa"/>
            <w:vAlign w:val="bottom"/>
          </w:tcPr>
          <w:p>
            <w:pPr>
              <w:spacing w:after="0"/>
              <w:rPr>
                <w:sz w:val="24"/>
                <w:szCs w:val="24"/>
                <w:color w:val="auto"/>
              </w:rPr>
            </w:pPr>
          </w:p>
        </w:tc>
        <w:tc>
          <w:tcPr>
            <w:tcW w:w="4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establish contingent liabilities when a particular contingency is both probable and estimable. For the contingencies noted below, we have accrued amounts considered probable and estimable. We are not aware of pending claims or assessments, other than as described below, which may have a material adverse impact on our financial position or results of operations.</w:t>
      </w:r>
    </w:p>
    <w:p>
      <w:pPr>
        <w:spacing w:after="0" w:line="20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i w:val="1"/>
          <w:iCs w:val="1"/>
          <w:color w:val="auto"/>
        </w:rPr>
        <w:t xml:space="preserve">Outsource Manufacturers. </w:t>
      </w:r>
      <w:r>
        <w:rPr>
          <w:rFonts w:ascii="Arial" w:cs="Arial" w:eastAsia="Arial" w:hAnsi="Arial"/>
          <w:sz w:val="17"/>
          <w:szCs w:val="17"/>
          <w:color w:val="auto"/>
        </w:rPr>
        <w:t>We have manufacturing agreements with manufacturers related to the outsourced manufacturing of our products.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agreements establish annual volume commitments. We are also obligated to repurchase our forecasted but unused materials. We have accounted for our current fixed outsourced manufacturing commitments and contingencies as a component of inventory and established a reserve for obsolescence amounting to $1.1 million as of September 30, 2009 and June 30, 2009. We have non-cancellable, non-returnable, and long-lead time commitments with our outsourced manufacturers and certain suppliers for inventory components that will be used in production. Our exposure associated with these commitments is approximately $3.4 million as of September 30, 2009.</w:t>
      </w:r>
    </w:p>
    <w:p>
      <w:pPr>
        <w:spacing w:after="0" w:line="205" w:lineRule="exact"/>
        <w:rPr>
          <w:sz w:val="20"/>
          <w:szCs w:val="20"/>
          <w:color w:val="auto"/>
        </w:rPr>
      </w:pPr>
    </w:p>
    <w:p>
      <w:pPr>
        <w:ind w:right="860"/>
        <w:spacing w:after="0" w:line="291" w:lineRule="auto"/>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In addition to the legal proceedings described below, we are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our business. Such matters are subject to many uncertainties and outcomes that are not</w:t>
      </w:r>
    </w:p>
    <w:p>
      <w:pPr>
        <w:ind w:right="80"/>
        <w:spacing w:after="0" w:line="261" w:lineRule="auto"/>
        <w:rPr>
          <w:sz w:val="20"/>
          <w:szCs w:val="20"/>
          <w:color w:val="auto"/>
        </w:rPr>
      </w:pPr>
      <w:r>
        <w:rPr>
          <w:rFonts w:ascii="Arial" w:cs="Arial" w:eastAsia="Arial" w:hAnsi="Arial"/>
          <w:sz w:val="18"/>
          <w:szCs w:val="18"/>
          <w:color w:val="auto"/>
        </w:rPr>
        <w:t>predictable. However, based on the information available to us, we do not believe any such proceedings will have a material, adverse effect on our business, results of operations, financial position, or liquidity, except as described below.</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Former Officer Indemnification</w:t>
      </w:r>
      <w:r>
        <w:rPr>
          <w:rFonts w:ascii="Arial" w:cs="Arial" w:eastAsia="Arial" w:hAnsi="Arial"/>
          <w:sz w:val="17"/>
          <w:szCs w:val="17"/>
          <w:color w:val="auto"/>
        </w:rPr>
        <w:t>. On July 25, 2007, the U.S. Attorney’s Office for the District of Utah indicted two of our former officers, Frances Flood</w:t>
      </w:r>
      <w:r>
        <w:rPr>
          <w:rFonts w:ascii="Arial" w:cs="Arial" w:eastAsia="Arial" w:hAnsi="Arial"/>
          <w:sz w:val="17"/>
          <w:szCs w:val="17"/>
          <w:i w:val="1"/>
          <w:iCs w:val="1"/>
          <w:color w:val="auto"/>
        </w:rPr>
        <w:t xml:space="preserve"> </w:t>
      </w:r>
      <w:r>
        <w:rPr>
          <w:rFonts w:ascii="Arial" w:cs="Arial" w:eastAsia="Arial" w:hAnsi="Arial"/>
          <w:sz w:val="17"/>
          <w:szCs w:val="17"/>
          <w:color w:val="auto"/>
        </w:rPr>
        <w:t>(“Flood”) and Susie Strohm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cooperated fully with the U.S. Attorney’s Office in this matter and were advised that we were neither a target nor a subject of the investigation or indictment. In December 2003, we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$2.2 million in attorneys’ fees and costs to defend against the charges. During August 2008, Strohm and her counsel filed a lawsuit in the Third Judicial District Court in Salt Lake City, Utah seeking a declaratory judgment and injunctive relief to compel us to continue to advance Strohm’ s attorneys’ fees and costs to defend against the charges, plus interest for amounts previously requested and not paid. Also during August 2008, Flood filed a lawsuit in Federal District Court for the District of Utah, seeking similar relief.</w:t>
      </w:r>
    </w:p>
    <w:p>
      <w:pPr>
        <w:spacing w:after="0" w:line="2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federal criminal trial of both former officers commenced on February 2, 2009, and the jury rendered its verdict 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third fiscal quarter of 2009 and in accordance with generally accepted accounting principles, we reversed approximately $1.1 million of this contingent liability as a result of the February 2009 jury verdict in the federal criminal trial. As a result of the jury’s conviction of the two former officers on some or all of the crimes with which they were charged and based on the Court’s instructions to the jury, it is no longer probable that we will be required to pay the $1.1 million amount.</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Flood: During January 2009, the Federal District Court in the Flood lawsuit issued a preliminary injunction requiring us (1) to pay 60% of Flood’s legal fees and costs in the criminal proceeding to Flood’s attorneys (as reflected in the invoices submitted by Flood’s attorneys), and (2) to pay the remaining 40% of Flood’s legal fees and costs into a court escrow account. Pursuant to the Court’s order, the Court intends to make a reasonability determination concerning these fees and costs and the Court’s order states that “[t]o the extent fees or costs are found to be unreasonable, the monies held in escrow shall be refunded to ClearOne.” Pursuant to the Court’s order, we paid approximately $368,000 to Flood’s attorneys and approximately $248,000 into the Court’s escrow. Our appeal of the Court’s order is currently pending.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0" w:name="page11"/>
    <w:bookmarkEnd w:id="10"/>
    <w:p>
      <w:pPr>
        <w:jc w:val="both"/>
        <w:ind w:right="100"/>
        <w:spacing w:after="0" w:line="286" w:lineRule="auto"/>
        <w:rPr>
          <w:sz w:val="20"/>
          <w:szCs w:val="20"/>
          <w:color w:val="auto"/>
        </w:rPr>
      </w:pPr>
      <w:r>
        <w:rPr>
          <w:rFonts w:ascii="Arial" w:cs="Arial" w:eastAsia="Arial" w:hAnsi="Arial"/>
          <w:sz w:val="17"/>
          <w:szCs w:val="17"/>
          <w:color w:val="auto"/>
        </w:rPr>
        <w:t>The Federal District Court issued a ruling during June 2009 granting Flood’ s motion for summary judgment on her claim that we breached her Employment Separation Agreement by stopping the advancement of funds for her defense, and granting our motion to dismiss Flood’s unjust enrichment and promissory estoppel claims. The Court further denied our motion to dismiss Flood’s claim for intentional infliction of emotional distress.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July 2009, we asserted counterclaims for $3.3 million based on the undertaking Flood signed in August 2003, in which she promised to repay all advanced expenses if it was ultimately adjudged that she did not meet the requisite standard of conduct.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Strohm: During August 2009, we asserted counterclaims for $3.2 million against Strohm based on the undertakings she signed in 2003, in which she promised to repay all advanced expenses if it was ultimately adjudged that she did not meet the requisite standard of conduct. On October 26, 2009, the court granted Strohm’s motion for mandatory indemnification, ruling that we were required to indemnify Strohm for her reasonable attorneys’ fees and expenses to the extent that she was successful on the merits at trial on the basis that our Articles of Incorporation did not limit indemnification of a director or officer. The court also denied our cross-motion for summary judgment based on the undertakings, ruling that Strohm should not be required to pay back advanced legal fees and costs to the extent she was successful at trial.</w:t>
      </w:r>
    </w:p>
    <w:p>
      <w:pPr>
        <w:spacing w:after="0" w:line="22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November 5, 2009, Strohm’s counsel filed a motion claiming that, pursuant to an engagement letter with Strohm’s counsel, we are obligated to pay counsel an additional $1.1 million in attorneys’ fees and costs incurred in defending the federal criminal proceeding, plus 18% interest, as well as attorneys’ fees and costs incurred in connection with the action brought by Strohm and her counsel against ClearOne in August 2008. We believe that our engagement letter with Strohm’s counsel does not cover the federal criminal proceeding and that the amount of any reasonable fees and expenses that may be due to Strohm’s counsel pursuant to the court’s determination have already been paid. While Strohm’s counsel is seeking attorneys’ fees under two alternative legal claims, we believe that the counsel cannot collect duplicative fees.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litigations are subject to all of the risks and uncertainties of litigation and there can be no assurance as to the probable result of the litigations.</w:t>
      </w:r>
    </w:p>
    <w:p>
      <w:pPr>
        <w:spacing w:after="0" w:line="2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believe we have adequately accrued for contingent liabilities, including the litigations mentioned above. While we intend to defend ourselves in all the litigated matters vigorously and diligently, there exists the possibility of adverse outcomes that we estimate could be up to $1.6 million. If these adverse outcomes were to occur, our financial position, results of operations, and cash flows could be negatively affected materially for the period in which the adverse outcomes are known.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November 16, 2009, which is the date these financial statements were available to be issued.</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3, 2009, we entered into and closed the Merger Agreement with Alta-Wasatch Acquisition Corporation (“Alta-Wasatch”), our wholly owned subsidiary; NetStreams, Inc. (“NetStreams”); and the following parties that each entered into the Merger Agreement for purposes set forth in the Merger Agreement, Austin Ventures VIII, L.P. and Kevin A. Reinis, a representative of NetStreams Management Incentive Plan (the “Merger Agreement”). Pursuant to the Merger Agreement, Alta-Wasatch merged with and into NetStreams (the “Merger”).</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aggregate consideration paid by us pursuant to the Merger Agreement was (a) $1.95 million, subject to working capital adjustment, less certain defined transaction expenses, which was due in full in cash on the closing date, (b) an earn-out payment, subject to certain defined thresholds, of up to $3 million, covering a period of two years commencing on the closing date, and (c) the assumption of a liability of NetStreams in the amount of $2 million. The aggregate consideration is subject to a working capital adjustment based on a defined target, which is the value of certain assets less certain liabilities set forth in the agreement. A portion of the consideration will be held in escrow for 12 months to satisfy the covenants as specified in the Merger Agreement. We have paid approximately $1.86 million after making interim adjustment for working capital. The final working capital adjustment will be determined after an audit is performed on the financial statements of NetStreams. The Merger Agreement also contains other provisions, covenants, representations, and warranties made by NetStreams and by us that are typical in transactions of this size, type, and complexity.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ind w:right="20"/>
        <w:spacing w:after="0" w:line="272" w:lineRule="auto"/>
        <w:rPr>
          <w:sz w:val="20"/>
          <w:szCs w:val="20"/>
          <w:color w:val="auto"/>
        </w:rPr>
      </w:pPr>
      <w:r>
        <w:rPr>
          <w:rFonts w:ascii="Arial" w:cs="Arial" w:eastAsia="Arial" w:hAnsi="Arial"/>
          <w:sz w:val="17"/>
          <w:szCs w:val="17"/>
          <w:color w:val="auto"/>
        </w:rPr>
        <w:t>In connection with the closing of the Merger, on November 3, 2009, we entered into the Joinder to the Loan and Security Agreement (the “Joinder”) with Square 1 Bank and the Seventh Amendment to the Loan and Security Agreement (the “Seventh Amendment”) with Square 1 Bank and NetStreams. Pursuant to the Joinder, we entered into the Loan and Security Agreement dated November 12, 2008 as a co-borrower and assumed certain obligations under the Loan and Security Agreement. We were not required to pledge additional security interests to the Bank. The existing collateral arrangement with respect to Borrowers’ assets continues to secure the obligations of the parties under the Loan and Security Agreement. In connection therewith, NetStreams entered into the Seventh Amendment which obligates us to the Loan and Security Agreement in the amount of $2 million and payment of Interest shall be due and payable on the first calendar day of each month during the term of the Loan and Security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Recent Accounting Pronouncements</w:t>
      </w:r>
    </w:p>
    <w:p>
      <w:pPr>
        <w:spacing w:after="0" w:line="25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June 2009, the FASB changed the hierarchy of U.S. generally accepted accounting principles (“GAAP”) such that the newly released FASB Accounting Standards Codification (“ASC”) will replace other sources of authoritative GAAP with the exception of rules and interpretive releases of the Securities and Exchange Commission, which will continue to be authoritative. The ASC is effective for financial statements issued for interim and annual periods ending after September 15, 2009 and is not intended to significantly change GAAP.</w:t>
      </w:r>
    </w:p>
    <w:p>
      <w:pPr>
        <w:spacing w:after="0" w:line="21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In December 2007, the FASB issued ASC Topic 805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Topic 805”). ASC Topic 805 establishes principles and requirements for how the acquirer of a business recognizes and measures in its financial statements the identifiable assets acquired, the liabilities assumed, and any noncontrolling interest in the acquiree and the goodwill acquired. ASC Topic 805 establishes disclosure requirements to enable the evaluation of the nature and financial effects of the business combination. ASC Topic 805 is effective for the financial statements issued for fiscal years beginning after December 15, 2008. We are currently evaluating the impact that this statement may have on our consolidated financial position and results of operations.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2009, the FASB updated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on revenue arrangements (Subtopic 605-25) with multiple deliverables. Under the updated guidance, a selling price hierarchy is established to determine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guidance also replaced the term “fair value” with “selling price.” The residual method of allocation has been eliminated and relative selling price method has to be used to allocated arrangement consideration at the inception of the arrangement. The updated guidance has also significantly expanded the disclosures related to multiple-deliverable revenue arrangements. The guidance is effective for all fiscal years beginning on or after June 15, 2010. We are currently evaluating the potential impact, if any, that this statement may have on our consolidated financial position and results of operations.</w:t>
      </w:r>
    </w:p>
    <w:p>
      <w:pPr>
        <w:spacing w:after="0" w:line="20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October 2009, the FASB amended ASC Topic 985 “</w:t>
      </w:r>
      <w:r>
        <w:rPr>
          <w:rFonts w:ascii="Arial" w:cs="Arial" w:eastAsia="Arial" w:hAnsi="Arial"/>
          <w:sz w:val="17"/>
          <w:szCs w:val="17"/>
          <w:i w:val="1"/>
          <w:iCs w:val="1"/>
          <w:color w:val="auto"/>
        </w:rPr>
        <w:t>Software</w:t>
      </w:r>
      <w:r>
        <w:rPr>
          <w:rFonts w:ascii="Arial" w:cs="Arial" w:eastAsia="Arial" w:hAnsi="Arial"/>
          <w:sz w:val="17"/>
          <w:szCs w:val="17"/>
          <w:color w:val="auto"/>
        </w:rPr>
        <w:t>” on certain revenue arrangements that include software elements (Subtopic 985-605). The amendments change the accounting model for revenue arrangements that include both tangible products and software elements. Tangible products containing software components and nonsoftware components that function together to deliver the tangible product’s essential functionality are no longer within the scope of this subtopic. The guidance is effective for all fiscal years beginning on or after June 15, 2010. We are currently evaluating the potential impact, if any, that this statement may have on our consolidated financial position and results of operations.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June 30, 2009.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June 30,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ClearOne is a communications solutions company that develops and sells audio conferencing systems and related products for audio, video and web conferencing systems and applications. We enjoy the number one position in the global professional audio conferencing market with more than 50% of the global market share. The reliability, flexibility and performance of our comprehensive solutions create a natural communications environment that saves organizations time and money by enabling more effective and efficient communication. We develop, manufacture, market, and service a comprehensive line of high-quality audio conferencing products under personal, tabletop, premium and professional (installed audio) categories. We also manufacture and sell media carts for audio and video conferencing. We have an established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0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include some of the world’s largest and most prestigious companies and institutions,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We also sell products on a limited basis directly to dealers, systems integrators, value-added resellers, and end-users.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global economic conditions which adversely affected our performance in the last few quarters have improved, resulting in arresting the downward trend in our revenues. However, aseconomic conditions continue to improve, this will help us to return to the level of revenues and profitability we experienced before this economic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September 30, 2009 (“Q1 2010”) and 2008 (“Q1 2009”)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items from our unaudited condensed consolidated statements of operations (in thousands)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2008, together with the percentage of total revenue which each such item represents: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5"/>
              </w:rPr>
              <w:t>(in thousands of dollars)</w:t>
            </w:r>
          </w:p>
        </w:tc>
        <w:tc>
          <w:tcPr>
            <w:tcW w:w="180" w:type="dxa"/>
            <w:vAlign w:val="bottom"/>
          </w:tcPr>
          <w:p>
            <w:pPr>
              <w:spacing w:after="0"/>
              <w:rPr>
                <w:sz w:val="20"/>
                <w:szCs w:val="20"/>
                <w:color w:val="auto"/>
              </w:rPr>
            </w:pPr>
          </w:p>
        </w:tc>
        <w:tc>
          <w:tcPr>
            <w:tcW w:w="244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0"/>
              </w:rPr>
              <w:t>Q1 2010 vs. Q1 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4"/>
          </w:tcPr>
          <w:p>
            <w:pPr>
              <w:ind w:left="780"/>
              <w:spacing w:after="0"/>
              <w:rPr>
                <w:sz w:val="20"/>
                <w:szCs w:val="20"/>
                <w:color w:val="auto"/>
              </w:rPr>
            </w:pPr>
            <w:r>
              <w:rPr>
                <w:rFonts w:ascii="Arial" w:cs="Arial" w:eastAsia="Arial" w:hAnsi="Arial"/>
                <w:sz w:val="18"/>
                <w:szCs w:val="18"/>
                <w:b w:val="1"/>
                <w:bCs w:val="1"/>
                <w:color w:val="auto"/>
              </w:rPr>
              <w:t>Q1 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Q1 2009</w:t>
            </w:r>
          </w:p>
        </w:tc>
        <w:tc>
          <w:tcPr>
            <w:tcW w:w="180" w:type="dxa"/>
            <w:vAlign w:val="bottom"/>
          </w:tcPr>
          <w:p>
            <w:pPr>
              <w:spacing w:after="0"/>
              <w:rPr>
                <w:sz w:val="20"/>
                <w:szCs w:val="20"/>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Favorable (Unfavorable)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of Revenue</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1,977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 for Q1 2010 decreased 31%, or approximately $3.4 million, compared to Q1 2009. Our Q1 2010 revenue was negatively affected by the global decline in technology spending, most notably in North America, in addition to increased pricing pressure. Each of our major product categories were negatively impacted during Q1 2010 with the exception of personal conferencing products. Revenue from our professional conferencing products declined by nearly 39% while revenue from personal conferencing products increased by 81%. In the near term, we expect revenue from personal conferencing products to continue to grow while decline in revenue from professional conferencing products will abate.</w:t>
      </w:r>
    </w:p>
    <w:p>
      <w:pPr>
        <w:spacing w:after="0" w:line="200" w:lineRule="exact"/>
        <w:rPr>
          <w:sz w:val="20"/>
          <w:szCs w:val="20"/>
          <w:color w:val="auto"/>
        </w:rPr>
      </w:pPr>
    </w:p>
    <w:p>
      <w:pPr>
        <w:spacing w:after="0" w:line="2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Q1 2010 and Q1 2009, the net change in deferred revenue was a net (deferral) recognition of ($595,000) and $938,000 in revenue, respectively. See below “Critical Accounting Policies” under “Revenue and Associated Allowance for Revenue Adjustments and Doubtful Accounts” for a detailed discussion of deferred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of Goods Sold and Gross Profit</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contract manufacturers,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0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52% and 64% in Q1 2010 and Q1 2009, respectively. GPM was negatively impacted during Q1 2010 due to the declines in revenue of all major product categories except for the favorable impact due to personal conferencing products of $229,000 and lower vendor specific marketing and rebate costs of $212,000.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Q1 2010 operating expenses were about $4.6 million, a decrease of $225,000, or 5%, from $4.8 million in Q1 2009. The following is a more detailed discussion of expenses related to sales and marketing, research and development and general and administrative.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color w:val="auto"/>
        </w:rPr>
        <w:t xml:space="preserve">Sales and Marketing (“S&amp;M”) Expenses. </w:t>
      </w:r>
      <w:r>
        <w:rPr>
          <w:rFonts w:ascii="Arial" w:cs="Arial" w:eastAsia="Arial" w:hAnsi="Arial"/>
          <w:sz w:val="17"/>
          <w:szCs w:val="17"/>
          <w:color w:val="auto"/>
        </w:rPr>
        <w:t>S&amp;M expenses include selling, customer service, and marketing expenses such as employee-related costs,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allocations of overhead expenses, trade shows, and other advertising and selling expenses.  S&amp;M expenses during Q1 2010 decreased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$374,000, or 19%, to $1.6 million compared to approximately $2.0 million in Q1 2009. As a percentage of revenue, S&amp;M expenses during Q1 2010 and Q1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were 21% and 18%, respectively. The decrease in S&amp;M expenses during Q1 2010 over Q1 2009 was due primarily to decreased sales commissions 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independent manufacturer sales representatives and lower marketing related expenses and travel expenses.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Research and Development (“R&amp;D”) Expenses</w:t>
      </w:r>
      <w:r>
        <w:rPr>
          <w:rFonts w:ascii="Arial" w:cs="Arial" w:eastAsia="Arial" w:hAnsi="Arial"/>
          <w:sz w:val="18"/>
          <w:szCs w:val="18"/>
          <w:color w:val="auto"/>
        </w:rPr>
        <w:t>. 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 R&amp;D expenses decreased $108,000, or 6%, during Q1 2010 compared to Q1 2009. The decrease was due primarily to lower payroll and related expenses and lower services expenses. As a percentage of revenue, S&amp;M expenses during Q1 2010 and Q1 2009 were 22% and 16%, respectively. The Q1 2010 decrease was due primarily to lower payroll and related expenses and lower services expenses.</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General and Administrative (“G&amp;A”) Expenses. </w:t>
      </w:r>
      <w:r>
        <w:rPr>
          <w:rFonts w:ascii="Arial" w:cs="Arial" w:eastAsia="Arial" w:hAnsi="Arial"/>
          <w:sz w:val="16"/>
          <w:szCs w:val="16"/>
          <w:color w:val="auto"/>
        </w:rPr>
        <w:t>G&amp;A expenses include employee-related costs, professional service fees, allocations of overhead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litigation costs, and corporate administrative costs, including finance, information technology and human resources. G&amp;A expenses during Q1 2010 increased to $1.3 million compared to $1.1 million during Q1 2009. Q1 2010 and 2009 G&amp;A expenses were 17% and 10% of sales, respectively. The increase in Q1 2010 was due primarily to higher legal expenses, partially offset by lower payroll and employee related expenses. We continue to incur high legal expenses due to our litigations to protect our intellectual property and to defend ourselves from indemnification claims made by former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 income</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Operating loss during Q1 2010 was $646,000 compared to an operating income of $2.3 million in Q1 2009. The decrease in operating income of approximately $3.0 million was due to lower revenue and associated gross profit during Q1 2010 partially offset by the lower operating expenses discussed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includes interest income, interest expense, capital gains, gain (loss) on the disposal of assets, and currency gain (loss).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September 30, 2009, our cash and cash equivalents were approximately $8.1 million and our marketable securities were approximately $2.1 million, a reduction of $1.7 million compared to cash and cash equivalents of approximately $9.8 million and marketable securities of $2.1 million as of June 30, 2009.</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operating activities was $1.3 million in Q1 2010, a decrease of $1.5 million from the net cash provided by operating activities of $263,000 in Q1 2009. The year-over-year decrease can be attributed primarily to the decrease in net income.</w:t>
      </w:r>
    </w:p>
    <w:p>
      <w:pPr>
        <w:spacing w:after="0" w:line="19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cash flows used in investing activities were approximately $464,000 in Q1 2010 mostly towards purchase of property, plant and equipment. Net cash flows provided by investing activities were approximately $4.9 million in Q1 2009 with $5.2 million attributable to sale of marketable securities.</w:t>
      </w:r>
    </w:p>
    <w:p>
      <w:pPr>
        <w:spacing w:after="0" w:line="1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Q1 2009, approximately $6.8 million were utilized to repurchase 1,342,620 shares of common stock. There were no cashflows related to financing activities during Q1 2010.</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acquired NetStreams (described in detail in Notes to Condensed Consolidated Financial Statements) on November 3, 2009 for a cash consideration of approximately $1.95 million and assumed $2 million in debt as part of the acquisition. We expect to invest more in NetStreams to transition, integrate and leverage the opportunities available through this acquisition. This would reduce our liquidity and cash flows in the near future until NetStreams is fully consolidated with our current operations and its full value realized by us.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We currently believe that our present sources of liquidity and capital are adequate for our operating needs within the next eighteen months, as we currently have no known material trends or uncertainties related to cash flow, capital resources or liquidity.</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However no assurance can be given that changes will not occur that would consume available capital resources at a rate more rapidly than anticipated and we may need or want to raise additional debt or equity financing to fund our operations within this period of time.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2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small number of cases, the distributors are also permitted to return the products for other business reasons.</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revenue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6" w:name="page17"/>
    <w:bookmarkEnd w:id="16"/>
    <w:p>
      <w:pPr>
        <w:ind w:right="140"/>
        <w:spacing w:after="0" w:line="277" w:lineRule="auto"/>
        <w:rPr>
          <w:sz w:val="20"/>
          <w:szCs w:val="20"/>
          <w:color w:val="auto"/>
        </w:rPr>
      </w:pPr>
      <w:r>
        <w:rPr>
          <w:rFonts w:ascii="Arial" w:cs="Arial" w:eastAsia="Arial" w:hAnsi="Arial"/>
          <w:sz w:val="18"/>
          <w:szCs w:val="18"/>
          <w:color w:val="auto"/>
        </w:rPr>
        <w:t>The amounts of deferred cost of goods sold were included in consigned inventory. The following table details the amount of deferred revenue, cost of goods sold, and gross profit at each quarter end for the 15-month period ended September 30, 2009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Deferred Cost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w:t>
            </w: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Revenue</w:t>
            </w:r>
          </w:p>
        </w:tc>
        <w:tc>
          <w:tcPr>
            <w:tcW w:w="18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of Goods Sold</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Gross Profit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6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June 30, 2009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2,918</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 and end-users based upon volume and type of product purchased by them. We record rebates as a reduction of revenue.</w:t>
      </w:r>
    </w:p>
    <w:p>
      <w:pPr>
        <w:spacing w:after="0" w:line="19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Lower-of-Cost or Market Adjustments and Reserves for Excess and Obsolete Inventory</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account for share-based compensation in accordance with ASC Topic 718. Under the fair value recognition provisions of this statement, we measure share-based compensation cost at the grant date based on the value of the award which is recognized as expense over the requisite service period. Judgment is required in estimating the amount of share-based awards that are expected to be forfeited. If actual results differ significantly from these estimates, share-based compensation expense and our results of operations could be materially impacted.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2009 was performed under the supervision and with the participation of our management, including our Chief Executive Officer and our Chief Financial Officer. Based on that evaluation, our management, including our Chief Executive Officer and Chief Financial Officer, concluded that our disclosure controls and procedures are effective to ensure that information required to be disclosed by us in reports we file or submit under the Exchange Act is recorded, processed, summarized and reported as specified in the SEC’s rules and forms.</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2009 that materially affected, or that we believe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Contingencies and Commitments</w:t>
      </w:r>
      <w:r>
        <w:rPr>
          <w:rFonts w:ascii="Arial" w:cs="Arial" w:eastAsia="Arial" w:hAnsi="Arial"/>
          <w:sz w:val="18"/>
          <w:szCs w:val="18"/>
          <w:color w:val="auto"/>
        </w:rPr>
        <w:t>” to the Condensed Consolidated Financial Statements under Part 1 - Item 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p>
      <w:pPr>
        <w:ind w:left="220"/>
        <w:spacing w:after="0"/>
        <w:tabs>
          <w:tab w:leader="none" w:pos="56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60" w:hanging="739"/>
        <w:spacing w:after="0" w:line="217" w:lineRule="auto"/>
        <w:tabs>
          <w:tab w:leader="none" w:pos="12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Agreement and Plan of Merger, dated as of November 3, 2009, by and among ClearOne Communications, Inc., Alta-Wasatch Acquisition Corporation, NetStreams, Inc., Austin Ventures VIII, L.P., and Kevin A. Reinis.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160" w:hanging="830"/>
        <w:spacing w:after="0" w:line="209" w:lineRule="auto"/>
        <w:tabs>
          <w:tab w:leader="none" w:pos="12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 xml:space="preserve">Joinder to Loan and Security Agreement, dated as of November 3, 2009, by and between ClearOne Communications, Inc. and Square 1 Bank1.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640" w:hanging="830"/>
        <w:spacing w:after="0" w:line="209" w:lineRule="auto"/>
        <w:tabs>
          <w:tab w:leader="none" w:pos="12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xml:space="preserve">Seventh Amendment to Loan and Security Agreement, dated as of November 3, 2009, by and between Square 1 Bank, ClearOne Communications, Inc., NetStreams, Inc., and NetStreams, LLC1. </w:t>
      </w:r>
      <w:r>
        <w:rPr>
          <w:rFonts w:ascii="Arial" w:cs="Arial" w:eastAsia="Arial" w:hAnsi="Arial"/>
          <w:sz w:val="25"/>
          <w:szCs w:val="25"/>
          <w:color w:val="auto"/>
          <w:vertAlign w:val="superscript"/>
        </w:rPr>
        <w:t>(1)</w:t>
      </w:r>
    </w:p>
    <w:p>
      <w:pPr>
        <w:spacing w:after="0" w:line="2"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u w:val="single" w:color="auto"/>
          <w:color w:val="0000EE"/>
        </w:rPr>
        <w:t>31.1</w:t>
      </w:r>
      <w:r>
        <w:rPr>
          <w:sz w:val="20"/>
          <w:szCs w:val="20"/>
          <w:color w:val="auto"/>
        </w:rPr>
        <w:tab/>
      </w:r>
      <w:r>
        <w:rPr>
          <w:rFonts w:ascii="Arial" w:cs="Arial" w:eastAsia="Arial" w:hAnsi="Arial"/>
          <w:sz w:val="16"/>
          <w:szCs w:val="16"/>
          <w:color w:val="auto"/>
        </w:rPr>
        <w:t>Section 302 Certification of Chief Executive Officer</w:t>
      </w:r>
    </w:p>
    <w:p>
      <w:pPr>
        <w:spacing w:after="0" w:line="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u w:val="single" w:color="auto"/>
          <w:color w:val="0000EE"/>
        </w:rPr>
        <w:t>31.2</w:t>
      </w:r>
      <w:r>
        <w:rPr>
          <w:sz w:val="20"/>
          <w:szCs w:val="20"/>
          <w:color w:val="auto"/>
        </w:rPr>
        <w:tab/>
      </w:r>
      <w:r>
        <w:rPr>
          <w:rFonts w:ascii="Arial" w:cs="Arial" w:eastAsia="Arial" w:hAnsi="Arial"/>
          <w:sz w:val="16"/>
          <w:szCs w:val="16"/>
          <w:color w:val="auto"/>
        </w:rPr>
        <w:t>Section 302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80"/>
        <w:spacing w:after="0"/>
        <w:tabs>
          <w:tab w:leader="none" w:pos="1240" w:val="left"/>
        </w:tabs>
        <w:rPr>
          <w:sz w:val="20"/>
          <w:szCs w:val="20"/>
          <w:color w:val="auto"/>
        </w:rPr>
      </w:pPr>
      <w:r>
        <w:rPr>
          <w:rFonts w:ascii="Arial" w:cs="Arial" w:eastAsia="Arial" w:hAnsi="Arial"/>
          <w:sz w:val="18"/>
          <w:szCs w:val="18"/>
          <w:u w:val="single" w:color="auto"/>
          <w:color w:val="0000EE"/>
        </w:rPr>
        <w:t>32.1</w:t>
      </w:r>
      <w:r>
        <w:rPr>
          <w:sz w:val="20"/>
          <w:szCs w:val="20"/>
          <w:color w:val="auto"/>
        </w:rPr>
        <w:tab/>
      </w:r>
      <w:r>
        <w:rPr>
          <w:rFonts w:ascii="Arial" w:cs="Arial" w:eastAsia="Arial" w:hAnsi="Arial"/>
          <w:sz w:val="16"/>
          <w:szCs w:val="16"/>
          <w:color w:val="auto"/>
        </w:rPr>
        <w:t>Section 906 Certification of Chief Executive Officer</w:t>
      </w:r>
    </w:p>
    <w:p>
      <w:pPr>
        <w:spacing w:after="0" w:line="9"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u w:val="single" w:color="auto"/>
          <w:color w:val="0000EE"/>
        </w:rPr>
        <w:t>32.2</w:t>
      </w:r>
      <w:r>
        <w:rPr>
          <w:sz w:val="20"/>
          <w:szCs w:val="20"/>
          <w:color w:val="auto"/>
        </w:rPr>
        <w:tab/>
      </w:r>
      <w:r>
        <w:rPr>
          <w:rFonts w:ascii="Arial" w:cs="Arial" w:eastAsia="Arial" w:hAnsi="Arial"/>
          <w:sz w:val="16"/>
          <w:szCs w:val="16"/>
          <w:color w:val="auto"/>
        </w:rPr>
        <w:t>Section 906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ind w:left="5620" w:right="2320" w:hanging="5612"/>
        <w:spacing w:after="0" w:line="920" w:lineRule="auto"/>
        <w:tabs>
          <w:tab w:leader="none" w:pos="49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Current Report on Form 8-K filed with the SEC on November 9, 2009.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56" w:right="47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ClearOne Communications, Inc., a Utah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7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600"/>
          </w:cols>
          <w:pgMar w:left="240" w:top="999" w:right="10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81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500" w:hanging="23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10-K;</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ind w:left="660" w:hanging="244"/>
        <w:spacing w:after="0" w:line="264" w:lineRule="auto"/>
        <w:tabs>
          <w:tab w:leader="none" w:pos="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1420"/>
          </w:cols>
          <w:pgMar w:left="240" w:top="810" w:right="239" w:bottom="1440" w:gutter="0" w:footer="0" w:header="0"/>
        </w:sectPr>
      </w:pPr>
    </w:p>
    <w:bookmarkStart w:id="22" w:name="page23"/>
    <w:bookmarkEnd w:id="22"/>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Quarterly Report of ClearOne Communications, Inc. on Form 10-Q for the quarter ended September 30, 2009,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8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Quarterly Report of ClearOne Communications, Inc. on Form 10-Q for the quarter ended September 30, 2009,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420"/>
      </w:cols>
      <w:pgMar w:left="240" w:top="8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
    <w:nsid w:val="2EB141F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
    <w:nsid w:val="41B71E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2019-12-10T09:08:49Z</dcterms:created>
  <dcterms:modified xsi:type="dcterms:W3CDTF">2019-12-10T09:08:49Z</dcterms:modified>
</cp:coreProperties>
</file>