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auto"/>
        </w:rPr>
        <w:t>Filed by the Registrant [X]</w:t>
      </w:r>
    </w:p>
    <w:p>
      <w:pPr>
        <w:sectPr>
          <w:pgSz w:w="11900" w:h="16838" w:orient="portrait"/>
          <w:cols w:equalWidth="0" w:num="1">
            <w:col w:w="11180"/>
          </w:cols>
          <w:pgMar w:left="320" w:top="225" w:right="399" w:bottom="1440" w:gutter="0" w:footer="0" w:header="0"/>
        </w:sectPr>
      </w:pPr>
    </w:p>
    <w:p>
      <w:pPr>
        <w:spacing w:after="0" w:line="225"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Filed by a Party other than the Registrant [</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4"/>
          <w:szCs w:val="24"/>
          <w:color w:val="auto"/>
        </w:rPr>
      </w:pPr>
    </w:p>
    <w:p>
      <w:pPr>
        <w:sectPr>
          <w:pgSz w:w="11900" w:h="16838" w:orient="portrait"/>
          <w:cols w:equalWidth="0" w:num="2">
            <w:col w:w="3220" w:space="120"/>
            <w:col w:w="7840"/>
          </w:cols>
          <w:pgMar w:left="320" w:top="225" w:right="399" w:bottom="1440" w:gutter="0" w:footer="0" w:header="0"/>
          <w:type w:val="continuous"/>
        </w:sectPr>
      </w:pPr>
    </w:p>
    <w:p>
      <w:pPr>
        <w:spacing w:after="0" w:line="2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1180"/>
          </w:cols>
          <w:pgMar w:left="320" w:top="225" w:right="399" w:bottom="1440" w:gutter="0" w:footer="0" w:header="0"/>
          <w:type w:val="continuous"/>
        </w:sect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Preliminary Proxy Statement.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20" w:lineRule="exact"/>
        <w:rPr>
          <w:sz w:val="24"/>
          <w:szCs w:val="24"/>
          <w:color w:val="auto"/>
        </w:rPr>
      </w:pPr>
    </w:p>
    <w:p>
      <w:pPr>
        <w:sectPr>
          <w:pgSz w:w="11900" w:h="16838" w:orient="portrait"/>
          <w:cols w:equalWidth="0" w:num="2">
            <w:col w:w="260" w:space="400"/>
            <w:col w:w="10520"/>
          </w:cols>
          <w:pgMar w:left="320" w:top="225" w:right="399" w:bottom="1440" w:gutter="0" w:footer="0" w:header="0"/>
          <w:type w:val="continuous"/>
        </w:sectPr>
      </w:pPr>
    </w:p>
    <w:p>
      <w:pPr>
        <w:ind w:left="660" w:hanging="650"/>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ectPr>
          <w:pgSz w:w="11900" w:h="16838" w:orient="portrait"/>
          <w:cols w:equalWidth="0" w:num="1">
            <w:col w:w="11180"/>
          </w:cols>
          <w:pgMar w:left="320" w:top="225" w:right="399" w:bottom="1440" w:gutter="0" w:footer="0" w:header="0"/>
          <w:type w:val="continuous"/>
        </w:sectPr>
      </w:pP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Soliciting Material Pursuant to §240.14a-12.</w:t>
      </w:r>
    </w:p>
    <w:p>
      <w:pPr>
        <w:spacing w:after="0" w:line="211" w:lineRule="exact"/>
        <w:rPr>
          <w:sz w:val="24"/>
          <w:szCs w:val="24"/>
          <w:color w:val="auto"/>
        </w:rPr>
      </w:pPr>
    </w:p>
    <w:p>
      <w:pPr>
        <w:sectPr>
          <w:pgSz w:w="11900" w:h="16838" w:orient="portrait"/>
          <w:cols w:equalWidth="0" w:num="2">
            <w:col w:w="260" w:space="400"/>
            <w:col w:w="10520"/>
          </w:cols>
          <w:pgMar w:left="320" w:top="225" w:right="399" w:bottom="1440" w:gutter="0" w:footer="0" w:header="0"/>
          <w:type w:val="continuous"/>
        </w:sectPr>
      </w:pPr>
    </w:p>
    <w:p>
      <w:pPr>
        <w:spacing w:after="0" w:line="2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ClearOne, Inc.</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Person(s) Filing Proxy Statement, if other than Registrant)</w:t>
      </w:r>
    </w:p>
    <w:p>
      <w:pPr>
        <w:spacing w:after="0" w:line="20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5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27" w:lineRule="exact"/>
        <w:rPr>
          <w:sz w:val="24"/>
          <w:szCs w:val="24"/>
          <w:color w:val="auto"/>
        </w:rPr>
      </w:pPr>
    </w:p>
    <w:p>
      <w:pPr>
        <w:ind w:left="200" w:hanging="190"/>
        <w:spacing w:after="0"/>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Fee computed on table below per Exchange Act Rules 14a-6(i)(4) and 0-11.</w:t>
      </w:r>
    </w:p>
    <w:p>
      <w:pPr>
        <w:spacing w:after="0" w:line="9" w:lineRule="exact"/>
        <w:rPr>
          <w:rFonts w:ascii="Times New Roman" w:cs="Times New Roman" w:eastAsia="Times New Roman" w:hAnsi="Times New Roman"/>
          <w:sz w:val="18"/>
          <w:szCs w:val="18"/>
          <w:color w:val="auto"/>
        </w:rPr>
      </w:pPr>
    </w:p>
    <w:p>
      <w:pPr>
        <w:ind w:left="1300" w:hanging="642"/>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9" w:lineRule="exact"/>
        <w:rPr>
          <w:rFonts w:ascii="Times New Roman" w:cs="Times New Roman" w:eastAsia="Times New Roman" w:hAnsi="Times New Roman"/>
          <w:sz w:val="18"/>
          <w:szCs w:val="18"/>
          <w:color w:val="auto"/>
        </w:rPr>
      </w:pPr>
    </w:p>
    <w:p>
      <w:pPr>
        <w:ind w:left="1300" w:hanging="642"/>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w:t>
      </w:r>
    </w:p>
    <w:p>
      <w:pPr>
        <w:spacing w:after="0" w:line="9" w:lineRule="exact"/>
        <w:rPr>
          <w:rFonts w:ascii="Times New Roman" w:cs="Times New Roman" w:eastAsia="Times New Roman" w:hAnsi="Times New Roman"/>
          <w:sz w:val="18"/>
          <w:szCs w:val="18"/>
          <w:color w:val="auto"/>
        </w:rPr>
      </w:pPr>
    </w:p>
    <w:p>
      <w:pPr>
        <w:ind w:left="1300" w:right="60" w:hanging="642"/>
        <w:spacing w:after="0" w:line="250"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ind w:left="1300" w:hanging="642"/>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9" w:lineRule="exact"/>
        <w:rPr>
          <w:rFonts w:ascii="Times New Roman" w:cs="Times New Roman" w:eastAsia="Times New Roman" w:hAnsi="Times New Roman"/>
          <w:sz w:val="18"/>
          <w:szCs w:val="18"/>
          <w:color w:val="auto"/>
        </w:rPr>
      </w:pPr>
    </w:p>
    <w:p>
      <w:pPr>
        <w:ind w:left="1300" w:hanging="642"/>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9"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Fee paid previously with preliminary materials.</w:t>
      </w:r>
    </w:p>
    <w:p>
      <w:pPr>
        <w:spacing w:after="0" w:line="9" w:lineRule="exact"/>
        <w:rPr>
          <w:sz w:val="24"/>
          <w:szCs w:val="24"/>
          <w:color w:val="auto"/>
        </w:rPr>
      </w:pPr>
    </w:p>
    <w:p>
      <w:pPr>
        <w:ind w:left="660" w:hanging="650"/>
        <w:spacing w:after="0" w:line="250" w:lineRule="auto"/>
        <w:tabs>
          <w:tab w:leader="none" w:pos="2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00" w:hanging="642"/>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9" w:lineRule="exact"/>
        <w:rPr>
          <w:rFonts w:ascii="Times New Roman" w:cs="Times New Roman" w:eastAsia="Times New Roman" w:hAnsi="Times New Roman"/>
          <w:sz w:val="18"/>
          <w:szCs w:val="18"/>
          <w:color w:val="auto"/>
        </w:rPr>
      </w:pPr>
    </w:p>
    <w:p>
      <w:pPr>
        <w:ind w:left="1300" w:hanging="642"/>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 w:lineRule="exact"/>
        <w:rPr>
          <w:rFonts w:ascii="Times New Roman" w:cs="Times New Roman" w:eastAsia="Times New Roman" w:hAnsi="Times New Roman"/>
          <w:sz w:val="18"/>
          <w:szCs w:val="18"/>
          <w:color w:val="auto"/>
        </w:rPr>
      </w:pPr>
    </w:p>
    <w:p>
      <w:pPr>
        <w:ind w:left="1300" w:hanging="642"/>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9" w:lineRule="exact"/>
        <w:rPr>
          <w:rFonts w:ascii="Times New Roman" w:cs="Times New Roman" w:eastAsia="Times New Roman" w:hAnsi="Times New Roman"/>
          <w:sz w:val="18"/>
          <w:szCs w:val="18"/>
          <w:color w:val="auto"/>
        </w:rPr>
      </w:pPr>
    </w:p>
    <w:p>
      <w:pPr>
        <w:ind w:left="1300" w:hanging="642"/>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3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7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7580" w:type="dxa"/>
            <w:vAlign w:val="bottom"/>
            <w:gridSpan w:val="2"/>
          </w:tcPr>
          <w:p>
            <w:pPr>
              <w:jc w:val="center"/>
              <w:ind w:right="3640"/>
              <w:spacing w:after="0"/>
              <w:rPr>
                <w:sz w:val="20"/>
                <w:szCs w:val="20"/>
                <w:color w:val="auto"/>
              </w:rPr>
            </w:pPr>
            <w:r>
              <w:rPr>
                <w:rFonts w:ascii="Times New Roman" w:cs="Times New Roman" w:eastAsia="Times New Roman" w:hAnsi="Times New Roman"/>
                <w:sz w:val="22"/>
                <w:szCs w:val="22"/>
                <w:b w:val="1"/>
                <w:bCs w:val="1"/>
                <w:color w:val="auto"/>
                <w:w w:val="98"/>
              </w:rPr>
              <w:t>CLEARONE, INC.</w:t>
            </w:r>
          </w:p>
        </w:tc>
      </w:tr>
      <w:tr>
        <w:trPr>
          <w:trHeight w:val="286"/>
        </w:trPr>
        <w:tc>
          <w:tcPr>
            <w:tcW w:w="1720" w:type="dxa"/>
            <w:vAlign w:val="bottom"/>
          </w:tcPr>
          <w:p>
            <w:pPr>
              <w:spacing w:after="0"/>
              <w:rPr>
                <w:sz w:val="24"/>
                <w:szCs w:val="24"/>
                <w:color w:val="auto"/>
              </w:rPr>
            </w:pPr>
          </w:p>
        </w:tc>
        <w:tc>
          <w:tcPr>
            <w:tcW w:w="9520" w:type="dxa"/>
            <w:vAlign w:val="bottom"/>
            <w:gridSpan w:val="3"/>
          </w:tcPr>
          <w:p>
            <w:pPr>
              <w:jc w:val="center"/>
              <w:ind w:right="1720"/>
              <w:spacing w:after="0"/>
              <w:rPr>
                <w:sz w:val="20"/>
                <w:szCs w:val="20"/>
                <w:color w:val="auto"/>
              </w:rPr>
            </w:pPr>
            <w:r>
              <w:rPr>
                <w:rFonts w:ascii="Times New Roman" w:cs="Times New Roman" w:eastAsia="Times New Roman" w:hAnsi="Times New Roman"/>
                <w:sz w:val="22"/>
                <w:szCs w:val="22"/>
                <w:b w:val="1"/>
                <w:bCs w:val="1"/>
                <w:color w:val="auto"/>
                <w:w w:val="97"/>
              </w:rPr>
              <w:t>Notice of 2022 Annual Meeting of Shareholders</w:t>
            </w:r>
          </w:p>
        </w:tc>
      </w:tr>
      <w:tr>
        <w:trPr>
          <w:trHeight w:val="447"/>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November 16, 2022</w:t>
            </w:r>
          </w:p>
        </w:tc>
      </w:tr>
      <w:tr>
        <w:trPr>
          <w:trHeight w:val="432"/>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w:t>
            </w: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9:30 a.m. Mountain time</w:t>
            </w:r>
          </w:p>
        </w:tc>
      </w:tr>
      <w:tr>
        <w:trPr>
          <w:trHeight w:val="432"/>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w:t>
            </w: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5225 Wiley Post Way, Suite 500, Salt Lake City, UT 84116</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September 29, 2022. Only shareholders of record at the close of business on the record date are entitled to receive notice of,</w:t>
            </w:r>
          </w:p>
        </w:tc>
      </w:tr>
      <w:tr>
        <w:trPr>
          <w:trHeight w:val="234"/>
        </w:trPr>
        <w:tc>
          <w:tcPr>
            <w:tcW w:w="1720" w:type="dxa"/>
            <w:vAlign w:val="bottom"/>
          </w:tcPr>
          <w:p>
            <w:pPr>
              <w:spacing w:after="0"/>
              <w:rPr>
                <w:sz w:val="20"/>
                <w:szCs w:val="20"/>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and to vote at, the Annual Meeting.</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Proxy voting</w:t>
            </w: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All shareholders are cordially invited to attend the meeting and vote in person. However, to ensure your representation at the</w:t>
            </w: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9"/>
              </w:rPr>
              <w:t>meeting, you are urged to vote as promptly as possible, whether via the Internet, by telephone, or, by marking, signing, dating,</w:t>
            </w:r>
          </w:p>
        </w:tc>
      </w:tr>
      <w:tr>
        <w:trPr>
          <w:trHeight w:val="234"/>
        </w:trPr>
        <w:tc>
          <w:tcPr>
            <w:tcW w:w="1720" w:type="dxa"/>
            <w:vAlign w:val="bottom"/>
          </w:tcPr>
          <w:p>
            <w:pPr>
              <w:spacing w:after="0"/>
              <w:rPr>
                <w:sz w:val="20"/>
                <w:szCs w:val="20"/>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and returning the enclosed proxy in the postage-prepaid envelope enclosed for that purpose.</w:t>
            </w:r>
          </w:p>
        </w:tc>
      </w:tr>
      <w:tr>
        <w:trPr>
          <w:trHeight w:val="414"/>
        </w:trPr>
        <w:tc>
          <w:tcPr>
            <w:tcW w:w="1720" w:type="dxa"/>
            <w:vAlign w:val="bottom"/>
          </w:tcPr>
          <w:p>
            <w:pPr>
              <w:spacing w:after="0"/>
              <w:rPr>
                <w:sz w:val="24"/>
                <w:szCs w:val="24"/>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If you plan to attend the Annual Meeting, please note that for security reasons, before being admitted you must present your</w:t>
            </w: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proof of stock ownership (or if you hold your shares in street name, a signed legal proxy from your bank, broker or other</w:t>
            </w: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nominee giving you the right to vote your shares) and valid photo identification at the door. All hand-carried items will be</w:t>
            </w: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subject to inspection, and any bags, briefcases, or packages must be checked at the registration desk prior to entering the</w:t>
            </w: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meeting room. If you do not have proof of ownership and valid photo identification, you will not be admitted to the Annual</w:t>
            </w: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Meeting. Please also note that the use of cell phones, smartphones, pagers, recording and photographic equipment and/or</w:t>
            </w: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computers is strictly prohibited at the Annual Meeting. No recording of the Annual Meeting is permitted, including audio and</w:t>
            </w: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video recording. If you need to obtain directions on how to attend the Annual Meeting and vote in person, please contact our</w:t>
            </w:r>
          </w:p>
        </w:tc>
      </w:tr>
      <w:tr>
        <w:trPr>
          <w:trHeight w:val="234"/>
        </w:trPr>
        <w:tc>
          <w:tcPr>
            <w:tcW w:w="1720" w:type="dxa"/>
            <w:vAlign w:val="bottom"/>
          </w:tcPr>
          <w:p>
            <w:pPr>
              <w:spacing w:after="0"/>
              <w:rPr>
                <w:sz w:val="20"/>
                <w:szCs w:val="20"/>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corporate offices at +1 (801) 975-7200.</w:t>
            </w:r>
          </w:p>
        </w:tc>
      </w:tr>
      <w:tr>
        <w:trPr>
          <w:trHeight w:val="410"/>
        </w:trPr>
        <w:tc>
          <w:tcPr>
            <w:tcW w:w="1720" w:type="dxa"/>
            <w:vAlign w:val="bottom"/>
          </w:tcPr>
          <w:p>
            <w:pPr>
              <w:spacing w:after="0"/>
              <w:rPr>
                <w:sz w:val="24"/>
                <w:szCs w:val="24"/>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OUR ANNUAL</w:t>
            </w:r>
          </w:p>
        </w:tc>
      </w:tr>
      <w:tr>
        <w:trPr>
          <w:trHeight w:val="220"/>
        </w:trPr>
        <w:tc>
          <w:tcPr>
            <w:tcW w:w="1720" w:type="dxa"/>
            <w:vAlign w:val="bottom"/>
          </w:tcPr>
          <w:p>
            <w:pPr>
              <w:spacing w:after="0"/>
              <w:rPr>
                <w:sz w:val="19"/>
                <w:szCs w:val="19"/>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MEETING TO BE HELD ON NOVEMBER 16, 2022.</w:t>
            </w: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20" w:type="dxa"/>
            <w:vAlign w:val="bottom"/>
          </w:tcPr>
          <w:p>
            <w:pPr>
              <w:spacing w:after="0"/>
              <w:rPr>
                <w:sz w:val="18"/>
                <w:szCs w:val="18"/>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Our proxy statement, form of proxy card, and Annual Report on Form 10-K for the year ended December 31, 2021 are</w:t>
            </w:r>
          </w:p>
        </w:tc>
      </w:tr>
      <w:tr>
        <w:trPr>
          <w:trHeight w:val="194"/>
        </w:trPr>
        <w:tc>
          <w:tcPr>
            <w:tcW w:w="1720" w:type="dxa"/>
            <w:vAlign w:val="bottom"/>
          </w:tcPr>
          <w:p>
            <w:pPr>
              <w:spacing w:after="0"/>
              <w:rPr>
                <w:sz w:val="16"/>
                <w:szCs w:val="16"/>
                <w:color w:val="auto"/>
              </w:rPr>
            </w:pPr>
          </w:p>
        </w:tc>
        <w:tc>
          <w:tcPr>
            <w:tcW w:w="9520" w:type="dxa"/>
            <w:vAlign w:val="bottom"/>
            <w:gridSpan w:val="3"/>
          </w:tcPr>
          <w:p>
            <w:pPr>
              <w:ind w:left="420"/>
              <w:spacing w:after="0" w:line="194" w:lineRule="exact"/>
              <w:rPr>
                <w:sz w:val="20"/>
                <w:szCs w:val="20"/>
                <w:color w:val="auto"/>
              </w:rPr>
            </w:pPr>
            <w:r>
              <w:rPr>
                <w:rFonts w:ascii="Times New Roman" w:cs="Times New Roman" w:eastAsia="Times New Roman" w:hAnsi="Times New Roman"/>
                <w:sz w:val="18"/>
                <w:szCs w:val="18"/>
                <w:color w:val="auto"/>
              </w:rPr>
              <w:t>available  online at www.colonialstock.com/clro2022. On or about October 7, 2022, we will have sent to our stockholders a</w:t>
            </w:r>
          </w:p>
        </w:tc>
      </w:tr>
      <w:tr>
        <w:trPr>
          <w:trHeight w:val="20"/>
        </w:trPr>
        <w:tc>
          <w:tcPr>
            <w:tcW w:w="1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18"/>
        </w:trPr>
        <w:tc>
          <w:tcPr>
            <w:tcW w:w="1720" w:type="dxa"/>
            <w:vAlign w:val="bottom"/>
          </w:tcPr>
          <w:p>
            <w:pPr>
              <w:spacing w:after="0"/>
              <w:rPr>
                <w:sz w:val="18"/>
                <w:szCs w:val="18"/>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Notice of Internet Availability of Proxy Materials, which includes instructions on how to access these materials and vote</w:t>
            </w:r>
          </w:p>
        </w:tc>
      </w:tr>
      <w:tr>
        <w:trPr>
          <w:trHeight w:val="234"/>
        </w:trPr>
        <w:tc>
          <w:tcPr>
            <w:tcW w:w="1720" w:type="dxa"/>
            <w:vAlign w:val="bottom"/>
          </w:tcPr>
          <w:p>
            <w:pPr>
              <w:spacing w:after="0"/>
              <w:rPr>
                <w:sz w:val="20"/>
                <w:szCs w:val="20"/>
                <w:color w:val="auto"/>
              </w:rPr>
            </w:pPr>
          </w:p>
        </w:tc>
        <w:tc>
          <w:tcPr>
            <w:tcW w:w="9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online or to request to receive a printed set of our proxy materials  .</w:t>
            </w:r>
          </w:p>
        </w:tc>
      </w:tr>
      <w:tr>
        <w:trPr>
          <w:trHeight w:val="64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9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1.  To elect four members of our Board of Directors;</w:t>
            </w:r>
          </w:p>
        </w:tc>
      </w:tr>
    </w:tbl>
    <w:p>
      <w:pPr>
        <w:spacing w:after="0" w:line="90" w:lineRule="exact"/>
        <w:rPr>
          <w:sz w:val="20"/>
          <w:szCs w:val="20"/>
          <w:color w:val="auto"/>
        </w:rPr>
      </w:pPr>
    </w:p>
    <w:p>
      <w:pPr>
        <w:ind w:left="2440" w:right="20" w:hanging="272"/>
        <w:spacing w:after="0" w:line="282" w:lineRule="auto"/>
        <w:tabs>
          <w:tab w:leader="none" w:pos="2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as such compensation is described under the “Executive Compensation” sections of the proxy statement accompanying this notice;</w:t>
      </w:r>
    </w:p>
    <w:p>
      <w:pPr>
        <w:spacing w:after="0" w:line="53" w:lineRule="exact"/>
        <w:rPr>
          <w:rFonts w:ascii="Times New Roman" w:cs="Times New Roman" w:eastAsia="Times New Roman" w:hAnsi="Times New Roman"/>
          <w:sz w:val="18"/>
          <w:szCs w:val="18"/>
          <w:color w:val="auto"/>
        </w:rPr>
      </w:pPr>
    </w:p>
    <w:p>
      <w:pPr>
        <w:ind w:left="2460" w:hanging="292"/>
        <w:spacing w:after="0"/>
        <w:tabs>
          <w:tab w:leader="none" w:pos="2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items of business are more fully described in the proxy statement accompanying this notice.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154305</wp:posOffset>
            </wp:positionV>
            <wp:extent cx="994410" cy="505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9441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Narsi Narayanan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6, 2022</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 w:name="page3"/>
    <w:bookmarkEnd w:id="2"/>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2951480</wp:posOffset>
            </wp:positionH>
            <wp:positionV relativeFrom="page">
              <wp:posOffset>363220</wp:posOffset>
            </wp:positionV>
            <wp:extent cx="1568450" cy="240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68450" cy="240030"/>
                    </a:xfrm>
                    <a:prstGeom prst="rect">
                      <a:avLst/>
                    </a:prstGeom>
                    <a:noFill/>
                  </pic:spPr>
                </pic:pic>
              </a:graphicData>
            </a:graphic>
          </wp:anchor>
        </w:drawing>
        <w:t>2022 Proxy Statement</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is solicited by and on behalf of the Board of Directors of ClearOne, Inc., a Delaware corporation (hereinafter referred to as the “Company,” “ClearOne,” “we,” “us” or “our”), for use at the Annual Meeting of Shareholders (the “Annual Meeting”), to be held on November 16, 2022 at 5225 Wiley Post Way, Suite 500, Salt Lake City, UT 84116, at 9:30 A.M. local time, or at any continuations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Notice of Internet Availability of Proxy Materials will be distributed on or about October 7, 2022 to all shareholders entitled to vote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ANSWERS REGARDING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ClearOne distributing the proxy materials?</w:t>
      </w:r>
    </w:p>
    <w:p>
      <w:pPr>
        <w:spacing w:after="0" w:line="25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 xml:space="preserve">This Proxy Statement, the proxy card and the Company's Annual Report for the fiscal year ended December 31, 2021 (the "2021 Annual Report") are available online at </w:t>
      </w:r>
      <w:r>
        <w:rPr>
          <w:rFonts w:ascii="Times New Roman" w:cs="Times New Roman" w:eastAsia="Times New Roman" w:hAnsi="Times New Roman"/>
          <w:sz w:val="17"/>
          <w:szCs w:val="17"/>
          <w:u w:val="single" w:color="auto"/>
          <w:color w:val="auto"/>
        </w:rPr>
        <w:t>www.colonialstock.com/clro2022</w:t>
      </w:r>
      <w:r>
        <w:rPr>
          <w:rFonts w:ascii="Times New Roman" w:cs="Times New Roman" w:eastAsia="Times New Roman" w:hAnsi="Times New Roman"/>
          <w:sz w:val="17"/>
          <w:szCs w:val="17"/>
          <w:color w:val="auto"/>
        </w:rPr>
        <w:t>. Pursuant to rules adopted by the Securities and Exchange Commission (the "SEC"), we have elected to provide access to our proxy materials over the Internet. Accordingly, we are first sending a Notice of Internet Availability of Proxy Materials to our stockholders on or about October 7, 2022. All stockholders will have the ability to access our proxy materials on the website referred to in the Notice of Internet Availability of Proxy Materials (</w:t>
      </w:r>
      <w:r>
        <w:rPr>
          <w:rFonts w:ascii="Times New Roman" w:cs="Times New Roman" w:eastAsia="Times New Roman" w:hAnsi="Times New Roman"/>
          <w:sz w:val="17"/>
          <w:szCs w:val="17"/>
          <w:u w:val="single" w:color="auto"/>
          <w:color w:val="auto"/>
        </w:rPr>
        <w:t>www.colonialstock.com/clro2022</w:t>
      </w:r>
      <w:r>
        <w:rPr>
          <w:rFonts w:ascii="Times New Roman" w:cs="Times New Roman" w:eastAsia="Times New Roman" w:hAnsi="Times New Roman"/>
          <w:sz w:val="17"/>
          <w:szCs w:val="17"/>
          <w:color w:val="auto"/>
        </w:rPr>
        <w:t>) or to request to receive a printed set of our proxy materials. Instructions on how to access our proxy materials over the Internet or request a printed copy of our proxy materials may be found in the Notice of Internet Availability of Proxy Materials. In addition, stockholders may request to receive proxy materials in printed form or by email on an ongoing basis by calling 1-877-285-8605.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this Proxy Statement and accompanying Proxy?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Proxy Statement is a document that the regulations of the Securities and Exchange Commission (“SEC”) require us to give you when we ask you to sign a proxy designating individuals to vote on your behalf. A proxy is your legal designation of another person to vote the stock you own and are entitled to vote. That other person is called a proxy. If you designate someone as your proxy in a written document, that document is also called a proxy or a proxy card. We have designated two of our officers with full power of substitution as proxies for the Annual Meeting. These officers are Derek L. Graham and Narsi Narayanan.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is soliciting your proxy to give all shareholders of record the opportunity to vote on matters that will be presented at the Annual Meeting. This Proxy Statement provides you with information on these matters to assist you in voting your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purpose of the Annual Meeting is to: (i) elect four directors; (ii) approve, on an advisory basis, the compensation of the Company's named executive officers; and (ii) to transact any such other business that properly comes before the Annual Meeting (each a “Proposal,” and collectively, the “Proposals”). Although the Board of Directors does not anticipate that any other issues will come before the Annual Meeting, your completed and executed proxy gives the official proxies the right to vote your shares that you are entitled to vote in their discretion on any other matter properly brought before the Annual Meeting.</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What is the record date for voting at the Annual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record date for purposes of determining the number of outstanding shares of our common stock eligible to vote at the Annual Meeting, and for determining the shareholders entitled to vote at the Annual Meeting, is the close of business on September 29, 2022 (the “Record Date”). As of the Record Date, 23,952,555 shares of common stock were issued and outstanding. No other series of stock is outstanding. Holders of the shares of common stock have no preemptive rights. The transfer agent for the common stock is: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Colonial Stock Transfer Company,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7840 S. 700 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Sandy, UT 84070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Phone: 801-355-5740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Fax: 801-355-6505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Annual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quorum must be present at the meeting in order for the shareholders to take official action. Under Delaware law and our Certificate of Incorporation and Bylaws, a quorum will exist if a majority of the total number of shares entitled to vote are present, in person or by proxy.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What is a broker non-vote and how is it counted?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applicable rules, brokers are permitted to vote their customers’ stock held in street name on routine matters when the brokers have not received voting instructions from their customers. However, brokers are not allowed to vote their customers’ stock held in street name on non-routine matters unless they have received voting instructions from their customers. In such cases, the uninstructed shares for which the broker is unable to vote are called broker non-votes.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routine matters will be voted on at the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routine matters on which brokers may vote in their discretion on behalf of customers who have not provided voting instructions.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non-routine matters will be voted on at the Annual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election of directors (Proposal one) and advisory approval of the Company's executive compensation (Proposal two) are non-routine matters on which brokers are not allowed to vote unless they have received voting instructions from their customers. Your broker will not be allowed to vote your shares on any non-routine matters without your specific instructions. Accordingly, it is particularly important that beneficial owners instruct their brokers how they wish to vote their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all matters, except as otherwise provided by Delaware law, each holder of common stock will be entitled to one vote for each share of common stock held on the Record Date. Assuming that a quorum is present, the votes needed to approve each Proposal are set forth below.</w:t>
      </w:r>
    </w:p>
    <w:p>
      <w:pPr>
        <w:spacing w:after="0" w:line="160"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one: </w:t>
      </w:r>
      <w:r>
        <w:rPr>
          <w:rFonts w:ascii="Times New Roman" w:cs="Times New Roman" w:eastAsia="Times New Roman" w:hAnsi="Times New Roman"/>
          <w:sz w:val="18"/>
          <w:szCs w:val="18"/>
          <w:color w:val="auto"/>
        </w:rPr>
        <w:t>In the election of directors, shareholders will not be allowed to cumulate their votes. The election of directors will be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plurality vote.</w:t>
      </w:r>
    </w:p>
    <w:p>
      <w:pPr>
        <w:spacing w:after="0" w:line="158"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two: </w:t>
      </w:r>
      <w:r>
        <w:rPr>
          <w:rFonts w:ascii="Times New Roman" w:cs="Times New Roman" w:eastAsia="Times New Roman" w:hAnsi="Times New Roman"/>
          <w:sz w:val="18"/>
          <w:szCs w:val="18"/>
          <w:color w:val="auto"/>
        </w:rPr>
        <w:t>The Proposal to approve, by non-binding advisory vote, the compensation of our named executive officers requires that the votes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cast in favor of the Proposal must exceed the votes cast against the Proposal.</w:t>
      </w:r>
    </w:p>
    <w:p>
      <w:pPr>
        <w:spacing w:after="0" w:line="16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not affect the outcome of the election of directors and the advisory vote on the compensation of our named executive officers.</w:t>
      </w:r>
    </w:p>
    <w:p>
      <w:pPr>
        <w:spacing w:after="0" w:line="160" w:lineRule="exact"/>
        <w:rPr>
          <w:sz w:val="20"/>
          <w:szCs w:val="20"/>
          <w:color w:val="auto"/>
        </w:rPr>
      </w:pPr>
    </w:p>
    <w:p>
      <w:pPr>
        <w:ind w:right="14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Other Matters: </w:t>
      </w:r>
      <w:r>
        <w:rPr>
          <w:rFonts w:ascii="Times New Roman" w:cs="Times New Roman" w:eastAsia="Times New Roman" w:hAnsi="Times New Roman"/>
          <w:sz w:val="17"/>
          <w:szCs w:val="17"/>
          <w:color w:val="auto"/>
        </w:rPr>
        <w:t>Any other matter properly presented for approval by the shareholders at the Annual Meeting will generally be approved if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number of votes cast in favor of such matter exceeds the number of votes cast in opposition. With respect to any such matter, abstentions and broker non-votes are not likely to affect the outcome of a vote on such matter. We are not currently aware of any other matters to be presented at the Annual Meeting.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What are the Board of Director’s recommendations on the Proposals?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recommends that shareholders cast their votes on the Proposals as follows:</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director nominees listed in the proxy statement,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by non-binding advisory vote, the approval of the compensation of our named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a “shareholder of record” and a “street name” holder?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terms describe how your shares are held. If your shares are registered directly in your name with Colonial, our transfer agent, you are a “shareholder of record.” If your shares are held in the name of a brokerage, bank, trust or other nominee as a custodian, you are a “street name” holder.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Will I get more than one copy of the proxy statement, annual report or Notice of Internet Availability if there are multiple shareholders at my address?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some cases, only one copy of this proxy statement, annual report or Notice of Internet Availability is being delivered to multiple shareholders sharing an address unless we have received contrary instructions from one or more of the shareholders. We will deliver promptly, upon a written or oral request, a separate copy of this proxy statement, annual report or Notice of Internet Availability to a shareholder at a shared address to which a single copy of the document was delivered. Shareholders sharing an address may also submit requests for delivery of a single copy of the proxy statement, annual report or Notice of Internet Availability, but in such event will still receive separate proxies for each account. To request separate or single delivery of these materials now or in the future, a shareholder may submit a written request to the Corporate Secretary, ClearOne, Inc., 5225 Wiley Post Way, Suite 500, Salt Lake City, Utah 84116 or a shareholder may make a request by calling the Corporate Secretary at (801) 975-7200, or by contacting our transfer agent, Colonial Stock Transfer Company, Inc, 7840 S. 700 E., Sandy, UT 84070 or calling (801) 355-5740.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your shares of common stock are held in street name by a broker, bank or other nominee, you will receive information from your nominee as to how to instruct them to vote your shares of common stock for each of the Proposals discussed in this proxy statement.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shareholder of record and hold common stock in your own name, you may give instructions on how to vote your shares of common stock by following the instructions on the proxy card or Notice of Internet Availability on how to vote over the Internet, by phone, or by mail by completing, signing, dating and returning the proxy card.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completing and submitting the proxy (whether over the internet, by telephone, or by signing, dating and mailing the accompanying proxy card), the shareholder authorizes Derek L. Graham, Interim Chief Executive Officer, and Narsi Narayanan, Corporate Secretary, as designated on the face of the proxy, to vote all shares for the shareholder. All proxies that are properly completed and submitted will be voted as the shareholder directs. If no direction is given, executed proxies will be voted FOR each proposal set forth in this proxy statement. Votes will be tabulated by Colonial.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revoke your proxy before the vote is taken at the Annual Meeting by:</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signing and submitting a new proxy with a later date;</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in person; or</w:t>
      </w:r>
    </w:p>
    <w:p>
      <w:pPr>
        <w:spacing w:after="0" w:line="225" w:lineRule="exact"/>
        <w:rPr>
          <w:rFonts w:ascii="Times New Roman" w:cs="Times New Roman" w:eastAsia="Times New Roman" w:hAnsi="Times New Roman"/>
          <w:sz w:val="18"/>
          <w:szCs w:val="18"/>
          <w:color w:val="auto"/>
        </w:rPr>
      </w:pPr>
    </w:p>
    <w:p>
      <w:pPr>
        <w:ind w:left="660" w:right="3800" w:hanging="4"/>
        <w:spacing w:after="0" w:line="516" w:lineRule="auto"/>
        <w:tabs>
          <w:tab w:leader="none" w:pos="9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signed, written notice of revocation with the Corporate Secretary of the Company. Your attendance at the Annual Meeting will not automatically revoke your proxy.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common stock you own is held on your behalf by a broker, bank or other nominee, you must contact the nominee to receive instructions as to how you can revoke your proxy.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You may obtain an additional proxy card by writing to Corporate Secretary, ClearOne, Inc., 5225 Wiley Post Way, Suite 500, Salt Lake City, Utah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84116.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will announce the preliminary voting results at the Annual Meeting and disclose the final voting results in a current report on Form 8-K filed with the SEC within four (4) business days of the date of the Annual Meeting, unless only preliminary voting results are available at that time. To the extent necessary, we will file an amended report on Form 8-K to disclose the final voting results within four business days after the final voting results are known. You may access or obtain a copy of these and our other reports filed with the SEC free of charge on our web site at </w:t>
      </w:r>
      <w:r>
        <w:rPr>
          <w:rFonts w:ascii="Times New Roman" w:cs="Times New Roman" w:eastAsia="Times New Roman" w:hAnsi="Times New Roman"/>
          <w:sz w:val="18"/>
          <w:szCs w:val="18"/>
          <w:i w:val="1"/>
          <w:iCs w:val="1"/>
          <w:color w:val="auto"/>
        </w:rPr>
        <w:t>http://www.clearone.com</w:t>
      </w:r>
      <w:r>
        <w:rPr>
          <w:rFonts w:ascii="Times New Roman" w:cs="Times New Roman" w:eastAsia="Times New Roman" w:hAnsi="Times New Roman"/>
          <w:sz w:val="18"/>
          <w:szCs w:val="18"/>
          <w:color w:val="auto"/>
        </w:rPr>
        <w:t>. Also, such Form 8-K, any amendments thereto and other reports we file with the SEC are available to you over the Internet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SEC’s web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view the shareholder list?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complete list of shareholders of record entitled to vote at the Annual Meeting will be available for viewing during ordinary business hours for a period of ten (10) days before the Annual Meeting at our offices located at 5225 Wiley Post Way, Suite 500, Salt Lake City, Utah 84116.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for the proxy solicitation related to the Annual Meeting?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bear the costs of the solicitation. The solicitation of proxies by the Board of Directors will be conducted primarily by mail and through the Internet. Additionally, our officers, directors and employees may solicit proxies personally or by telephone, email or other forms of wire or facsimile communication. These officers, directors and employees will not receive any extra compensation for these services. We may reimburse brokers, custodians, nominees and fiduciaries for reasonable expenses incurred by them in forwarding proxy material to beneficial owners of our common stock as of the record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obtain a copy of the Annual Report?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provide, without charge, a printed copy of our 2021 Annual Report on Form 10-K, as filed with the Securities and Exchange Commission, to each shareholder of record as of the record date that requests a copy in writing. Any such requests should be directed to our Corporate Secretary at our corporate offices set forth in this proxy statement.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may also access or obtain a copy of our 2021 Annual Report on Form 10-K and other reports filed with the SEC free of charge on our web site at http://www.clearone.com, or at the SEC's web site at http://www.sec.gov. The 2021 Annual Report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“Exchange Act”). The information contained in the “Audit and Compliance Committee Report” shall not be deemed “filed” with the Securities and Exchange Commission or subject to Regulations 14A or 14C or to the liabilities of Section 18 of the Exchange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bylaws provide that our Board of Directors shall consist of not less than three or more than nine members as determined by the Board of Directors or our shareholders from time to time. The Board of Directors has currently fixed the number of directors at five. The term of each of our directors expires at the 2021 Annual Meeting. We have nominated current directors Ms. Hakimoglu, Mr. Hendricks, Ms. Higley, Mr. Robinson and Mr. Whaley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ELECTION OF THE DIRECTOR NOMINEES NAMED HEREIN.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Directors and Nominees for Director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current directors, including the five nominees for re-election as directors at the Annual Meeting.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Since</w:t>
            </w:r>
          </w:p>
        </w:tc>
      </w:tr>
      <w:tr>
        <w:trPr>
          <w:trHeight w:val="223"/>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L Robinson</w:t>
            </w:r>
          </w:p>
        </w:tc>
        <w:tc>
          <w:tcPr>
            <w:tcW w:w="2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top w:val="single" w:sz="8" w:color="CCEEFF"/>
            </w:tcBorders>
            <w:shd w:val="clear" w:color="auto" w:fill="CCEEFF"/>
          </w:tcPr>
          <w:p>
            <w:pPr>
              <w:spacing w:after="0"/>
              <w:rPr>
                <w:sz w:val="19"/>
                <w:szCs w:val="19"/>
                <w:color w:val="auto"/>
              </w:rPr>
            </w:pPr>
          </w:p>
        </w:tc>
        <w:tc>
          <w:tcPr>
            <w:tcW w:w="5480" w:type="dxa"/>
            <w:vAlign w:val="bottom"/>
            <w:tcBorders>
              <w:top w:val="single" w:sz="8" w:color="auto"/>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Chairman and Director</w:t>
            </w:r>
            <w:r>
              <w:rPr>
                <w:rFonts w:ascii="Times New Roman" w:cs="Times New Roman" w:eastAsia="Times New Roman" w:hAnsi="Times New Roman"/>
                <w:sz w:val="24"/>
                <w:szCs w:val="24"/>
                <w:color w:val="auto"/>
                <w:vertAlign w:val="superscript"/>
              </w:rPr>
              <w:t>(1)</w:t>
            </w:r>
          </w:p>
        </w:tc>
        <w:tc>
          <w:tcPr>
            <w:tcW w:w="1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r>
      <w:tr>
        <w:trPr>
          <w:trHeight w:val="229"/>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Larry R. Hendricks</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9"/>
                <w:szCs w:val="19"/>
                <w:color w:val="auto"/>
              </w:rPr>
            </w:pPr>
          </w:p>
        </w:tc>
        <w:tc>
          <w:tcPr>
            <w:tcW w:w="566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24"/>
                <w:szCs w:val="24"/>
                <w:color w:val="auto"/>
                <w:vertAlign w:val="superscript"/>
              </w:rPr>
              <w:t>(1)</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2003</w:t>
            </w: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B. Higley</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r>
      <w:tr>
        <w:trPr>
          <w:trHeight w:val="229"/>
        </w:trPr>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Bruce Whaley</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bottom w:val="single" w:sz="8" w:color="auto"/>
            </w:tcBorders>
          </w:tcPr>
          <w:p>
            <w:pPr>
              <w:spacing w:after="0"/>
              <w:rPr>
                <w:sz w:val="19"/>
                <w:szCs w:val="19"/>
                <w:color w:val="auto"/>
              </w:rPr>
            </w:pPr>
          </w:p>
        </w:tc>
        <w:tc>
          <w:tcPr>
            <w:tcW w:w="5660" w:type="dxa"/>
            <w:vAlign w:val="bottom"/>
            <w:tcBorders>
              <w:bottom w:val="single" w:sz="8" w:color="auto"/>
            </w:tcBorders>
            <w:gridSpan w:val="2"/>
          </w:tcPr>
          <w:p>
            <w:pPr>
              <w:spacing w:after="0" w:line="229" w:lineRule="exact"/>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24"/>
                <w:szCs w:val="24"/>
                <w:color w:val="auto"/>
                <w:vertAlign w:val="superscript"/>
              </w:rPr>
              <w:t>(1)</w:t>
            </w: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2019</w:t>
            </w:r>
          </w:p>
        </w:tc>
      </w:tr>
    </w:tbl>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Member of the Audit and Compliance Committee, Compensation Committee and Nominating Committee</w:t>
      </w:r>
    </w:p>
    <w:p>
      <w:pPr>
        <w:spacing w:after="0" w:line="1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Eric. L Robinson </w:t>
      </w:r>
      <w:r>
        <w:rPr>
          <w:rFonts w:ascii="Times New Roman" w:cs="Times New Roman" w:eastAsia="Times New Roman" w:hAnsi="Times New Roman"/>
          <w:sz w:val="18"/>
          <w:szCs w:val="18"/>
          <w:color w:val="auto"/>
        </w:rPr>
        <w:t>has served as a director of our company since July 2015 and was named Chairman of the Board in February 2022.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Robinson spent fourteen years in private practice as a corporate attorney, including eleven years as a partner in the Salt Lake City, Utah law firm of Blackburn &amp; Stoll, LC. Mr. Robinson's law practice focused on securities, corporate and other business transactions. Since 2009, Mr. Robinson has been principally employed by MicroPower Global Limited, a company in the semiconductor business. At MicroPower, Mr. Robinson has acted as General Counsel, Chief Financial Officer and a director. Mr. Robinson also maintains a small law practice and serves as counsel to a number of companies in the fields of genetics, regenerative medicine, transportation and commercial construction. He also served as General Counsel, Chief Financial Officer and a director to a genetic research company from 2008 until 2015. Mr. Robinson previously acted from 2007 until 2008 as General Counsel and Chief Financial Officer to a commercial construction company which had revenues in excess of $100 million during his tenure. 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includes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 In light of Mr. Robinson’s legal and financial background, the Board has concluded that Mr. Robinson should continue to serve as a director.</w:t>
      </w:r>
    </w:p>
    <w:p>
      <w:pPr>
        <w:spacing w:after="0" w:line="1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Larry R. Hendricks </w:t>
      </w:r>
      <w:r>
        <w:rPr>
          <w:rFonts w:ascii="Times New Roman" w:cs="Times New Roman" w:eastAsia="Times New Roman" w:hAnsi="Times New Roman"/>
          <w:sz w:val="18"/>
          <w:szCs w:val="18"/>
          <w:color w:val="auto"/>
        </w:rPr>
        <w:t>has served as a director of our company since June 2003. Mr. Hendricks is a Certified Public Accountant who retired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Skin Care International, and the National Advisory Board of the Huntsman College of Business at Utah State University. He earned a Bachelor's Degree in Accounting from Utah State University and a Master of Business Administration Degree from the University of Utah. In light of Mr. Hendricks' background in finance and accounting and his deep understanding of our business due to his long service on our Board, the Board has concluded that Mr. Hendricks should continue to serve as a director.</w:t>
      </w:r>
    </w:p>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Lisa B. Higley </w:t>
      </w:r>
      <w:r>
        <w:rPr>
          <w:rFonts w:ascii="Times New Roman" w:cs="Times New Roman" w:eastAsia="Times New Roman" w:hAnsi="Times New Roman"/>
          <w:sz w:val="18"/>
          <w:szCs w:val="18"/>
          <w:color w:val="auto"/>
        </w:rPr>
        <w:t>was appointed a director of our company effective July 20, 2020. Ms. Higley has been self-employed as a CPA since June 2009.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she was the CFO for Daisy D’s Paper Company from March 2007 until January 2009, where she managed all aspects of the company’s financial and accounting responsibilities. Additionally, Ms. Higley was the CFO for Tunex International from April 2006 to March 2007 where she was accountable for all financial aspects of the corporation. Prior to that, Ms. Higley was a staff tax accountant at Wisen, Smith, Racker &amp; Prescott LLP from February 2004 to April 2006. Ms. Higley earned her Bachelor of Science in Accounting from the University of Oregon and her MBA from Utah State University, and has been a Utah CPA since 2004. Ms. Higley is the daughter of Edward D. Bagley, our former Chairman of the Board. Mr. Edward D. Bagley beneficially owns 45% of our issued and outstanding common stock. In light of Ms. Higley’s background in finance and accounting, the Board concluded that Ms. Higley should continue to serve as a director.</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Bruce Whaley </w:t>
      </w:r>
      <w:r>
        <w:rPr>
          <w:rFonts w:ascii="Times New Roman" w:cs="Times New Roman" w:eastAsia="Times New Roman" w:hAnsi="Times New Roman"/>
          <w:sz w:val="18"/>
          <w:szCs w:val="18"/>
          <w:color w:val="auto"/>
        </w:rPr>
        <w:t>was appointed a director of our company effective April 16, 2019. Mr. Whaley has extensive experience as a stock broker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nearly five decades. Mr. Whaley is currently a broker trading at Wilson &amp; Davis, a regional brokerage firm based in Salt Lake City, Utah. He has been with Wilson &amp; Davis since 1988. Mr. Whaley also holds a real estate license and works as a real estate agent for Coldwell Banker. Mr. Whaley attended University of Utah between 1968 and 1971 and studied many subjects including business administration, accounting and finance. He did not graduate with a degree. In light of Mr. Whaley's background in finance and capital markets, the Board concluded that Mr. Whaley should continue to serve as a director.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Relating to Corporate Governance and the Board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after considering all the relevant facts and circumstances, that Messrs. Hendricks, Robinson and Whaley are independent directors, as “independence” is defined by the listing standards of NASDAQ. This determination was made because Messrs. Hendricks, Robinson and Whaley have no relationship with us that would interfere with their exercise of independent judgment.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an Audit and Compliance Committee, a Compensation Committee, and a Nominating Committee, each consisting entirely of independent directors.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has adopted charters for the Audit and Compliance, Compensation and Nominating Committees describing the authority and responsibilities delegated to each committee by the Board. We post on our website at </w:t>
      </w:r>
      <w:r>
        <w:rPr>
          <w:rFonts w:ascii="Times New Roman" w:cs="Times New Roman" w:eastAsia="Times New Roman" w:hAnsi="Times New Roman"/>
          <w:sz w:val="18"/>
          <w:szCs w:val="18"/>
          <w:i w:val="1"/>
          <w:iCs w:val="1"/>
          <w:color w:val="auto"/>
        </w:rPr>
        <w:t>www.clearone.com</w:t>
      </w:r>
      <w:r>
        <w:rPr>
          <w:rFonts w:ascii="Times New Roman" w:cs="Times New Roman" w:eastAsia="Times New Roman" w:hAnsi="Times New Roman"/>
          <w:sz w:val="18"/>
          <w:szCs w:val="18"/>
          <w:color w:val="auto"/>
        </w:rPr>
        <w:t xml:space="preserve"> the charters of our Audit and Compliance, Compensation and Nominating Committees, our Code of Ethics, and any amendments or waivers thereto and any other corporate governance materials contemplated by SEC or NASDAQ regulations. These documents are also available in print to any shareholder requesting a copy in writing from our Corporate Secretary at our corporate offices located at the address set forth in this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believes that there is no one best leadership structure model that is most effective in all circumstances. The Board adheres to a flexible approach to the question of whether to separate the positions of Chairman and Chief Executive Officer (“CEO”) and the necessity of a lead independent director, and will consider a variety of factors in making a decision, including, but not limited to, the current performance of the Company and the experience, knowledge and temperament of the Chief Executive Officer. The Board remains flexible and committed to a strong corporate governance structure and board independence. The Board is committed to adopting corporate management and governance policies and strategies that promote our effective and ethical management. In this regard, the Board strongly believes that it should have maximum flexibility in deciding whether the offices of Chairman and Chief Executive Officer are combined or separate and, if separate, whether the Chairman should be an independent director or an employee.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roles of Chairman and Chief Executive Officer were separated in February 2022 when Mr. Robinson was named Chairman of the Board in light of Mr. Robinson’s leadership, experience, and knowledge of the Company and its stockholders. The Board determined and continues to believe that it was in our best interests and our stockholders’ best interests to separate the roles of Chairman and Chief Executive Officer.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separation of Chief Executive Officer and Chairman together with a Board whose majority of directors are independent, provides the appropriate balance between independent oversight of management and the development of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Role in Risk Oversight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4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Audit and Compliance Committee. </w:t>
      </w:r>
      <w:r>
        <w:rPr>
          <w:rFonts w:ascii="Times New Roman" w:cs="Times New Roman" w:eastAsia="Times New Roman" w:hAnsi="Times New Roman"/>
          <w:sz w:val="18"/>
          <w:szCs w:val="18"/>
          <w:color w:val="auto"/>
        </w:rPr>
        <w:t>The Audit and Compliance Committee meets to review and discuss our accounting practices and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management and 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members of the Audit and Compliance Committee are Eric L. Robinson (Chairman), Larry R. Hendricks and Bruce Whaley. Each member of the audit committee, in addition to being independent under the standards of NASDAQ, is independent under the standards of the Securities and Exchange Commission’s rules and regulations pertaining to listed company audit committees. The Board of Directors has determined that Eric L. Robinson is an "audit committee financial expert" in accordance with applicable rules and regulations of the SEC.</w:t>
      </w:r>
    </w:p>
    <w:p>
      <w:pPr>
        <w:spacing w:after="0" w:line="9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Compensation Committee. </w:t>
      </w:r>
      <w:r>
        <w:rPr>
          <w:rFonts w:ascii="Times New Roman" w:cs="Times New Roman" w:eastAsia="Times New Roman" w:hAnsi="Times New Roman"/>
          <w:sz w:val="18"/>
          <w:szCs w:val="18"/>
          <w:color w:val="auto"/>
        </w:rPr>
        <w:t>The Compensation Committee is responsible for overseeing, reviewing, and approving our executive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benefit programs 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Bruce Whaley (Chairman), Larry R. Hendricks and Eric L. Robinson.</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compensation objectives for executive officers are as follows:</w:t>
      </w:r>
    </w:p>
    <w:p>
      <w:pPr>
        <w:spacing w:after="0" w:line="131" w:lineRule="exact"/>
        <w:rPr>
          <w:sz w:val="20"/>
          <w:szCs w:val="20"/>
          <w:color w:val="auto"/>
        </w:rPr>
      </w:pPr>
    </w:p>
    <w:p>
      <w:pPr>
        <w:ind w:left="920" w:hanging="264"/>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highly qualified individuals capable of making significant contributions to the long-term success of our company;</w:t>
      </w:r>
    </w:p>
    <w:p>
      <w:pPr>
        <w:spacing w:after="0" w:line="10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incentive compensation to reinforce strategic performance objectives;</w:t>
      </w:r>
    </w:p>
    <w:p>
      <w:pPr>
        <w:spacing w:after="0" w:line="103" w:lineRule="exact"/>
        <w:rPr>
          <w:rFonts w:ascii="Times New Roman" w:cs="Times New Roman" w:eastAsia="Times New Roman" w:hAnsi="Times New Roman"/>
          <w:sz w:val="18"/>
          <w:szCs w:val="18"/>
          <w:color w:val="auto"/>
        </w:rPr>
      </w:pPr>
    </w:p>
    <w:p>
      <w:pPr>
        <w:ind w:left="920" w:hanging="264"/>
        <w:spacing w:after="0" w:line="282" w:lineRule="auto"/>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the interest of our executives with the interests of our shareholders such that the risks and rewards of strategic decisions are shared; and</w:t>
      </w:r>
    </w:p>
    <w:p>
      <w:pPr>
        <w:spacing w:after="0" w:line="2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value of each officer’s position in the marketplace and within our company.</w:t>
      </w:r>
    </w:p>
    <w:p>
      <w:pPr>
        <w:spacing w:after="0" w:line="14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Policies and Practices Related to ClearOne’s Compensation Program</w:t>
      </w:r>
      <w:r>
        <w:rPr>
          <w:rFonts w:ascii="Times New Roman" w:cs="Times New Roman" w:eastAsia="Times New Roman" w:hAnsi="Times New Roman"/>
          <w:sz w:val="18"/>
          <w:szCs w:val="18"/>
          <w:color w:val="auto"/>
        </w:rPr>
        <w:t>. We strive to create an overall compensation package for each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Comparable Companies</w:t>
      </w:r>
      <w:r>
        <w:rPr>
          <w:rFonts w:ascii="Times New Roman" w:cs="Times New Roman" w:eastAsia="Times New Roman" w:hAnsi="Times New Roman"/>
          <w:sz w:val="18"/>
          <w:szCs w:val="18"/>
          <w:color w:val="auto"/>
        </w:rPr>
        <w:t>. In making compensation decisions, including assessing the competitiveness of the total compensation structure for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 the Compensation Committee considers compensation survey data from companies that the Compensation Committee has selected as comparable in terms of industry, size and location. The Compensation Committee periodically reviews the companies that are included as comparable companies and makes revisions to the group as appropriate. The Compensation Committee also reviews executive compensation information for several Utah based publicly-traded companies having revenues similar to those of the Company.</w:t>
      </w:r>
    </w:p>
    <w:p>
      <w:pPr>
        <w:spacing w:after="0" w:line="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Equity Grant Practices</w:t>
      </w:r>
      <w:r>
        <w:rPr>
          <w:rFonts w:ascii="Times New Roman" w:cs="Times New Roman" w:eastAsia="Times New Roman" w:hAnsi="Times New Roman"/>
          <w:sz w:val="18"/>
          <w:szCs w:val="18"/>
          <w:color w:val="auto"/>
        </w:rPr>
        <w:t>. The Compensation Committee recognizes the importance of equity ownership in the alignment of shareholder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interests. The exercise 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0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establishes the criteria, and directs the implementation, of all compensation program elements for the executive officers. The Compensation Committee considers the Chief Executive Officer’s appraisal of other executive officers’ general performance and looks especially to performance against predetermined goals before making its recommendation to the Board of Directors. The Chief Executive Officer recommends for the Compensation Committee’s approval the stock option grants and compensation related to achievement of non-quantitative goals under non-equity-based incentive plans for other executive officers. The Compensation Committee did not employ any compensation consultants during the year ended December 31, 2021.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both"/>
        <w:ind w:lef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Nominating Committee. </w:t>
      </w:r>
      <w:r>
        <w:rPr>
          <w:rFonts w:ascii="Times New Roman" w:cs="Times New Roman" w:eastAsia="Times New Roman" w:hAnsi="Times New Roman"/>
          <w:sz w:val="18"/>
          <w:szCs w:val="18"/>
          <w:color w:val="auto"/>
        </w:rPr>
        <w:t>The Nominating Committee is responsible for overseeing the nomination of our directors. The Nominating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selects, evaluates, and recommends to the full Board of Directors qualified candidates for election to the Board of Directors. The members of the Nominating Committee are Larry R. Hendricks (Chairman), Eric L. Robinson, and Bruce Whaley.</w:t>
      </w:r>
    </w:p>
    <w:p>
      <w:pPr>
        <w:spacing w:after="0" w:line="1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All of the current nominees for director were recommended by the Nominating Committee and nominated by the Board of Directors. All director nominees have consented to serve as directors, if elected, until the next Annual Meeting of Shareholders or until their successors are elected and qualified and have consented to be named as nominees.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162"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held a total of 22 meetings in 2021.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current Board of Directors attended the 2021 Annual Meeting of Shareholders.</w:t>
      </w:r>
    </w:p>
    <w:p>
      <w:pPr>
        <w:spacing w:after="0" w:line="120" w:lineRule="exact"/>
        <w:rPr>
          <w:sz w:val="20"/>
          <w:szCs w:val="20"/>
          <w:color w:val="auto"/>
        </w:rPr>
      </w:pPr>
    </w:p>
    <w:p>
      <w:pPr>
        <w:jc w:val="both"/>
        <w:ind w:left="20" w:right="20" w:firstLine="648"/>
        <w:spacing w:after="0" w:line="282" w:lineRule="auto"/>
        <w:rPr>
          <w:sz w:val="20"/>
          <w:szCs w:val="20"/>
          <w:color w:val="auto"/>
        </w:rPr>
      </w:pPr>
      <w:r>
        <w:rPr>
          <w:rFonts w:ascii="Times New Roman" w:cs="Times New Roman" w:eastAsia="Times New Roman" w:hAnsi="Times New Roman"/>
          <w:sz w:val="18"/>
          <w:szCs w:val="18"/>
          <w:color w:val="auto"/>
        </w:rPr>
        <w:t>In 2021, the Audit and Compliance Committee held five meetings, the Compensation Committee held two meetings, and the Nominating Committee held one meeting.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adopted a code of ethics that applies to our Board of Directors, executive officers, and employees. The Company's Code of Ethics is posted on our website at </w:t>
      </w:r>
      <w:r>
        <w:rPr>
          <w:rFonts w:ascii="Times New Roman" w:cs="Times New Roman" w:eastAsia="Times New Roman" w:hAnsi="Times New Roman"/>
          <w:sz w:val="18"/>
          <w:szCs w:val="18"/>
          <w:u w:val="single" w:color="auto"/>
          <w:color w:val="auto"/>
        </w:rPr>
        <w:t>www.clearone.com</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jc w:val="both"/>
        <w:ind w:left="20" w:firstLine="643"/>
        <w:spacing w:after="0" w:line="258" w:lineRule="auto"/>
        <w:rPr>
          <w:sz w:val="20"/>
          <w:szCs w:val="20"/>
          <w:color w:val="auto"/>
        </w:rPr>
      </w:pPr>
      <w:r>
        <w:rPr>
          <w:rFonts w:ascii="Times New Roman" w:cs="Times New Roman" w:eastAsia="Times New Roman" w:hAnsi="Times New Roman"/>
          <w:sz w:val="18"/>
          <w:szCs w:val="18"/>
          <w:color w:val="auto"/>
        </w:rPr>
        <w:t>We believe that we and our Board benefit from diversity with respect to professional background, education, race, ethnicity, gender,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Nominating and Corporate Governance Committee considers a broad range of perspectives, backgrounds and experiences when considering whether to recommend the nomination of any particular director candidate.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4740" w:type="dxa"/>
            <w:vAlign w:val="bottom"/>
            <w:gridSpan w:val="3"/>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Board Diversity Matrix (as of October 5, 2022)</w:t>
            </w:r>
          </w:p>
        </w:tc>
        <w:tc>
          <w:tcPr>
            <w:tcW w:w="2800" w:type="dxa"/>
            <w:vAlign w:val="bottom"/>
          </w:tcPr>
          <w:p>
            <w:pPr>
              <w:spacing w:after="0"/>
              <w:rPr>
                <w:sz w:val="18"/>
                <w:szCs w:val="18"/>
                <w:color w:val="auto"/>
              </w:rPr>
            </w:pPr>
          </w:p>
        </w:tc>
      </w:tr>
      <w:tr>
        <w:trPr>
          <w:trHeight w:val="238"/>
        </w:trPr>
        <w:tc>
          <w:tcPr>
            <w:tcW w:w="3700" w:type="dxa"/>
            <w:vAlign w:val="bottom"/>
            <w:tcBorders>
              <w:bottom w:val="single" w:sz="8" w:color="16479F"/>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2180" w:type="dxa"/>
            <w:vAlign w:val="bottom"/>
            <w:tcBorders>
              <w:bottom w:val="single" w:sz="8" w:color="16479F"/>
            </w:tcBorders>
          </w:tcPr>
          <w:p>
            <w:pPr>
              <w:spacing w:after="0"/>
              <w:rPr>
                <w:sz w:val="20"/>
                <w:szCs w:val="20"/>
                <w:color w:val="auto"/>
              </w:rPr>
            </w:pPr>
          </w:p>
        </w:tc>
        <w:tc>
          <w:tcPr>
            <w:tcW w:w="1100" w:type="dxa"/>
            <w:vAlign w:val="bottom"/>
            <w:tcBorders>
              <w:bottom w:val="single" w:sz="8" w:color="16479F"/>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4</w:t>
            </w:r>
          </w:p>
        </w:tc>
        <w:tc>
          <w:tcPr>
            <w:tcW w:w="1460" w:type="dxa"/>
            <w:vAlign w:val="bottom"/>
            <w:tcBorders>
              <w:bottom w:val="single" w:sz="8" w:color="16479F"/>
            </w:tcBorders>
          </w:tcPr>
          <w:p>
            <w:pPr>
              <w:spacing w:after="0"/>
              <w:rPr>
                <w:sz w:val="20"/>
                <w:szCs w:val="20"/>
                <w:color w:val="auto"/>
              </w:rPr>
            </w:pPr>
          </w:p>
        </w:tc>
        <w:tc>
          <w:tcPr>
            <w:tcW w:w="2800" w:type="dxa"/>
            <w:vAlign w:val="bottom"/>
            <w:tcBorders>
              <w:bottom w:val="single" w:sz="8" w:color="16479F"/>
            </w:tcBorders>
          </w:tcPr>
          <w:p>
            <w:pPr>
              <w:spacing w:after="0"/>
              <w:rPr>
                <w:sz w:val="20"/>
                <w:szCs w:val="20"/>
                <w:color w:val="auto"/>
              </w:rPr>
            </w:pPr>
          </w:p>
        </w:tc>
      </w:tr>
      <w:tr>
        <w:trPr>
          <w:trHeight w:val="209"/>
        </w:trPr>
        <w:tc>
          <w:tcPr>
            <w:tcW w:w="3700" w:type="dxa"/>
            <w:vAlign w:val="bottom"/>
            <w:tcBorders>
              <w:bottom w:val="single" w:sz="8" w:color="16479F"/>
            </w:tcBorders>
          </w:tcPr>
          <w:p>
            <w:pPr>
              <w:spacing w:after="0"/>
              <w:rPr>
                <w:sz w:val="18"/>
                <w:szCs w:val="18"/>
                <w:color w:val="auto"/>
              </w:rPr>
            </w:pPr>
          </w:p>
        </w:tc>
        <w:tc>
          <w:tcPr>
            <w:tcW w:w="2180" w:type="dxa"/>
            <w:vAlign w:val="bottom"/>
            <w:tcBorders>
              <w:bottom w:val="single" w:sz="8" w:color="16479F"/>
            </w:tcBorders>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100" w:type="dxa"/>
            <w:vAlign w:val="bottom"/>
            <w:tcBorders>
              <w:bottom w:val="single" w:sz="8" w:color="16479F"/>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460" w:type="dxa"/>
            <w:vAlign w:val="bottom"/>
            <w:tcBorders>
              <w:bottom w:val="single" w:sz="8" w:color="16479F"/>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2800" w:type="dxa"/>
            <w:vAlign w:val="bottom"/>
            <w:tcBorders>
              <w:bottom w:val="single" w:sz="8" w:color="16479F"/>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Did Not Disclose Gender</w:t>
            </w:r>
          </w:p>
        </w:tc>
      </w:tr>
      <w:tr>
        <w:trPr>
          <w:trHeight w:val="187"/>
        </w:trPr>
        <w:tc>
          <w:tcPr>
            <w:tcW w:w="370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Gender:</w:t>
            </w:r>
          </w:p>
        </w:tc>
        <w:tc>
          <w:tcPr>
            <w:tcW w:w="2180" w:type="dxa"/>
            <w:vAlign w:val="bottom"/>
          </w:tcPr>
          <w:p>
            <w:pPr>
              <w:jc w:val="center"/>
              <w:ind w:left="1330"/>
              <w:spacing w:after="0" w:line="188" w:lineRule="exact"/>
              <w:rPr>
                <w:sz w:val="20"/>
                <w:szCs w:val="20"/>
                <w:color w:val="auto"/>
              </w:rPr>
            </w:pPr>
            <w:r>
              <w:rPr>
                <w:rFonts w:ascii="Times New Roman" w:cs="Times New Roman" w:eastAsia="Times New Roman" w:hAnsi="Times New Roman"/>
                <w:sz w:val="18"/>
                <w:szCs w:val="18"/>
                <w:color w:val="auto"/>
                <w:w w:val="88"/>
              </w:rPr>
              <w:t>1</w:t>
            </w:r>
          </w:p>
        </w:tc>
        <w:tc>
          <w:tcPr>
            <w:tcW w:w="1100" w:type="dxa"/>
            <w:vAlign w:val="bottom"/>
          </w:tcPr>
          <w:p>
            <w:pPr>
              <w:jc w:val="center"/>
              <w:ind w:left="170"/>
              <w:spacing w:after="0" w:line="188" w:lineRule="exact"/>
              <w:rPr>
                <w:sz w:val="20"/>
                <w:szCs w:val="20"/>
                <w:color w:val="auto"/>
              </w:rPr>
            </w:pPr>
            <w:r>
              <w:rPr>
                <w:rFonts w:ascii="Times New Roman" w:cs="Times New Roman" w:eastAsia="Times New Roman" w:hAnsi="Times New Roman"/>
                <w:sz w:val="18"/>
                <w:szCs w:val="18"/>
                <w:color w:val="auto"/>
                <w:w w:val="88"/>
              </w:rPr>
              <w:t>3</w:t>
            </w:r>
          </w:p>
        </w:tc>
        <w:tc>
          <w:tcPr>
            <w:tcW w:w="14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color w:val="auto"/>
                <w:w w:val="88"/>
              </w:rPr>
              <w:t>0</w:t>
            </w:r>
          </w:p>
        </w:tc>
        <w:tc>
          <w:tcPr>
            <w:tcW w:w="280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color w:val="auto"/>
                <w:w w:val="88"/>
              </w:rPr>
              <w:t>0</w:t>
            </w:r>
          </w:p>
        </w:tc>
      </w:tr>
      <w:tr>
        <w:trPr>
          <w:trHeight w:val="220"/>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Demographic Background:</w:t>
            </w:r>
          </w:p>
        </w:tc>
        <w:tc>
          <w:tcPr>
            <w:tcW w:w="2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1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88"/>
              </w:rPr>
              <w:t>0</w:t>
            </w: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0</w:t>
            </w: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0</w:t>
            </w:r>
          </w:p>
        </w:tc>
        <w:tc>
          <w:tcPr>
            <w:tcW w:w="2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1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88"/>
              </w:rPr>
              <w:t>0</w:t>
            </w: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0</w:t>
            </w: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0</w:t>
            </w:r>
          </w:p>
        </w:tc>
        <w:tc>
          <w:tcPr>
            <w:tcW w:w="2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Asian</w:t>
            </w:r>
          </w:p>
        </w:tc>
        <w:tc>
          <w:tcPr>
            <w:tcW w:w="21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88"/>
              </w:rPr>
              <w:t>0</w:t>
            </w: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0</w:t>
            </w: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0</w:t>
            </w:r>
          </w:p>
        </w:tc>
        <w:tc>
          <w:tcPr>
            <w:tcW w:w="2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Hispanic or Latinx</w:t>
            </w:r>
          </w:p>
        </w:tc>
        <w:tc>
          <w:tcPr>
            <w:tcW w:w="21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88"/>
              </w:rPr>
              <w:t>0</w:t>
            </w: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0</w:t>
            </w: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0</w:t>
            </w:r>
          </w:p>
        </w:tc>
        <w:tc>
          <w:tcPr>
            <w:tcW w:w="2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1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88"/>
              </w:rPr>
              <w:t>0</w:t>
            </w: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0</w:t>
            </w: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0</w:t>
            </w:r>
          </w:p>
        </w:tc>
        <w:tc>
          <w:tcPr>
            <w:tcW w:w="2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White</w:t>
            </w:r>
          </w:p>
        </w:tc>
        <w:tc>
          <w:tcPr>
            <w:tcW w:w="21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88"/>
              </w:rPr>
              <w:t>1</w:t>
            </w: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3</w:t>
            </w: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0</w:t>
            </w:r>
          </w:p>
        </w:tc>
        <w:tc>
          <w:tcPr>
            <w:tcW w:w="2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1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88"/>
              </w:rPr>
              <w:t>0</w:t>
            </w: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0</w:t>
            </w: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0</w:t>
            </w:r>
          </w:p>
        </w:tc>
        <w:tc>
          <w:tcPr>
            <w:tcW w:w="2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LGBTQ+</w:t>
            </w:r>
          </w:p>
        </w:tc>
        <w:tc>
          <w:tcPr>
            <w:tcW w:w="21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88"/>
              </w:rPr>
              <w:t>0</w:t>
            </w: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0</w:t>
            </w: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0</w:t>
            </w:r>
          </w:p>
        </w:tc>
        <w:tc>
          <w:tcPr>
            <w:tcW w:w="2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1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88"/>
              </w:rPr>
              <w:t>0</w:t>
            </w: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0</w:t>
            </w: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0</w:t>
            </w:r>
          </w:p>
        </w:tc>
        <w:tc>
          <w:tcPr>
            <w:tcW w:w="2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0</w:t>
            </w:r>
          </w:p>
        </w:tc>
      </w:tr>
      <w:tr>
        <w:trPr>
          <w:trHeight w:val="459"/>
        </w:trPr>
        <w:tc>
          <w:tcPr>
            <w:tcW w:w="3700" w:type="dxa"/>
            <w:vAlign w:val="bottom"/>
          </w:tcPr>
          <w:p>
            <w:pPr>
              <w:spacing w:after="0"/>
              <w:rPr>
                <w:sz w:val="24"/>
                <w:szCs w:val="24"/>
                <w:color w:val="auto"/>
              </w:rPr>
            </w:pPr>
          </w:p>
        </w:tc>
        <w:tc>
          <w:tcPr>
            <w:tcW w:w="2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15"/>
        </w:trPr>
        <w:tc>
          <w:tcPr>
            <w:tcW w:w="370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left="20" w:firstLine="643"/>
        <w:spacing w:after="0" w:line="256" w:lineRule="auto"/>
        <w:rPr>
          <w:sz w:val="20"/>
          <w:szCs w:val="20"/>
          <w:color w:val="auto"/>
        </w:rPr>
      </w:pPr>
      <w:r>
        <w:rPr>
          <w:rFonts w:ascii="Times New Roman" w:cs="Times New Roman" w:eastAsia="Times New Roman" w:hAnsi="Times New Roman"/>
          <w:sz w:val="18"/>
          <w:szCs w:val="18"/>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furnished to us for the year ended December 31, 2021, we believe that each person who, at any time during such fiscal year was a director, officer, or beneficial owner of more than 10% of our common stock complied with all Section 16(a) filing requirements during such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4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Officer Since</w:t>
            </w:r>
          </w:p>
        </w:tc>
      </w:tr>
      <w:tr>
        <w:trPr>
          <w:trHeight w:val="209"/>
        </w:trPr>
        <w:tc>
          <w:tcPr>
            <w:tcW w:w="1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Derek L. Graham</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40" w:type="dxa"/>
            <w:vAlign w:val="bottom"/>
            <w:tcBorders>
              <w:top w:val="single" w:sz="8" w:color="CCEEFF"/>
            </w:tcBorders>
            <w:shd w:val="clear" w:color="auto" w:fill="CCEEFF"/>
          </w:tcPr>
          <w:p>
            <w:pPr>
              <w:spacing w:after="0"/>
              <w:rPr>
                <w:sz w:val="18"/>
                <w:szCs w:val="18"/>
                <w:color w:val="auto"/>
              </w:rPr>
            </w:pPr>
          </w:p>
        </w:tc>
        <w:tc>
          <w:tcPr>
            <w:tcW w:w="6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6"/>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Narsi Narayanan</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64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r>
    </w:tbl>
    <w:p>
      <w:pPr>
        <w:spacing w:after="0" w:line="194"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Derek Graham </w:t>
      </w:r>
      <w:r>
        <w:rPr>
          <w:rFonts w:ascii="Times New Roman" w:cs="Times New Roman" w:eastAsia="Times New Roman" w:hAnsi="Times New Roman"/>
          <w:sz w:val="18"/>
          <w:szCs w:val="18"/>
          <w:color w:val="auto"/>
        </w:rPr>
        <w:t>is our interim Chief Executive Officer. He was appointed to his current role in May 2022. He joined our company in July 2003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 Engineer for Conferencing Cameras. In 2004, he was promoted to Engineering Operations Manager. In 2006, he was promoted to Director of Research and Development. In 2007, he was promoted to Sr. Director of Research and Development. In 2009, he was promoted to Vice President of Research and Development. In 2011, he was promoted to Sr. Vice President of Research and Development. In those prior roles, Derek was responsible for funding, staffing, and execution of parallel engineering programs that resulted in successful development of professionally installed audio and video conferencing, video streaming, wireless microphone, digital signage, and camera products. Derek is a named inventor on 13 patents. Prior to joining ClearOne, Derek held engineering and management positions at Intel Corporation in the areas of audio conferencing and telephony technologies. Mr. Graham earned a Bachelor of Science in Electrical Engineering, with highest honors, and a Master’s Degree in Electrical Engineering from the Georgia Institute of Technology.</w:t>
      </w:r>
    </w:p>
    <w:p>
      <w:pPr>
        <w:spacing w:after="0" w:line="215"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Narsi Narayanan </w:t>
      </w:r>
      <w:r>
        <w:rPr>
          <w:rFonts w:ascii="Times New Roman" w:cs="Times New Roman" w:eastAsia="Times New Roman" w:hAnsi="Times New Roman"/>
          <w:sz w:val="18"/>
          <w:szCs w:val="18"/>
          <w:color w:val="auto"/>
        </w:rPr>
        <w:t>(now serving as Chief Financial Officer) has served as our Vice President of Finance since July 2009 and has more than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decades of professional experience in the areas of accounting, finance and taxes. Prior to joining our company, he managed the SEC reporting, US GAAP accounting research, Sarbanes-Oxley Act (“SOX”) compliance and other financial reporting functions from August 2007 through February 2009 at Solo Cup Company, which was a publicly-reporting international consumer products company that was acquired by Dart Container in 2012.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senior finance positions in India with a large conglomerate. He is a Certified Public Accountant with graduate degrees in accounting (University of Utah, M. Acc.) and business (University of Illinois, MBA-Finance).</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compensation paid or earned by each named executive officer for the years ended December 31, 2021 and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344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3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0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00" w:type="dxa"/>
            <w:vAlign w:val="bottom"/>
            <w:gridSpan w:val="3"/>
          </w:tcPr>
          <w:p>
            <w:pPr>
              <w:jc w:val="center"/>
              <w:ind w:right="160"/>
              <w:spacing w:after="0" w:line="244" w:lineRule="exact"/>
              <w:rPr>
                <w:sz w:val="20"/>
                <w:szCs w:val="20"/>
                <w:color w:val="auto"/>
              </w:rPr>
            </w:pPr>
            <w:r>
              <w:rPr>
                <w:rFonts w:ascii="Times New Roman" w:cs="Times New Roman" w:eastAsia="Times New Roman" w:hAnsi="Times New Roman"/>
                <w:sz w:val="18"/>
                <w:szCs w:val="18"/>
                <w:b w:val="1"/>
                <w:bCs w:val="1"/>
                <w:color w:val="auto"/>
                <w:w w:val="91"/>
              </w:rPr>
              <w:t>Awards</w:t>
            </w:r>
            <w:r>
              <w:rPr>
                <w:rFonts w:ascii="Times New Roman" w:cs="Times New Roman" w:eastAsia="Times New Roman" w:hAnsi="Times New Roman"/>
                <w:sz w:val="24"/>
                <w:szCs w:val="24"/>
                <w:b w:val="1"/>
                <w:bCs w:val="1"/>
                <w:color w:val="auto"/>
                <w:w w:val="91"/>
                <w:vertAlign w:val="superscript"/>
              </w:rPr>
              <w:t>(1)</w:t>
            </w:r>
          </w:p>
        </w:tc>
        <w:tc>
          <w:tcPr>
            <w:tcW w:w="100" w:type="dxa"/>
            <w:vAlign w:val="bottom"/>
          </w:tcPr>
          <w:p>
            <w:pPr>
              <w:spacing w:after="0"/>
              <w:rPr>
                <w:sz w:val="21"/>
                <w:szCs w:val="21"/>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21"/>
                <w:szCs w:val="21"/>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Zeynep Hakimoglu - </w:t>
            </w:r>
            <w:r>
              <w:rPr>
                <w:rFonts w:ascii="Times New Roman" w:cs="Times New Roman" w:eastAsia="Times New Roman" w:hAnsi="Times New Roman"/>
                <w:sz w:val="18"/>
                <w:szCs w:val="18"/>
                <w:color w:val="auto"/>
              </w:rPr>
              <w:t>Chief Executive Officer and President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388,750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418,750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423,500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Narsi Narayanan - </w:t>
            </w:r>
            <w:r>
              <w:rPr>
                <w:rFonts w:ascii="Times New Roman" w:cs="Times New Roman" w:eastAsia="Times New Roman" w:hAnsi="Times New Roman"/>
                <w:sz w:val="18"/>
                <w:szCs w:val="18"/>
                <w:color w:val="auto"/>
              </w:rPr>
              <w:t>Senior Vice President of Finance</w:t>
            </w: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251,625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196,500</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41,100</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237,600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400" w:right="20" w:hanging="325"/>
        <w:spacing w:after="0" w:line="261" w:lineRule="auto"/>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“Option Awards” column reflect the aggregate grant date fair value of awards of stock options granted pursuant to our long-term incentive plans during the periods reported above, computed in accordance with FASB ASC Topic 718, Compensation - Stock Compensation. The assumptions made in the valuation of our option awards and the material terms of option awards are disclosed in Note 10- Share-Based Compensation in our Notes to Consolidated Financial Statements included in Part IV of 2021 Form 10-K.</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on the holdings of stock options by the named executive officers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3520" w:type="dxa"/>
            <w:vAlign w:val="bottom"/>
            <w:gridSpan w:val="3"/>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Number of Securities Underlying</w:t>
            </w:r>
          </w:p>
        </w:tc>
        <w:tc>
          <w:tcPr>
            <w:tcW w:w="240" w:type="dxa"/>
            <w:vAlign w:val="bottom"/>
          </w:tcPr>
          <w:p>
            <w:pPr>
              <w:spacing w:after="0"/>
              <w:rPr>
                <w:sz w:val="16"/>
                <w:szCs w:val="16"/>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Option Exercise Price</w:t>
            </w: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Option Grant Date</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Option Expiration</w:t>
            </w: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tcBorders>
              <w:bottom w:val="single" w:sz="8" w:color="auto"/>
            </w:tcBorders>
            <w:gridSpan w:val="3"/>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Unexercised Options</w:t>
            </w:r>
          </w:p>
        </w:tc>
        <w:tc>
          <w:tcPr>
            <w:tcW w:w="1860" w:type="dxa"/>
            <w:vAlign w:val="bottom"/>
            <w:gridSpan w:val="2"/>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217"/>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7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Zeynep Hakimoglu</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24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05-11-2012</w:t>
            </w:r>
          </w:p>
        </w:tc>
        <w:tc>
          <w:tcPr>
            <w:tcW w:w="24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05-11-2022</w:t>
            </w:r>
          </w:p>
        </w:tc>
        <w:tc>
          <w:tcPr>
            <w:tcW w:w="160" w:type="dxa"/>
            <w:vAlign w:val="bottom"/>
            <w:tcBorders>
              <w:top w:val="single" w:sz="8" w:color="CCEEFF"/>
            </w:tcBorders>
            <w:shd w:val="clear" w:color="auto" w:fill="CCEEFF"/>
          </w:tcPr>
          <w:p>
            <w:pPr>
              <w:spacing w:after="0"/>
              <w:rPr>
                <w:sz w:val="21"/>
                <w:szCs w:val="21"/>
                <w:color w:val="auto"/>
              </w:rPr>
            </w:pPr>
          </w:p>
        </w:tc>
      </w:tr>
      <w:tr>
        <w:trPr>
          <w:trHeight w:val="239"/>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08-22-2013</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08-22-2023</w:t>
            </w:r>
          </w:p>
        </w:tc>
        <w:tc>
          <w:tcPr>
            <w:tcW w:w="160" w:type="dxa"/>
            <w:vAlign w:val="bottom"/>
          </w:tcPr>
          <w:p>
            <w:pPr>
              <w:spacing w:after="0"/>
              <w:rPr>
                <w:sz w:val="20"/>
                <w:szCs w:val="20"/>
                <w:color w:val="auto"/>
              </w:rPr>
            </w:pPr>
          </w:p>
        </w:tc>
      </w:tr>
      <w:tr>
        <w:trPr>
          <w:trHeight w:val="247"/>
        </w:trPr>
        <w:tc>
          <w:tcPr>
            <w:tcW w:w="2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09-12-2014</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09-12-2024</w:t>
            </w:r>
          </w:p>
        </w:tc>
        <w:tc>
          <w:tcPr>
            <w:tcW w:w="160" w:type="dxa"/>
            <w:vAlign w:val="bottom"/>
            <w:shd w:val="clear" w:color="auto" w:fill="CCEEFF"/>
          </w:tcPr>
          <w:p>
            <w:pPr>
              <w:spacing w:after="0"/>
              <w:rPr>
                <w:sz w:val="21"/>
                <w:szCs w:val="21"/>
                <w:color w:val="auto"/>
              </w:rPr>
            </w:pPr>
          </w:p>
        </w:tc>
      </w:tr>
      <w:tr>
        <w:trPr>
          <w:trHeight w:val="239"/>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11.960</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03-11-2016</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03-11-2026</w:t>
            </w:r>
          </w:p>
        </w:tc>
        <w:tc>
          <w:tcPr>
            <w:tcW w:w="160" w:type="dxa"/>
            <w:vAlign w:val="bottom"/>
          </w:tcPr>
          <w:p>
            <w:pPr>
              <w:spacing w:after="0"/>
              <w:rPr>
                <w:sz w:val="20"/>
                <w:szCs w:val="20"/>
                <w:color w:val="auto"/>
              </w:rPr>
            </w:pPr>
          </w:p>
        </w:tc>
      </w:tr>
      <w:tr>
        <w:trPr>
          <w:trHeight w:val="247"/>
        </w:trPr>
        <w:tc>
          <w:tcPr>
            <w:tcW w:w="2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12-14-2016</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12-14-2026</w:t>
            </w:r>
          </w:p>
        </w:tc>
        <w:tc>
          <w:tcPr>
            <w:tcW w:w="160" w:type="dxa"/>
            <w:vAlign w:val="bottom"/>
            <w:shd w:val="clear" w:color="auto" w:fill="CCEEFF"/>
          </w:tcPr>
          <w:p>
            <w:pPr>
              <w:spacing w:after="0"/>
              <w:rPr>
                <w:sz w:val="21"/>
                <w:szCs w:val="21"/>
                <w:color w:val="auto"/>
              </w:rPr>
            </w:pPr>
          </w:p>
        </w:tc>
      </w:tr>
      <w:tr>
        <w:trPr>
          <w:trHeight w:val="239"/>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06-1-2017</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06-01-2027</w:t>
            </w:r>
          </w:p>
        </w:tc>
        <w:tc>
          <w:tcPr>
            <w:tcW w:w="160" w:type="dxa"/>
            <w:vAlign w:val="bottom"/>
          </w:tcPr>
          <w:p>
            <w:pPr>
              <w:spacing w:after="0"/>
              <w:rPr>
                <w:sz w:val="20"/>
                <w:szCs w:val="20"/>
                <w:color w:val="auto"/>
              </w:rPr>
            </w:pPr>
          </w:p>
        </w:tc>
      </w:tr>
      <w:tr>
        <w:trPr>
          <w:trHeight w:val="243"/>
        </w:trPr>
        <w:tc>
          <w:tcPr>
            <w:tcW w:w="20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2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1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12-14-2020</w:t>
            </w: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12-14-2026</w:t>
            </w:r>
          </w:p>
        </w:tc>
        <w:tc>
          <w:tcPr>
            <w:tcW w:w="160" w:type="dxa"/>
            <w:vAlign w:val="bottom"/>
            <w:tcBorders>
              <w:bottom w:val="single" w:sz="8" w:color="auto"/>
            </w:tcBorders>
            <w:shd w:val="clear" w:color="auto" w:fill="CCEEFF"/>
          </w:tcPr>
          <w:p>
            <w:pPr>
              <w:spacing w:after="0"/>
              <w:rPr>
                <w:sz w:val="21"/>
                <w:szCs w:val="21"/>
                <w:color w:val="auto"/>
              </w:rPr>
            </w:pPr>
          </w:p>
        </w:tc>
      </w:tr>
      <w:tr>
        <w:trPr>
          <w:trHeight w:val="237"/>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Narsi Narayanan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05-11-2012</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05-11-2022</w:t>
            </w:r>
          </w:p>
        </w:tc>
        <w:tc>
          <w:tcPr>
            <w:tcW w:w="160" w:type="dxa"/>
            <w:vAlign w:val="bottom"/>
          </w:tcPr>
          <w:p>
            <w:pPr>
              <w:spacing w:after="0"/>
              <w:rPr>
                <w:sz w:val="20"/>
                <w:szCs w:val="20"/>
                <w:color w:val="auto"/>
              </w:rPr>
            </w:pPr>
          </w:p>
        </w:tc>
      </w:tr>
      <w:tr>
        <w:trPr>
          <w:trHeight w:val="247"/>
        </w:trPr>
        <w:tc>
          <w:tcPr>
            <w:tcW w:w="2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08-22-2013</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08-22-2023</w:t>
            </w:r>
          </w:p>
        </w:tc>
        <w:tc>
          <w:tcPr>
            <w:tcW w:w="160" w:type="dxa"/>
            <w:vAlign w:val="bottom"/>
            <w:shd w:val="clear" w:color="auto" w:fill="CCEEFF"/>
          </w:tcPr>
          <w:p>
            <w:pPr>
              <w:spacing w:after="0"/>
              <w:rPr>
                <w:sz w:val="21"/>
                <w:szCs w:val="21"/>
                <w:color w:val="auto"/>
              </w:rPr>
            </w:pPr>
          </w:p>
        </w:tc>
      </w:tr>
      <w:tr>
        <w:trPr>
          <w:trHeight w:val="239"/>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09-12-2014</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09-12-2024</w:t>
            </w:r>
          </w:p>
        </w:tc>
        <w:tc>
          <w:tcPr>
            <w:tcW w:w="160" w:type="dxa"/>
            <w:vAlign w:val="bottom"/>
          </w:tcPr>
          <w:p>
            <w:pPr>
              <w:spacing w:after="0"/>
              <w:rPr>
                <w:sz w:val="20"/>
                <w:szCs w:val="20"/>
                <w:color w:val="auto"/>
              </w:rPr>
            </w:pPr>
          </w:p>
        </w:tc>
      </w:tr>
      <w:tr>
        <w:trPr>
          <w:trHeight w:val="247"/>
        </w:trPr>
        <w:tc>
          <w:tcPr>
            <w:tcW w:w="2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11.960</w:t>
            </w: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03-11-2016</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03-11-2026</w:t>
            </w:r>
          </w:p>
        </w:tc>
        <w:tc>
          <w:tcPr>
            <w:tcW w:w="160" w:type="dxa"/>
            <w:vAlign w:val="bottom"/>
            <w:shd w:val="clear" w:color="auto" w:fill="CCEEFF"/>
          </w:tcPr>
          <w:p>
            <w:pPr>
              <w:spacing w:after="0"/>
              <w:rPr>
                <w:sz w:val="21"/>
                <w:szCs w:val="21"/>
                <w:color w:val="auto"/>
              </w:rPr>
            </w:pPr>
          </w:p>
        </w:tc>
      </w:tr>
      <w:tr>
        <w:trPr>
          <w:trHeight w:val="239"/>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12-14-2016</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12-14-2026</w:t>
            </w:r>
          </w:p>
        </w:tc>
        <w:tc>
          <w:tcPr>
            <w:tcW w:w="160" w:type="dxa"/>
            <w:vAlign w:val="bottom"/>
          </w:tcPr>
          <w:p>
            <w:pPr>
              <w:spacing w:after="0"/>
              <w:rPr>
                <w:sz w:val="20"/>
                <w:szCs w:val="20"/>
                <w:color w:val="auto"/>
              </w:rPr>
            </w:pPr>
          </w:p>
        </w:tc>
      </w:tr>
      <w:tr>
        <w:trPr>
          <w:trHeight w:val="247"/>
        </w:trPr>
        <w:tc>
          <w:tcPr>
            <w:tcW w:w="2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06-01-2017</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06-01-2027</w:t>
            </w:r>
          </w:p>
        </w:tc>
        <w:tc>
          <w:tcPr>
            <w:tcW w:w="160" w:type="dxa"/>
            <w:vAlign w:val="bottom"/>
            <w:shd w:val="clear" w:color="auto" w:fill="CCEEFF"/>
          </w:tcPr>
          <w:p>
            <w:pPr>
              <w:spacing w:after="0"/>
              <w:rPr>
                <w:sz w:val="21"/>
                <w:szCs w:val="21"/>
                <w:color w:val="auto"/>
              </w:rPr>
            </w:pPr>
          </w:p>
        </w:tc>
      </w:tr>
      <w:tr>
        <w:trPr>
          <w:trHeight w:val="239"/>
        </w:trPr>
        <w:tc>
          <w:tcPr>
            <w:tcW w:w="2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12-14-2020</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12-14-2026</w:t>
            </w:r>
          </w:p>
        </w:tc>
        <w:tc>
          <w:tcPr>
            <w:tcW w:w="160" w:type="dxa"/>
            <w:vAlign w:val="bottom"/>
            <w:tcBorders>
              <w:bottom w:val="single" w:sz="8" w:color="auto"/>
            </w:tcBorders>
          </w:tcPr>
          <w:p>
            <w:pPr>
              <w:spacing w:after="0"/>
              <w:rPr>
                <w:sz w:val="20"/>
                <w:szCs w:val="20"/>
                <w:color w:val="auto"/>
              </w:rPr>
            </w:pPr>
          </w:p>
        </w:tc>
      </w:tr>
    </w:tbl>
    <w:p>
      <w:pPr>
        <w:spacing w:after="0" w:line="211" w:lineRule="exact"/>
        <w:rPr>
          <w:sz w:val="20"/>
          <w:szCs w:val="20"/>
          <w:color w:val="auto"/>
        </w:rPr>
      </w:pPr>
    </w:p>
    <w:p>
      <w:pPr>
        <w:ind w:left="400" w:right="60" w:hanging="379"/>
        <w:spacing w:after="0" w:line="282" w:lineRule="auto"/>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shares underlying each stock option vest on the first anniversary of the grant date and the remaining shares vest equally over a period of 24 months following the first anniversary of the grant date.</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grants of stock options to named executive officers during 2021.</w:t>
      </w:r>
    </w:p>
    <w:p>
      <w:pPr>
        <w:spacing w:after="0" w:line="2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exercises of stock options by named executive officers during 2021. During 2021, 16,666 shares vested for Zeynep Hakimoglu and 10,000 shares vested for Narsi Narayanan.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Employment Agreements. </w:t>
      </w:r>
      <w:r>
        <w:rPr>
          <w:rFonts w:ascii="Times New Roman" w:cs="Times New Roman" w:eastAsia="Times New Roman" w:hAnsi="Times New Roman"/>
          <w:sz w:val="18"/>
          <w:szCs w:val="18"/>
          <w:color w:val="auto"/>
        </w:rPr>
        <w:t>As of the year ended December 31, 2021, none of our named executive officers was party to an employment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agreement with us, and each named executive officer’s employment was on an “at-will” basis, permitting either us or the executive to terminate his or her employment for any reason or for no reason.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Accelerated Stock Option Vesting Upon a Change in Control</w:t>
      </w:r>
      <w:r>
        <w:rPr>
          <w:rFonts w:ascii="Times New Roman" w:cs="Times New Roman" w:eastAsia="Times New Roman" w:hAnsi="Times New Roman"/>
          <w:sz w:val="18"/>
          <w:szCs w:val="18"/>
          <w:color w:val="auto"/>
        </w:rPr>
        <w:t>. For certain option grants to executive officers and directors, in the event of a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control, all of such optionee’s unvested stock options will vest and become exercisable immediately prior to the event or the closing of the transaction causing the change in control.</w:t>
      </w:r>
    </w:p>
    <w:p>
      <w:pPr>
        <w:spacing w:after="0" w:line="173" w:lineRule="exact"/>
        <w:rPr>
          <w:sz w:val="20"/>
          <w:szCs w:val="20"/>
          <w:color w:val="auto"/>
        </w:rPr>
      </w:pPr>
    </w:p>
    <w:p>
      <w:pPr>
        <w:jc w:val="both"/>
        <w:ind w:firstLine="693"/>
        <w:spacing w:after="0" w:line="284" w:lineRule="auto"/>
        <w:rPr>
          <w:sz w:val="20"/>
          <w:szCs w:val="20"/>
          <w:color w:val="auto"/>
        </w:rPr>
      </w:pPr>
      <w:r>
        <w:rPr>
          <w:rFonts w:ascii="Times New Roman" w:cs="Times New Roman" w:eastAsia="Times New Roman" w:hAnsi="Times New Roman"/>
          <w:sz w:val="18"/>
          <w:szCs w:val="18"/>
          <w:color w:val="auto"/>
        </w:rPr>
        <w:t>Under the option grants, a “</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xml:space="preserve"> means a change in ownership or control of the Company effected through either of the following transactions:</w:t>
      </w:r>
    </w:p>
    <w:p>
      <w:pPr>
        <w:spacing w:after="0" w:line="160" w:lineRule="exact"/>
        <w:rPr>
          <w:sz w:val="20"/>
          <w:szCs w:val="20"/>
          <w:color w:val="auto"/>
        </w:rPr>
      </w:pPr>
    </w:p>
    <w:p>
      <w:pPr>
        <w:jc w:val="both"/>
        <w:ind w:left="660" w:hanging="4"/>
        <w:spacing w:after="0" w:line="261" w:lineRule="auto"/>
        <w:tabs>
          <w:tab w:leader="none" w:pos="8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jc w:val="both"/>
        <w:ind w:left="660" w:hanging="4"/>
        <w:spacing w:after="0" w:line="258" w:lineRule="auto"/>
        <w:tabs>
          <w:tab w:leader="none" w:pos="9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our current stock price of about $0.58, none of our named executive officers would benefit from any potential accelerated vesting of unvested stock options.</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compensation paid by us to non-employee directors for the year ended December 31, 2021. Ms. Hakimoglu did not receive additional compensation for her service as a director.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Fees Earned</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or Paid in</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0" w:type="dxa"/>
            <w:vAlign w:val="bottom"/>
          </w:tcPr>
          <w:p>
            <w:pPr>
              <w:spacing w:after="0"/>
              <w:rPr>
                <w:sz w:val="19"/>
                <w:szCs w:val="19"/>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Cash</w:t>
            </w:r>
          </w:p>
        </w:tc>
        <w:tc>
          <w:tcPr>
            <w:tcW w:w="15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6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32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Larry R. Hendricks</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2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46,800</w:t>
            </w:r>
          </w:p>
        </w:tc>
        <w:tc>
          <w:tcPr>
            <w:tcW w:w="100" w:type="dxa"/>
            <w:vAlign w:val="bottom"/>
            <w:tcBorders>
              <w:top w:val="single" w:sz="8" w:color="CCEEFF"/>
            </w:tcBorders>
            <w:shd w:val="clear" w:color="auto" w:fill="CCEEFF"/>
          </w:tcPr>
          <w:p>
            <w:pPr>
              <w:spacing w:after="0"/>
              <w:rPr>
                <w:sz w:val="21"/>
                <w:szCs w:val="21"/>
                <w:color w:val="auto"/>
              </w:rPr>
            </w:pPr>
          </w:p>
        </w:tc>
      </w:tr>
      <w:tr>
        <w:trPr>
          <w:trHeight w:val="23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Lisa B. Higley</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43,200</w:t>
            </w:r>
          </w:p>
        </w:tc>
        <w:tc>
          <w:tcPr>
            <w:tcW w:w="100" w:type="dxa"/>
            <w:vAlign w:val="bottom"/>
          </w:tcPr>
          <w:p>
            <w:pPr>
              <w:spacing w:after="0"/>
              <w:rPr>
                <w:sz w:val="20"/>
                <w:szCs w:val="20"/>
                <w:color w:val="auto"/>
              </w:rPr>
            </w:pPr>
          </w:p>
        </w:tc>
      </w:tr>
      <w:tr>
        <w:trPr>
          <w:trHeight w:val="247"/>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L. Robinson</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40,800</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shd w:val="clear" w:color="auto" w:fill="CCEEFF"/>
          </w:tcPr>
          <w:p>
            <w:pPr>
              <w:spacing w:after="0"/>
              <w:rPr>
                <w:sz w:val="21"/>
                <w:szCs w:val="21"/>
                <w:color w:val="auto"/>
              </w:rPr>
            </w:pPr>
          </w:p>
        </w:tc>
      </w:tr>
      <w:tr>
        <w:trPr>
          <w:trHeight w:val="23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Bruce Whaley</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46,800</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Historically, the Company's non-employee directors have received an annual grant of stock options to purchase 10,000 shares of the Company's common stock, of which one-third of the shares vest on the first anniversary of the grant date, and the remaining vest in equal monthly increments over the subsequent 24-month period. During 2021, each non-executive director named above received a grant of stock options to purchase 10,000 shares with 6-year expiry period. The amounts in the “Option Awards” column reflect the aggregate grant date fair value of awards of stock options granted pursuant to our long-term incentive plans during the periods reported above, computed in accordance with FASB ASC Topic 718, Compensation - Stock Compensation. All directors are reimbursed by the Company for their out-of-pocket travel and related expenses, if any, incurred in attending all Board of Directors and committee meetings. However, during 2021 no expenses were reimbursed to any director.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the Company's Related Party Transactions Policy on January 18, 2017. This policy is available on our website at http://investors.clearone.com/corporate-governance.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Consulting Agreement with Edward D. Bagley</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3, 2015, the Company entered into a Consulting Agreement with Edward D. Bagley, former Chairman of the Board and greater than 10% shareholder (“Consulting Agreement”) which became effective on July 29, 2015 for an initial term of three years which was renewed in 2018 for an additional term of three years and renewed again in 2021 for an additional term of 3 years through 2024. Pursuant to the terms of the Consulting Agreement Mr. Bagley is paid a fee of $5,000 per month and is eligible to participate in our equity incentive programs and will be granted stock options commensurate with grants of stock options made to our directors. During 2021, he was paid $60,000 as consulting fees and was awarded a grant of stock option to purchase 10,000 shares.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ind w:left="1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after considering all the relevant facts and circumstances, that Larry Hendricks, Eric Robinson and Bruce Whaley are independent directors, in accordance with the definition of “independence” under the listing standards of NASDAQ, because they have no relationship with us that would interfere with their exercise of independent judgment.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an Audit and Compliance Committee, a Compensation Committee, and a Nominating Committee, each consisting entirely of independent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COMPLIANCE COMMITTEE REPORT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Audit and Compliance Committee of the Board of Directors is comprised of three directors, all of whom are independent as defined in NASDAQ and SEC rules and regulations. The members of the Audit and Compliance Committee are Eric L. Robinson (Chair), Larry R. Hendricks, and Bruce Whaley. Eric L. Robinson is the Board of Directors’ designated “audit committee financial expert” as that term is defined in the securities laws. The Audit and Compliance Committee serves as an independent and objective party to monitor and provide general oversight of the Company’s financial accounting and reporting process, selection of critical accounting policies, system of internal control, internal audit function, audit process for monitoring compliance with laws and regulations and the Company’s standards of business conduct. The Audit and Compliance Committee performs these oversight responsibilities in accordance with its charter.</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management has primary responsibility for preparing the Company’s financial statements and the Company’s financial reporting process, including its system of internal control over financial reporting. The Company’s independent registered public accountants, Tanner LLC, are responsible for expressing an opinion on the conformity of the Company’s 2021 audited financial statements to accounting principles generally accepted in the United States of America.</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and Compliance Committee discussed with the Company’s independent registered public accountants the overall scope and plans for its audits. The Audit and Compliance Committee met with the Company’s independent registered public accountants, with and without management present, to discuss the results of their examinations, their evaluations of the Company’s internal control over financial reporting, and the overall quality of the Company’s financial reporting.</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context, the Audit and Compliance Committee hereby reports as follows:</w:t>
      </w:r>
    </w:p>
    <w:p>
      <w:pPr>
        <w:spacing w:after="0" w:line="144" w:lineRule="exact"/>
        <w:rPr>
          <w:sz w:val="20"/>
          <w:szCs w:val="20"/>
          <w:color w:val="auto"/>
        </w:rPr>
      </w:pPr>
    </w:p>
    <w:p>
      <w:pPr>
        <w:jc w:val="both"/>
        <w:ind w:firstLine="656"/>
        <w:spacing w:after="0" w:line="266" w:lineRule="auto"/>
        <w:tabs>
          <w:tab w:leader="none" w:pos="100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Compliance Committee has reviewed and discussed the 2021 audited financial statements with the Company’s management, including the quality, not just the acceptability, of the Company’s accounting principles, the reasonableness of significant judgments, and the clarity of disclosures in the financial statements;</w:t>
      </w:r>
    </w:p>
    <w:p>
      <w:pPr>
        <w:spacing w:after="0" w:line="108" w:lineRule="exact"/>
        <w:rPr>
          <w:rFonts w:ascii="Times New Roman" w:cs="Times New Roman" w:eastAsia="Times New Roman" w:hAnsi="Times New Roman"/>
          <w:sz w:val="18"/>
          <w:szCs w:val="18"/>
          <w:color w:val="auto"/>
        </w:rPr>
      </w:pPr>
    </w:p>
    <w:p>
      <w:pPr>
        <w:ind w:firstLine="656"/>
        <w:spacing w:after="0" w:line="282" w:lineRule="auto"/>
        <w:tabs>
          <w:tab w:leader="none" w:pos="100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the Company's independent registered public accountants the matters required to be discussed by the applicable requirements of the Public Company Accounting Oversight Board and the Securities and Exchange Commission;</w:t>
      </w:r>
    </w:p>
    <w:p>
      <w:pPr>
        <w:spacing w:after="0" w:line="94" w:lineRule="exact"/>
        <w:rPr>
          <w:rFonts w:ascii="Times New Roman" w:cs="Times New Roman" w:eastAsia="Times New Roman" w:hAnsi="Times New Roman"/>
          <w:sz w:val="18"/>
          <w:szCs w:val="18"/>
          <w:color w:val="auto"/>
        </w:rPr>
      </w:pPr>
    </w:p>
    <w:p>
      <w:pPr>
        <w:jc w:val="both"/>
        <w:ind w:firstLine="656"/>
        <w:spacing w:after="0" w:line="261" w:lineRule="auto"/>
        <w:tabs>
          <w:tab w:leader="none" w:pos="100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Compliance Committee has received the written disclosures and the letter from the Company’s independent registered public accountants required by applicable requirements of the Public Company Accounting Oversight Board regarding the independent registered public accountant’s communications with the Audit and Compliance Committee concerning independence, and has discussed with the Company’s independent registered public accountants the independent registered public accountants’ independence from management and the Company; and</w:t>
      </w:r>
    </w:p>
    <w:p>
      <w:pPr>
        <w:spacing w:after="0" w:line="98"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discussions referred to in paragraphs (1) through (3) above, the Audit and Compliance Committee recommended to the Board of Directors (and the Board of Directors has approved) that the audited financial statements be included in the Company’s Annual Report on Form 10-K for the year ended December 31, 2020, for filing with the Securities and Exchange Commission on March 31, 2021.</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foregoing Audit and Compliance Committee Report does not constitute soliciting material and shall not be deemed filed or incorporated by reference into any other Company filing under the Securities Act of 1933, as amended, or Exchange Act, except to the extent the Company specifically incorporates this Audit and Compliance Committee Report by reference therein. Each of the members of the Audit and Compliance Committee is independent as defined under the standards of the NASDAQ Capital Market and the Securities and Exchange Commission, and meets all other requirements of such exchange and of such rules of the SEC.</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Respectfully submitted by the members of the Audit and Compliance Committee.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Eric L. Robinson (Chair), Larry R. Hendricks and Bruce Whaley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ownership of our common stock as of October 5, 2022 except as otherwise stated, by</w:t>
      </w:r>
    </w:p>
    <w:p>
      <w:pPr>
        <w:spacing w:after="0" w:line="27" w:lineRule="exact"/>
        <w:rPr>
          <w:sz w:val="20"/>
          <w:szCs w:val="20"/>
          <w:color w:val="auto"/>
        </w:rPr>
      </w:pPr>
    </w:p>
    <w:p>
      <w:pPr>
        <w:ind w:firstLine="8"/>
        <w:spacing w:after="0" w:line="260" w:lineRule="auto"/>
        <w:tabs>
          <w:tab w:leader="none" w:pos="2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Shares Beneficially Owned</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restart"/>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Currently</w:t>
            </w:r>
          </w:p>
        </w:tc>
        <w:tc>
          <w:tcPr>
            <w:tcW w:w="16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6"/>
                <w:szCs w:val="16"/>
                <w:b w:val="1"/>
                <w:bCs w:val="1"/>
                <w:color w:val="auto"/>
              </w:rPr>
              <w:t>Shares that</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restart"/>
          </w:tcPr>
          <w:p>
            <w:pPr>
              <w:jc w:val="center"/>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Currently</w:t>
            </w:r>
          </w:p>
        </w:tc>
        <w:tc>
          <w:tcPr>
            <w:tcW w:w="1820" w:type="dxa"/>
            <w:vAlign w:val="bottom"/>
            <w:gridSpan w:val="2"/>
            <w:vMerge w:val="continue"/>
          </w:tcPr>
          <w:p>
            <w:pPr>
              <w:spacing w:after="0"/>
              <w:rPr>
                <w:sz w:val="9"/>
                <w:szCs w:val="9"/>
                <w:color w:val="auto"/>
              </w:rPr>
            </w:pPr>
          </w:p>
        </w:tc>
        <w:tc>
          <w:tcPr>
            <w:tcW w:w="1620" w:type="dxa"/>
            <w:vAlign w:val="bottom"/>
            <w:gridSpan w:val="2"/>
            <w:vMerge w:val="restart"/>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could be acquired</w:t>
            </w: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20" w:type="dxa"/>
            <w:vAlign w:val="bottom"/>
            <w:gridSpan w:val="2"/>
            <w:vMerge w:val="restart"/>
          </w:tcPr>
          <w:p>
            <w:pPr>
              <w:jc w:val="center"/>
              <w:ind w:right="190"/>
              <w:spacing w:after="0" w:line="297" w:lineRule="exact"/>
              <w:rPr>
                <w:sz w:val="20"/>
                <w:szCs w:val="20"/>
                <w:color w:val="auto"/>
              </w:rPr>
            </w:pPr>
            <w:r>
              <w:rPr>
                <w:rFonts w:ascii="Times New Roman" w:cs="Times New Roman" w:eastAsia="Times New Roman" w:hAnsi="Times New Roman"/>
                <w:sz w:val="16"/>
                <w:szCs w:val="16"/>
                <w:b w:val="1"/>
                <w:bCs w:val="1"/>
                <w:color w:val="auto"/>
                <w:w w:val="96"/>
              </w:rPr>
              <w:t xml:space="preserve">Owned Percent </w:t>
            </w:r>
            <w:r>
              <w:rPr>
                <w:rFonts w:ascii="Times New Roman" w:cs="Times New Roman" w:eastAsia="Times New Roman" w:hAnsi="Times New Roman"/>
                <w:sz w:val="27"/>
                <w:szCs w:val="27"/>
                <w:b w:val="1"/>
                <w:bCs w:val="1"/>
                <w:color w:val="auto"/>
                <w:w w:val="96"/>
                <w:vertAlign w:val="superscript"/>
              </w:rPr>
              <w:t>(2)</w:t>
            </w:r>
          </w:p>
        </w:tc>
        <w:tc>
          <w:tcPr>
            <w:tcW w:w="1620" w:type="dxa"/>
            <w:vAlign w:val="bottom"/>
            <w:gridSpan w:val="2"/>
            <w:vMerge w:val="continue"/>
          </w:tcPr>
          <w:p>
            <w:pPr>
              <w:spacing w:after="0"/>
              <w:rPr>
                <w:sz w:val="6"/>
                <w:szCs w:val="6"/>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 xml:space="preserve">Total </w:t>
            </w:r>
            <w:r>
              <w:rPr>
                <w:rFonts w:ascii="Times New Roman" w:cs="Times New Roman" w:eastAsia="Times New Roman" w:hAnsi="Times New Roman"/>
                <w:sz w:val="21"/>
                <w:szCs w:val="21"/>
                <w:b w:val="1"/>
                <w:bCs w:val="1"/>
                <w:color w:val="auto"/>
                <w:w w:val="93"/>
                <w:vertAlign w:val="superscript"/>
              </w:rPr>
              <w:t>(</w:t>
            </w:r>
            <w:r>
              <w:rPr>
                <w:rFonts w:ascii="Times New Roman" w:cs="Times New Roman" w:eastAsia="Times New Roman" w:hAnsi="Times New Roman"/>
                <w:sz w:val="7"/>
                <w:szCs w:val="7"/>
                <w:b w:val="1"/>
                <w:bCs w:val="1"/>
                <w:color w:val="auto"/>
                <w:w w:val="93"/>
              </w:rPr>
              <w:t>2</w:t>
            </w:r>
            <w:r>
              <w:rPr>
                <w:rFonts w:ascii="Times New Roman" w:cs="Times New Roman" w:eastAsia="Times New Roman" w:hAnsi="Times New Roman"/>
                <w:sz w:val="21"/>
                <w:szCs w:val="21"/>
                <w:b w:val="1"/>
                <w:bCs w:val="1"/>
                <w:color w:val="auto"/>
                <w:w w:val="93"/>
                <w:vertAlign w:val="superscript"/>
              </w:rPr>
              <w:t>)</w:t>
            </w:r>
          </w:p>
        </w:tc>
        <w:tc>
          <w:tcPr>
            <w:tcW w:w="136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 xml:space="preserve">Percent </w:t>
            </w:r>
            <w:r>
              <w:rPr>
                <w:rFonts w:ascii="Times New Roman" w:cs="Times New Roman" w:eastAsia="Times New Roman" w:hAnsi="Times New Roman"/>
                <w:sz w:val="21"/>
                <w:szCs w:val="21"/>
                <w:b w:val="1"/>
                <w:bCs w:val="1"/>
                <w:color w:val="auto"/>
                <w:vertAlign w:val="superscript"/>
              </w:rPr>
              <w:t>(</w:t>
            </w:r>
            <w:r>
              <w:rPr>
                <w:rFonts w:ascii="Times New Roman" w:cs="Times New Roman" w:eastAsia="Times New Roman" w:hAnsi="Times New Roman"/>
                <w:sz w:val="7"/>
                <w:szCs w:val="7"/>
                <w:b w:val="1"/>
                <w:bCs w:val="1"/>
                <w:color w:val="auto"/>
              </w:rPr>
              <w:t>2</w:t>
            </w:r>
            <w:r>
              <w:rPr>
                <w:rFonts w:ascii="Times New Roman" w:cs="Times New Roman" w:eastAsia="Times New Roman" w:hAnsi="Times New Roman"/>
                <w:sz w:val="21"/>
                <w:szCs w:val="21"/>
                <w:b w:val="1"/>
                <w:bCs w:val="1"/>
                <w:color w:val="auto"/>
                <w:vertAlign w:val="superscript"/>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820" w:type="dxa"/>
            <w:vAlign w:val="bottom"/>
            <w:gridSpan w:val="2"/>
            <w:vMerge w:val="continue"/>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within 60 days</w:t>
            </w:r>
          </w:p>
        </w:tc>
        <w:tc>
          <w:tcPr>
            <w:tcW w:w="136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3660" w:type="dxa"/>
            <w:vAlign w:val="bottom"/>
            <w:gridSpan w:val="4"/>
          </w:tcPr>
          <w:p>
            <w:pPr>
              <w:ind w:left="760"/>
              <w:spacing w:after="0" w:line="276" w:lineRule="exact"/>
              <w:rPr>
                <w:sz w:val="20"/>
                <w:szCs w:val="20"/>
                <w:color w:val="auto"/>
              </w:rPr>
            </w:pPr>
            <w:r>
              <w:rPr>
                <w:rFonts w:ascii="Times New Roman" w:cs="Times New Roman" w:eastAsia="Times New Roman" w:hAnsi="Times New Roman"/>
                <w:sz w:val="16"/>
                <w:szCs w:val="16"/>
                <w:b w:val="1"/>
                <w:bCs w:val="1"/>
                <w:color w:val="auto"/>
              </w:rPr>
              <w:t xml:space="preserve">Name of Beneficial Owner </w:t>
            </w:r>
            <w:r>
              <w:rPr>
                <w:rFonts w:ascii="Times New Roman" w:cs="Times New Roman" w:eastAsia="Times New Roman" w:hAnsi="Times New Roman"/>
                <w:sz w:val="27"/>
                <w:szCs w:val="27"/>
                <w:b w:val="1"/>
                <w:bCs w:val="1"/>
                <w:color w:val="auto"/>
                <w:vertAlign w:val="superscript"/>
              </w:rPr>
              <w:t>(1)</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(A)</w:t>
            </w:r>
          </w:p>
        </w:tc>
        <w:tc>
          <w:tcPr>
            <w:tcW w:w="1820" w:type="dxa"/>
            <w:vAlign w:val="bottom"/>
            <w:gridSpan w:val="2"/>
          </w:tcPr>
          <w:p>
            <w:pPr>
              <w:jc w:val="center"/>
              <w:ind w:right="190"/>
              <w:spacing w:after="0"/>
              <w:rPr>
                <w:sz w:val="20"/>
                <w:szCs w:val="20"/>
                <w:color w:val="auto"/>
              </w:rPr>
            </w:pPr>
            <w:r>
              <w:rPr>
                <w:rFonts w:ascii="Times New Roman" w:cs="Times New Roman" w:eastAsia="Times New Roman" w:hAnsi="Times New Roman"/>
                <w:sz w:val="16"/>
                <w:szCs w:val="16"/>
                <w:color w:val="auto"/>
              </w:rPr>
              <w:t>(B)</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3"/>
              </w:rPr>
              <w:t>(C)</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(D)</w:t>
            </w:r>
          </w:p>
        </w:tc>
        <w:tc>
          <w:tcPr>
            <w:tcW w:w="1360" w:type="dxa"/>
            <w:vAlign w:val="bottom"/>
            <w:gridSpan w:val="2"/>
          </w:tcPr>
          <w:p>
            <w:pPr>
              <w:jc w:val="right"/>
              <w:ind w:right="590"/>
              <w:spacing w:after="0"/>
              <w:rPr>
                <w:sz w:val="20"/>
                <w:szCs w:val="20"/>
                <w:color w:val="auto"/>
              </w:rPr>
            </w:pPr>
            <w:r>
              <w:rPr>
                <w:rFonts w:ascii="Times New Roman" w:cs="Times New Roman" w:eastAsia="Times New Roman" w:hAnsi="Times New Roman"/>
                <w:sz w:val="16"/>
                <w:szCs w:val="16"/>
                <w:color w:val="auto"/>
              </w:rPr>
              <w:t>(E)</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58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9"/>
              </w:rPr>
              <w:t>Directors and Executive Officers:</w:t>
            </w: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6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Derek L. Graham</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180" w:type="dxa"/>
            <w:vAlign w:val="bottom"/>
          </w:tcPr>
          <w:p>
            <w:pPr>
              <w:spacing w:after="0"/>
              <w:rPr>
                <w:sz w:val="20"/>
                <w:szCs w:val="20"/>
                <w:color w:val="auto"/>
              </w:rPr>
            </w:pPr>
          </w:p>
        </w:tc>
        <w:tc>
          <w:tcPr>
            <w:tcW w:w="1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0.02 %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13,851</w:t>
            </w:r>
          </w:p>
        </w:tc>
        <w:tc>
          <w:tcPr>
            <w:tcW w:w="2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r>
        <w:trPr>
          <w:trHeight w:val="247"/>
        </w:trPr>
        <w:tc>
          <w:tcPr>
            <w:tcW w:w="36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Larry R. Hendricks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0.02 %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59,048</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0" w:type="dxa"/>
            <w:vAlign w:val="bottom"/>
          </w:tcPr>
          <w:p>
            <w:pPr>
              <w:spacing w:after="0"/>
              <w:rPr>
                <w:sz w:val="1"/>
                <w:szCs w:val="1"/>
                <w:color w:val="auto"/>
              </w:rPr>
            </w:pPr>
          </w:p>
        </w:tc>
      </w:tr>
      <w:tr>
        <w:trPr>
          <w:trHeight w:val="283"/>
        </w:trPr>
        <w:tc>
          <w:tcPr>
            <w:tcW w:w="3680" w:type="dxa"/>
            <w:vAlign w:val="bottom"/>
            <w:gridSpan w:val="5"/>
          </w:tcPr>
          <w:p>
            <w:pPr>
              <w:ind w:left="20"/>
              <w:spacing w:after="0" w:line="284" w:lineRule="exact"/>
              <w:rPr>
                <w:sz w:val="20"/>
                <w:szCs w:val="20"/>
                <w:color w:val="auto"/>
              </w:rPr>
            </w:pPr>
            <w:r>
              <w:rPr>
                <w:rFonts w:ascii="Times New Roman" w:cs="Times New Roman" w:eastAsia="Times New Roman" w:hAnsi="Times New Roman"/>
                <w:sz w:val="18"/>
                <w:szCs w:val="18"/>
                <w:color w:val="auto"/>
              </w:rPr>
              <w:t xml:space="preserve">Lisa B. Higley </w:t>
            </w:r>
            <w:r>
              <w:rPr>
                <w:rFonts w:ascii="Times New Roman" w:cs="Times New Roman" w:eastAsia="Times New Roman" w:hAnsi="Times New Roman"/>
                <w:sz w:val="29"/>
                <w:szCs w:val="29"/>
                <w:color w:val="auto"/>
                <w:vertAlign w:val="superscript"/>
              </w:rPr>
              <w:t>(3)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180" w:type="dxa"/>
            <w:vAlign w:val="bottom"/>
          </w:tcPr>
          <w:p>
            <w:pPr>
              <w:spacing w:after="0"/>
              <w:rPr>
                <w:sz w:val="24"/>
                <w:szCs w:val="24"/>
                <w:color w:val="auto"/>
              </w:rPr>
            </w:pPr>
          </w:p>
        </w:tc>
        <w:tc>
          <w:tcPr>
            <w:tcW w:w="1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0.08 %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19,501</w:t>
            </w:r>
          </w:p>
        </w:tc>
        <w:tc>
          <w:tcPr>
            <w:tcW w:w="2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0" w:type="dxa"/>
            <w:vAlign w:val="bottom"/>
          </w:tcPr>
          <w:p>
            <w:pPr>
              <w:spacing w:after="0"/>
              <w:rPr>
                <w:sz w:val="1"/>
                <w:szCs w:val="1"/>
                <w:color w:val="auto"/>
              </w:rPr>
            </w:pPr>
          </w:p>
        </w:tc>
      </w:tr>
      <w:tr>
        <w:trPr>
          <w:trHeight w:val="243"/>
        </w:trPr>
        <w:tc>
          <w:tcPr>
            <w:tcW w:w="36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L. Robinson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33,398</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0" w:type="dxa"/>
            <w:vAlign w:val="bottom"/>
          </w:tcPr>
          <w:p>
            <w:pPr>
              <w:spacing w:after="0"/>
              <w:rPr>
                <w:sz w:val="1"/>
                <w:szCs w:val="1"/>
                <w:color w:val="auto"/>
              </w:rPr>
            </w:pPr>
          </w:p>
        </w:tc>
      </w:tr>
      <w:tr>
        <w:trPr>
          <w:trHeight w:val="239"/>
        </w:trPr>
        <w:tc>
          <w:tcPr>
            <w:tcW w:w="36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Bruce Whaley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80" w:type="dxa"/>
            <w:vAlign w:val="bottom"/>
          </w:tcPr>
          <w:p>
            <w:pPr>
              <w:spacing w:after="0"/>
              <w:rPr>
                <w:sz w:val="20"/>
                <w:szCs w:val="20"/>
                <w:color w:val="auto"/>
              </w:rPr>
            </w:pPr>
          </w:p>
        </w:tc>
        <w:tc>
          <w:tcPr>
            <w:tcW w:w="1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0.05 %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0" w:type="dxa"/>
            <w:vAlign w:val="bottom"/>
          </w:tcPr>
          <w:p>
            <w:pPr>
              <w:spacing w:after="0"/>
              <w:rPr>
                <w:sz w:val="1"/>
                <w:szCs w:val="1"/>
                <w:color w:val="auto"/>
              </w:rPr>
            </w:pPr>
          </w:p>
        </w:tc>
      </w:tr>
      <w:tr>
        <w:trPr>
          <w:trHeight w:val="261"/>
        </w:trPr>
        <w:tc>
          <w:tcPr>
            <w:tcW w:w="36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Narsi Narayanan</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101,666</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101,666</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0" w:type="dxa"/>
            <w:vAlign w:val="bottom"/>
          </w:tcPr>
          <w:p>
            <w:pPr>
              <w:spacing w:after="0"/>
              <w:rPr>
                <w:sz w:val="1"/>
                <w:szCs w:val="1"/>
                <w:color w:val="auto"/>
              </w:rPr>
            </w:pPr>
          </w:p>
        </w:tc>
      </w:tr>
      <w:tr>
        <w:trPr>
          <w:trHeight w:val="232"/>
        </w:trPr>
        <w:tc>
          <w:tcPr>
            <w:tcW w:w="368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Total (Directors and Officers)</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38,424</w:t>
            </w:r>
          </w:p>
        </w:tc>
        <w:tc>
          <w:tcPr>
            <w:tcW w:w="180" w:type="dxa"/>
            <w:vAlign w:val="bottom"/>
            <w:tcBorders>
              <w:bottom w:val="single" w:sz="8" w:color="CCEEFF"/>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0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206,040</w:t>
            </w:r>
          </w:p>
        </w:tc>
        <w:tc>
          <w:tcPr>
            <w:tcW w:w="220" w:type="dxa"/>
            <w:vAlign w:val="bottom"/>
            <w:tcBorders>
              <w:bottom w:val="single" w:sz="8" w:color="CCEEFF"/>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244,464</w:t>
            </w:r>
          </w:p>
        </w:tc>
        <w:tc>
          <w:tcPr>
            <w:tcW w:w="200" w:type="dxa"/>
            <w:vAlign w:val="bottom"/>
            <w:tcBorders>
              <w:bottom w:val="single" w:sz="8" w:color="CCEEFF"/>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line="187" w:lineRule="exact"/>
              <w:rPr>
                <w:sz w:val="20"/>
                <w:szCs w:val="20"/>
                <w:color w:val="auto"/>
              </w:rPr>
            </w:pPr>
            <w:r>
              <w:rPr>
                <w:rFonts w:ascii="Times New Roman" w:cs="Times New Roman" w:eastAsia="Times New Roman" w:hAnsi="Times New Roman"/>
                <w:sz w:val="18"/>
                <w:szCs w:val="18"/>
                <w:b w:val="1"/>
                <w:bCs w:val="1"/>
                <w:color w:val="auto"/>
                <w:w w:val="98"/>
              </w:rPr>
              <w:t>5% Shareholders:</w:t>
            </w:r>
          </w:p>
        </w:tc>
        <w:tc>
          <w:tcPr>
            <w:tcW w:w="2260" w:type="dxa"/>
            <w:vAlign w:val="bottom"/>
            <w:tcBorders>
              <w:bottom w:val="single" w:sz="8" w:color="CCEEFF"/>
            </w:tcBorders>
            <w:gridSpan w:val="3"/>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80" w:type="dxa"/>
            <w:vAlign w:val="bottom"/>
            <w:gridSpan w:val="5"/>
          </w:tcPr>
          <w:p>
            <w:pPr>
              <w:ind w:left="20"/>
              <w:spacing w:after="0" w:line="284" w:lineRule="exact"/>
              <w:rPr>
                <w:sz w:val="20"/>
                <w:szCs w:val="20"/>
                <w:color w:val="auto"/>
              </w:rPr>
            </w:pPr>
            <w:r>
              <w:rPr>
                <w:rFonts w:ascii="Times New Roman" w:cs="Times New Roman" w:eastAsia="Times New Roman" w:hAnsi="Times New Roman"/>
                <w:sz w:val="18"/>
                <w:szCs w:val="18"/>
                <w:color w:val="auto"/>
              </w:rPr>
              <w:t>Edward D. Bagley</w:t>
            </w:r>
            <w:r>
              <w:rPr>
                <w:rFonts w:ascii="Times New Roman" w:cs="Times New Roman" w:eastAsia="Times New Roman" w:hAnsi="Times New Roman"/>
                <w:sz w:val="29"/>
                <w:szCs w:val="29"/>
                <w:color w:val="auto"/>
                <w:vertAlign w:val="superscript"/>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10,186,917</w:t>
            </w:r>
          </w:p>
        </w:tc>
        <w:tc>
          <w:tcPr>
            <w:tcW w:w="180" w:type="dxa"/>
            <w:vAlign w:val="bottom"/>
          </w:tcPr>
          <w:p>
            <w:pPr>
              <w:spacing w:after="0"/>
              <w:rPr>
                <w:sz w:val="24"/>
                <w:szCs w:val="24"/>
                <w:color w:val="auto"/>
              </w:rPr>
            </w:pPr>
          </w:p>
        </w:tc>
        <w:tc>
          <w:tcPr>
            <w:tcW w:w="1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42.53 %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1,548,012</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11,734,929</w:t>
            </w:r>
          </w:p>
        </w:tc>
        <w:tc>
          <w:tcPr>
            <w:tcW w:w="2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45.17 %</w:t>
            </w:r>
          </w:p>
        </w:tc>
        <w:tc>
          <w:tcPr>
            <w:tcW w:w="0" w:type="dxa"/>
            <w:vAlign w:val="bottom"/>
          </w:tcPr>
          <w:p>
            <w:pPr>
              <w:spacing w:after="0"/>
              <w:rPr>
                <w:sz w:val="1"/>
                <w:szCs w:val="1"/>
                <w:color w:val="auto"/>
              </w:rPr>
            </w:pPr>
          </w:p>
        </w:tc>
      </w:tr>
      <w:tr>
        <w:trPr>
          <w:trHeight w:val="284"/>
        </w:trPr>
        <w:tc>
          <w:tcPr>
            <w:tcW w:w="3680" w:type="dxa"/>
            <w:vAlign w:val="bottom"/>
            <w:gridSpan w:val="5"/>
            <w:shd w:val="clear" w:color="auto" w:fill="CCEEFF"/>
          </w:tcPr>
          <w:p>
            <w:pPr>
              <w:ind w:left="20"/>
              <w:spacing w:after="0" w:line="284" w:lineRule="exact"/>
              <w:rPr>
                <w:sz w:val="20"/>
                <w:szCs w:val="20"/>
                <w:color w:val="auto"/>
              </w:rPr>
            </w:pPr>
            <w:r>
              <w:rPr>
                <w:rFonts w:ascii="Times New Roman" w:cs="Times New Roman" w:eastAsia="Times New Roman" w:hAnsi="Times New Roman"/>
                <w:sz w:val="18"/>
                <w:szCs w:val="18"/>
                <w:color w:val="auto"/>
              </w:rPr>
              <w:t>E. Bryan Bagley</w:t>
            </w:r>
            <w:r>
              <w:rPr>
                <w:rFonts w:ascii="Times New Roman" w:cs="Times New Roman" w:eastAsia="Times New Roman" w:hAnsi="Times New Roman"/>
                <w:sz w:val="29"/>
                <w:szCs w:val="29"/>
                <w:color w:val="auto"/>
                <w:vertAlign w:val="superscript"/>
              </w:rPr>
              <w:t>(5)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1,236,630</w:t>
            </w:r>
          </w:p>
        </w:tc>
        <w:tc>
          <w:tcPr>
            <w:tcW w:w="18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272,695</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1,509,325</w:t>
            </w:r>
          </w:p>
        </w:tc>
        <w:tc>
          <w:tcPr>
            <w:tcW w:w="2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480" w:right="20" w:hanging="459"/>
        <w:spacing w:after="0" w:line="266"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each person named in the table has sole voting and investment power, subject to applicable community property law. Except as otherwise indicated, each person may be reached at our corporate offices c/o ClearOne, Inc., 5225 Wiley Post Way, Suite 500, Salt Lake City, Utah 84116.</w:t>
      </w:r>
    </w:p>
    <w:p>
      <w:pPr>
        <w:spacing w:after="0" w:line="67" w:lineRule="exact"/>
        <w:rPr>
          <w:rFonts w:ascii="Times New Roman" w:cs="Times New Roman" w:eastAsia="Times New Roman" w:hAnsi="Times New Roman"/>
          <w:sz w:val="18"/>
          <w:szCs w:val="18"/>
          <w:color w:val="auto"/>
        </w:rPr>
      </w:pPr>
    </w:p>
    <w:p>
      <w:pPr>
        <w:jc w:val="both"/>
        <w:ind w:left="480" w:right="20" w:hanging="459"/>
        <w:spacing w:after="0" w:line="256"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shown in Column (B) are calculated based on 23,952,555 shares of common stock outstanding on October 5, 2022. The numbers shown in Column (D) and percentages shown in Column (E) include the shares of common stock actually owned as of October 5, 2022 and the shares of common stock that the identified person or group had the right to acquire within 60 days of such date. In calculating the percentage of ownership, all shares of common stock that each identified person or group had the right to acquire within 60 days of October 5, 2022 upon the exercise of the stock options, secured convertible notes and warrants shown in Column (C) are deemed to be outstanding for the purpose of computing the percentage of the shares of common stock owned by the persons or groups listed above.</w:t>
      </w:r>
    </w:p>
    <w:p>
      <w:pPr>
        <w:spacing w:after="0" w:line="160" w:lineRule="exact"/>
        <w:rPr>
          <w:rFonts w:ascii="Times New Roman" w:cs="Times New Roman" w:eastAsia="Times New Roman" w:hAnsi="Times New Roman"/>
          <w:sz w:val="18"/>
          <w:szCs w:val="18"/>
          <w:color w:val="auto"/>
        </w:rPr>
      </w:pPr>
    </w:p>
    <w:p>
      <w:pPr>
        <w:jc w:val="both"/>
        <w:ind w:left="480" w:right="20" w:hanging="459"/>
        <w:spacing w:after="0" w:line="261"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the Form 3 filed with the SEC as of July 20, 2020. Lisa Higley, who was appointed a Director effective July 20, 2020, is the daughter of Edward D. Bagley, and each of them has previously disclaimed beneficial ownership of common stock beneficially owned by the other. The share amounts indicated for Ms. Higley do not include any shares held by Edward D. Bagley. The share amounts indicated for Ms. Higley do not include 6,546 shares owned by her spouse and 2,252,636 shares held by a trust in which she is a co-trustee.</w:t>
      </w:r>
    </w:p>
    <w:p>
      <w:pPr>
        <w:spacing w:after="0" w:line="85" w:lineRule="exact"/>
        <w:rPr>
          <w:rFonts w:ascii="Times New Roman" w:cs="Times New Roman" w:eastAsia="Times New Roman" w:hAnsi="Times New Roman"/>
          <w:sz w:val="18"/>
          <w:szCs w:val="18"/>
          <w:color w:val="auto"/>
        </w:rPr>
      </w:pPr>
    </w:p>
    <w:p>
      <w:pPr>
        <w:jc w:val="both"/>
        <w:ind w:left="480" w:right="20" w:hanging="459"/>
        <w:spacing w:after="0" w:line="253"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Edward D. Bagley may be deemed to own an additional 2,252,636 shares of common stock that are deemed to be owned by his wife, Carolyn Bagley, as a result of her acting as one of four co-trustees of a trust. Mr. Bagley may be deemed to own an additional 355,257 shares of common stock that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 11,734,929 shares (including the shares that may be acquired pursuant to exercise of options to purchase 33,333 shares of common stock, secured convertible notes to purchase 829,384 shares of common stock and warrants to purchase 685,295 shares of common stock) and shared voting and dispositive power over the 355,257 shares held by Mr. Edward D. Bagley’s spouse. This information is based upon Schedule 13D/A and Form 4 as filed by Mr. Bagley with the SEC in September 2020 and December 2020, respectively. E. Bryan Bagley, who resigned as Director effective November 6, 2012, is the son of Edward D. Bagley, and each of them has previously disclaimed beneficial ownership of common stock beneficially owned by the other. Lisa Higley, who was appointed a Director effective July 20, 2020, is the daughter of Edward D. Bagley, and each of them has previously disclaimed beneficial ownership of common stock beneficially owned by the other. The share amounts indicated for Mr. Edward D. Bagley do not include any shares held by E. Bryan Bagley or Lisa Higley.</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jc w:val="both"/>
        <w:ind w:left="500" w:right="20" w:hanging="479"/>
        <w:spacing w:after="0" w:line="25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 Bryan Bagley has sole voting and dispositive power over 1,509,325 shares (including the shares that may be acquired pursuant to exercise of secured convertible notes to purchase 165,877 shares of common stock and warrants to purchase 106,818 shares of common stock) This information is based upon Schedule 13D/A as filed by E. Bryan Bagley with the SEC in September 2020. E. Bryan Bagley, who resigned as Director effective November 6, 2012, is the son of Edward D. Bagley, and each of them has previously disclaimed beneficial ownership of common stock beneficially owned by the other. The share amounts indicated for Mr. E. Bryan Bagley do not include any shares held by Edward D. Bagley. The share amounts indicated for Mr. E. Bryan Bagley do not include 2,252,636 shares held by a trust in which he is a co-trustee.</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as of December 31, 2021, relating to equity compensation plans of the Company (including individual compensation arrangements) pursuant to which equity securities of the Company are authorized for issuance.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w:t>
            </w: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r>
      <w:tr>
        <w:trPr>
          <w:trHeight w:val="162"/>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256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Average Exercise Price</w:t>
            </w: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 available for</w:t>
            </w:r>
          </w:p>
        </w:tc>
      </w:tr>
      <w:tr>
        <w:trPr>
          <w:trHeight w:val="162"/>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upon exercise of outstanding options</w:t>
            </w:r>
          </w:p>
        </w:tc>
        <w:tc>
          <w:tcPr>
            <w:tcW w:w="2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Outstanding Options and Rights</w:t>
            </w: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issuance under equity compensation</w:t>
            </w:r>
          </w:p>
        </w:tc>
      </w:tr>
      <w:tr>
        <w:trPr>
          <w:trHeight w:val="124"/>
        </w:trPr>
        <w:tc>
          <w:tcPr>
            <w:tcW w:w="2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2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plans (excluding securities reflected in</w:t>
            </w:r>
          </w:p>
        </w:tc>
      </w:tr>
      <w:tr>
        <w:trPr>
          <w:trHeight w:val="173"/>
        </w:trPr>
        <w:tc>
          <w:tcPr>
            <w:tcW w:w="292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column(a))</w:t>
            </w:r>
          </w:p>
        </w:tc>
      </w:tr>
      <w:tr>
        <w:trPr>
          <w:trHeight w:val="191"/>
        </w:trPr>
        <w:tc>
          <w:tcPr>
            <w:tcW w:w="292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24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r>
      <w:tr>
        <w:trPr>
          <w:trHeight w:val="234"/>
        </w:trPr>
        <w:tc>
          <w:tcPr>
            <w:tcW w:w="3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by Stockholders</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831,071</w:t>
            </w:r>
          </w:p>
        </w:tc>
        <w:tc>
          <w:tcPr>
            <w:tcW w:w="220" w:type="dxa"/>
            <w:vAlign w:val="bottom"/>
            <w:shd w:val="clear" w:color="auto" w:fill="CCEEFF"/>
          </w:tcPr>
          <w:p>
            <w:pPr>
              <w:spacing w:after="0"/>
              <w:rPr>
                <w:sz w:val="20"/>
                <w:szCs w:val="20"/>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$6.47</w:t>
            </w:r>
          </w:p>
        </w:tc>
        <w:tc>
          <w:tcPr>
            <w:tcW w:w="240" w:type="dxa"/>
            <w:vAlign w:val="bottom"/>
            <w:shd w:val="clear" w:color="auto" w:fill="CCEEFF"/>
          </w:tcPr>
          <w:p>
            <w:pPr>
              <w:spacing w:after="0"/>
              <w:rPr>
                <w:sz w:val="20"/>
                <w:szCs w:val="20"/>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633,783</w:t>
            </w:r>
          </w:p>
        </w:tc>
      </w:tr>
      <w:tr>
        <w:trPr>
          <w:trHeight w:val="198"/>
        </w:trPr>
        <w:tc>
          <w:tcPr>
            <w:tcW w:w="316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34"/>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Approved by Stockholders</w:t>
            </w:r>
          </w:p>
        </w:tc>
        <w:tc>
          <w:tcPr>
            <w:tcW w:w="2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3160" w:type="dxa"/>
            <w:vAlign w:val="bottom"/>
            <w:tcBorders>
              <w:top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831,071</w:t>
            </w:r>
          </w:p>
        </w:tc>
        <w:tc>
          <w:tcPr>
            <w:tcW w:w="2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$6.47</w:t>
            </w:r>
          </w:p>
        </w:tc>
        <w:tc>
          <w:tcPr>
            <w:tcW w:w="24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633,783</w:t>
            </w:r>
          </w:p>
        </w:tc>
      </w:tr>
    </w:tbl>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APPROVAL, BY NON-BINDING VOTE, OF THE COMPENSATION OF OUR NAMED EXECUTIVE OFFICERS</w:t>
      </w:r>
    </w:p>
    <w:p>
      <w:pPr>
        <w:spacing w:after="0" w:line="229" w:lineRule="exact"/>
        <w:rPr>
          <w:sz w:val="20"/>
          <w:szCs w:val="20"/>
          <w:color w:val="auto"/>
        </w:rPr>
      </w:pPr>
    </w:p>
    <w:p>
      <w:pPr>
        <w:jc w:val="both"/>
        <w:ind w:left="140" w:right="140" w:firstLine="648"/>
        <w:spacing w:after="0" w:line="266" w:lineRule="auto"/>
        <w:rPr>
          <w:sz w:val="20"/>
          <w:szCs w:val="20"/>
          <w:color w:val="auto"/>
        </w:rPr>
      </w:pPr>
      <w:r>
        <w:rPr>
          <w:rFonts w:ascii="Times New Roman" w:cs="Times New Roman" w:eastAsia="Times New Roman" w:hAnsi="Times New Roman"/>
          <w:sz w:val="18"/>
          <w:szCs w:val="18"/>
          <w:color w:val="auto"/>
        </w:rPr>
        <w:t>The Dodd-Frank Wall Street and Consumer Protection Act of 2010, or the Dodd-Frank Act, enables our shareholders to vote to approve, on a non-binding, advisory basis, the compensation of our named executive officers as disclosed in this proxy statement in accordance with the disclosure rules of the SEC.</w:t>
      </w:r>
    </w:p>
    <w:p>
      <w:pPr>
        <w:spacing w:after="0" w:line="176" w:lineRule="exact"/>
        <w:rPr>
          <w:sz w:val="20"/>
          <w:szCs w:val="20"/>
          <w:color w:val="auto"/>
        </w:rPr>
      </w:pPr>
    </w:p>
    <w:p>
      <w:pPr>
        <w:jc w:val="both"/>
        <w:ind w:left="140" w:right="140" w:firstLine="648"/>
        <w:spacing w:after="0" w:line="261" w:lineRule="auto"/>
        <w:rPr>
          <w:sz w:val="20"/>
          <w:szCs w:val="20"/>
          <w:color w:val="auto"/>
        </w:rPr>
      </w:pPr>
      <w:r>
        <w:rPr>
          <w:rFonts w:ascii="Times New Roman" w:cs="Times New Roman" w:eastAsia="Times New Roman" w:hAnsi="Times New Roman"/>
          <w:sz w:val="18"/>
          <w:szCs w:val="18"/>
          <w:color w:val="auto"/>
        </w:rPr>
        <w:t>As described in detail under the heading “Executive Compensation,” our executive compensation programs are designed to attract and retain key executives, to stimulate management’s efforts on our behalf in a way that supports our business plan and to align management’s incentives with our long-term interests and those of our shareholders. Please read the discussion under the heading "Executive Compensation" for additional details about our executive compensation programs, including information about the fiscal year 2021 compensation of our named executive officers.</w:t>
      </w:r>
    </w:p>
    <w:p>
      <w:pPr>
        <w:spacing w:after="0" w:line="180" w:lineRule="exact"/>
        <w:rPr>
          <w:sz w:val="20"/>
          <w:szCs w:val="20"/>
          <w:color w:val="auto"/>
        </w:rPr>
      </w:pPr>
    </w:p>
    <w:p>
      <w:pPr>
        <w:jc w:val="both"/>
        <w:ind w:left="140" w:right="140" w:firstLine="648"/>
        <w:spacing w:after="0" w:line="258" w:lineRule="auto"/>
        <w:rPr>
          <w:sz w:val="20"/>
          <w:szCs w:val="20"/>
          <w:color w:val="auto"/>
        </w:rPr>
      </w:pPr>
      <w:r>
        <w:rPr>
          <w:rFonts w:ascii="Times New Roman" w:cs="Times New Roman" w:eastAsia="Times New Roman" w:hAnsi="Times New Roman"/>
          <w:sz w:val="18"/>
          <w:szCs w:val="18"/>
          <w:color w:val="auto"/>
        </w:rPr>
        <w:t>We are asking shareholders to indicate their support for our named executive officers’ compensation as described in this proxy statement. This proposal, commonly known as “say on pay,” gives our shareholders the opportunity to express their views on our named executive officers’ compensation. The vote on this proposal is not intended to address any specific element of compensation, but rather the overall compensation of our named executive officers and the philosophy, policies and practices described in this proxy statement. Accordingly, we will ask our shareholders to vote FOR this proposal on their proxy card.</w:t>
      </w:r>
    </w:p>
    <w:p>
      <w:pPr>
        <w:spacing w:after="0" w:line="183" w:lineRule="exact"/>
        <w:rPr>
          <w:sz w:val="20"/>
          <w:szCs w:val="20"/>
          <w:color w:val="auto"/>
        </w:rPr>
      </w:pPr>
    </w:p>
    <w:p>
      <w:pPr>
        <w:jc w:val="both"/>
        <w:ind w:left="140" w:right="140" w:firstLine="648"/>
        <w:spacing w:after="0" w:line="261" w:lineRule="auto"/>
        <w:rPr>
          <w:sz w:val="20"/>
          <w:szCs w:val="20"/>
          <w:color w:val="auto"/>
        </w:rPr>
      </w:pPr>
      <w:r>
        <w:rPr>
          <w:rFonts w:ascii="Times New Roman" w:cs="Times New Roman" w:eastAsia="Times New Roman" w:hAnsi="Times New Roman"/>
          <w:sz w:val="18"/>
          <w:szCs w:val="18"/>
          <w:color w:val="auto"/>
        </w:rPr>
        <w:t>The say on pay vote is advisory and, therefore, not binding on the Company, the Compensation Committee or the Board of Directors. Our Board of Directors and our Compensation Committee value the opinions of our shareholders, and to the extent there is any significant vote against our named executive officers’ compensation as disclosed in this proxy statement, the Compensation Committee will evaluate what, if any, actions are necessary to address the concerns of shareholders.</w:t>
      </w:r>
    </w:p>
    <w:p>
      <w:pPr>
        <w:spacing w:after="0" w:line="1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Accordingly, we ask our shareholders to approve the following advisory resolution at the 2022 Annual Meeting:</w:t>
      </w:r>
    </w:p>
    <w:p>
      <w:pPr>
        <w:spacing w:after="0" w:line="225" w:lineRule="exact"/>
        <w:rPr>
          <w:sz w:val="20"/>
          <w:szCs w:val="20"/>
          <w:color w:val="auto"/>
        </w:rPr>
      </w:pPr>
    </w:p>
    <w:p>
      <w:pPr>
        <w:jc w:val="both"/>
        <w:ind w:left="140" w:right="140" w:firstLine="648"/>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in the compensation tables and narrative discussion, is hereby APPROVED.”</w:t>
      </w:r>
    </w:p>
    <w:p>
      <w:pPr>
        <w:spacing w:after="0" w:line="158" w:lineRule="exact"/>
        <w:rPr>
          <w:sz w:val="20"/>
          <w:szCs w:val="20"/>
          <w:color w:val="auto"/>
        </w:rPr>
      </w:pPr>
    </w:p>
    <w:p>
      <w:pPr>
        <w:jc w:val="both"/>
        <w:ind w:left="140"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APPROVAL OF THE COMPENSATION OF OUR NAMED EXECUTIVE OFFICERS, AS DISCLOSED IN THIS PROXY STATEMENT.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765175</wp:posOffset>
            </wp:positionH>
            <wp:positionV relativeFrom="page">
              <wp:posOffset>363220</wp:posOffset>
            </wp:positionV>
            <wp:extent cx="6026150" cy="8229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026150" cy="822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765175</wp:posOffset>
            </wp:positionH>
            <wp:positionV relativeFrom="page">
              <wp:posOffset>500380</wp:posOffset>
            </wp:positionV>
            <wp:extent cx="6026150" cy="6515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026150" cy="651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FFFFFF"/>
        </w:rPr>
        <w:t>.</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upperLetter"/>
      <w:start w:val="24"/>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
      <w:numFmt w:val="bullet"/>
      <w:start w:val="1"/>
    </w:lvl>
    <w:lvl w:ilvl="1">
      <w:lvlJc w:val="left"/>
      <w:lvlText w:val="%2)"/>
      <w:numFmt w:val="decimal"/>
      <w:start w:val="1"/>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Roman"/>
      <w:start w:val="1"/>
    </w:lvl>
  </w:abstractNum>
  <w:abstractNum w:abstractNumId="11">
    <w:nsid w:val="DED7263"/>
    <w:multiLevelType w:val="hybridMultilevel"/>
    <w:lvl w:ilvl="0">
      <w:lvlJc w:val="left"/>
      <w:lvlText w:val="(%1)"/>
      <w:numFmt w:val="lowerRoman"/>
      <w:start w:val="2"/>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2022-10-06T15:04:45Z</dcterms:created>
  <dcterms:modified xsi:type="dcterms:W3CDTF">2022-10-06T15:04:45Z</dcterms:modified>
</cp:coreProperties>
</file>