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October 30, 2008</w:t>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Communications,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2300" w:type="dxa"/>
        <w:tblCellMar>
          <w:top w:w="0" w:type="dxa"/>
          <w:left w:w="0" w:type="dxa"/>
          <w:bottom w:w="0" w:type="dxa"/>
          <w:right w:w="0" w:type="dxa"/>
        </w:tblCellMar>
      </w:tblPr>
      <w:tr>
        <w:trPr>
          <w:trHeight w:val="241"/>
        </w:trPr>
        <w:tc>
          <w:tcPr>
            <w:tcW w:w="340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000-17219</w:t>
            </w:r>
          </w:p>
        </w:tc>
        <w:tc>
          <w:tcPr>
            <w:tcW w:w="3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3400" w:type="dxa"/>
            <w:vAlign w:val="bottom"/>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40" w:type="dxa"/>
            <w:vAlign w:val="bottom"/>
            <w:gridSpan w:val="3"/>
          </w:tcPr>
          <w:p>
            <w:pPr>
              <w:jc w:val="center"/>
              <w:ind w:right="3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40" w:type="dxa"/>
            <w:vAlign w:val="bottom"/>
            <w:gridSpan w:val="3"/>
          </w:tcPr>
          <w:p>
            <w:pPr>
              <w:jc w:val="center"/>
              <w:ind w:right="370"/>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420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0"/>
              </w:rPr>
              <w:t>5225 Wiley Post Way, Suite 500</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8"/>
        </w:trPr>
        <w:tc>
          <w:tcPr>
            <w:tcW w:w="420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3"/>
              </w:rPr>
              <w:t>Salt Lake City, Utah</w:t>
            </w:r>
          </w:p>
        </w:tc>
        <w:tc>
          <w:tcPr>
            <w:tcW w:w="264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84116</w:t>
            </w:r>
          </w:p>
        </w:tc>
      </w:tr>
      <w:tr>
        <w:trPr>
          <w:trHeight w:val="230"/>
        </w:trPr>
        <w:tc>
          <w:tcPr>
            <w:tcW w:w="4200" w:type="dxa"/>
            <w:vAlign w:val="bottom"/>
            <w:tcBorders>
              <w:top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92"/>
              </w:rPr>
              <w:t>(Address of principal executive offices)</w:t>
            </w:r>
          </w:p>
        </w:tc>
        <w:tc>
          <w:tcPr>
            <w:tcW w:w="7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Pre-commencement communication pursuant to Rule 13e-4(c) under the Exchange Act (17 CFR 240.13e-4(c))</w:t>
            </w:r>
          </w:p>
        </w:tc>
      </w:tr>
      <w:tr>
        <w:trPr>
          <w:trHeight w:val="605"/>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120" w:type="dxa"/>
            <w:vAlign w:val="bottom"/>
          </w:tcPr>
          <w:p>
            <w:pPr>
              <w:spacing w:after="0"/>
              <w:rPr>
                <w:sz w:val="24"/>
                <w:szCs w:val="24"/>
                <w:color w:val="auto"/>
              </w:rPr>
            </w:pPr>
          </w:p>
        </w:tc>
      </w:tr>
      <w:tr>
        <w:trPr>
          <w:trHeight w:val="71"/>
        </w:trPr>
        <w:tc>
          <w:tcPr>
            <w:tcW w:w="14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1120" w:type="dxa"/>
            <w:vAlign w:val="bottom"/>
            <w:shd w:val="clear" w:color="auto" w:fill="808080"/>
          </w:tcPr>
          <w:p>
            <w:pPr>
              <w:spacing w:after="0"/>
              <w:rPr>
                <w:sz w:val="6"/>
                <w:szCs w:val="6"/>
                <w:color w:val="auto"/>
              </w:rPr>
            </w:pPr>
          </w:p>
        </w:tc>
      </w:tr>
      <w:tr>
        <w:trPr>
          <w:trHeight w:val="753"/>
        </w:trPr>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1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On October 30, 2008, ClearOne Communications, Inc. (the “Company”) issued a press release announcing its financial results for the quarter ended September 30, 2008. The full text of the Company’s press release is furnished herewith as Exhibit 99.1.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8200" w:type="dxa"/>
            <w:vAlign w:val="bottom"/>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1660" w:type="dxa"/>
            <w:vAlign w:val="bottom"/>
          </w:tcPr>
          <w:p>
            <w:pPr>
              <w:spacing w:after="0"/>
              <w:rPr>
                <w:sz w:val="20"/>
                <w:szCs w:val="20"/>
                <w:color w:val="auto"/>
              </w:rPr>
            </w:pPr>
          </w:p>
        </w:tc>
      </w:tr>
      <w:tr>
        <w:trPr>
          <w:trHeight w:val="459"/>
        </w:trPr>
        <w:tc>
          <w:tcPr>
            <w:tcW w:w="380" w:type="dxa"/>
            <w:vAlign w:val="bottom"/>
          </w:tcPr>
          <w:p>
            <w:pPr>
              <w:spacing w:after="0"/>
              <w:rPr>
                <w:sz w:val="20"/>
                <w:szCs w:val="20"/>
                <w:color w:val="auto"/>
              </w:rPr>
            </w:pPr>
            <w:r>
              <w:rPr>
                <w:rFonts w:ascii="Arial" w:cs="Arial" w:eastAsia="Arial" w:hAnsi="Arial"/>
                <w:sz w:val="18"/>
                <w:szCs w:val="18"/>
                <w:color w:val="auto"/>
              </w:rPr>
              <w:t>(d)</w:t>
            </w:r>
          </w:p>
        </w:tc>
        <w:tc>
          <w:tcPr>
            <w:tcW w:w="1180" w:type="dxa"/>
            <w:vAlign w:val="bottom"/>
          </w:tcPr>
          <w:p>
            <w:pPr>
              <w:ind w:left="340"/>
              <w:spacing w:after="0"/>
              <w:rPr>
                <w:sz w:val="20"/>
                <w:szCs w:val="20"/>
                <w:color w:val="auto"/>
              </w:rPr>
            </w:pPr>
            <w:r>
              <w:rPr>
                <w:rFonts w:ascii="Arial" w:cs="Arial" w:eastAsia="Arial" w:hAnsi="Arial"/>
                <w:sz w:val="18"/>
                <w:szCs w:val="18"/>
                <w:color w:val="auto"/>
              </w:rPr>
              <w:t>Exhibits.</w:t>
            </w:r>
          </w:p>
        </w:tc>
        <w:tc>
          <w:tcPr>
            <w:tcW w:w="82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66"/>
        </w:trPr>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8200" w:type="dxa"/>
            <w:vAlign w:val="bottom"/>
            <w:tcBorders>
              <w:bottom w:val="single" w:sz="8" w:color="auto"/>
            </w:tcBorders>
          </w:tcPr>
          <w:p>
            <w:pPr>
              <w:ind w:left="3560"/>
              <w:spacing w:after="0"/>
              <w:rPr>
                <w:sz w:val="20"/>
                <w:szCs w:val="20"/>
                <w:color w:val="auto"/>
              </w:rPr>
            </w:pPr>
            <w:r>
              <w:rPr>
                <w:rFonts w:ascii="Arial" w:cs="Arial" w:eastAsia="Arial" w:hAnsi="Arial"/>
                <w:sz w:val="18"/>
                <w:szCs w:val="18"/>
                <w:color w:val="auto"/>
              </w:rPr>
              <w:t>Title of Document</w:t>
            </w:r>
          </w:p>
        </w:tc>
        <w:tc>
          <w:tcPr>
            <w:tcW w:w="16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Location</w:t>
            </w:r>
          </w:p>
        </w:tc>
      </w:tr>
      <w:tr>
        <w:trPr>
          <w:trHeight w:val="230"/>
        </w:trPr>
        <w:tc>
          <w:tcPr>
            <w:tcW w:w="38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99.1</w:t>
            </w:r>
          </w:p>
        </w:tc>
        <w:tc>
          <w:tcPr>
            <w:tcW w:w="8200" w:type="dxa"/>
            <w:vAlign w:val="bottom"/>
          </w:tcPr>
          <w:p>
            <w:pPr>
              <w:ind w:left="400"/>
              <w:spacing w:after="0"/>
              <w:rPr>
                <w:sz w:val="20"/>
                <w:szCs w:val="20"/>
                <w:color w:val="auto"/>
              </w:rPr>
            </w:pPr>
            <w:r>
              <w:rPr>
                <w:rFonts w:ascii="Arial" w:cs="Arial" w:eastAsia="Arial" w:hAnsi="Arial"/>
                <w:sz w:val="18"/>
                <w:szCs w:val="18"/>
                <w:color w:val="auto"/>
                <w:w w:val="93"/>
              </w:rPr>
              <w:t>Press Release dated October 30, 2008 captioned “ClearOne Reports Fiscal 2009 First Quarter Results.”</w:t>
            </w:r>
          </w:p>
        </w:tc>
        <w:tc>
          <w:tcPr>
            <w:tcW w:w="1660" w:type="dxa"/>
            <w:vAlign w:val="bottom"/>
          </w:tcPr>
          <w:p>
            <w:pPr>
              <w:jc w:val="center"/>
              <w:ind w:right="50"/>
              <w:spacing w:after="0"/>
              <w:rPr>
                <w:sz w:val="20"/>
                <w:szCs w:val="20"/>
                <w:color w:val="auto"/>
              </w:rPr>
            </w:pPr>
            <w:r>
              <w:rPr>
                <w:rFonts w:ascii="Arial" w:cs="Arial" w:eastAsia="Arial" w:hAnsi="Arial"/>
                <w:sz w:val="18"/>
                <w:szCs w:val="18"/>
                <w:color w:val="auto"/>
                <w:w w:val="97"/>
              </w:rPr>
              <w:t>This Filing</w:t>
            </w: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300" w:val="left"/>
          <w:tab w:leader="none" w:pos="5060" w:val="left"/>
        </w:tabs>
        <w:rPr>
          <w:sz w:val="20"/>
          <w:szCs w:val="20"/>
          <w:color w:val="auto"/>
        </w:rPr>
      </w:pPr>
      <w:r>
        <w:rPr>
          <w:rFonts w:ascii="Arial" w:cs="Arial" w:eastAsia="Arial" w:hAnsi="Arial"/>
          <w:sz w:val="18"/>
          <w:szCs w:val="18"/>
          <w:color w:val="auto"/>
        </w:rPr>
        <w:t>Date: October 30,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4022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209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Greg A. LeClaire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13"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99.1</w:t>
      </w:r>
    </w:p>
    <w:p>
      <w:pPr>
        <w:spacing w:after="0" w:line="19" w:lineRule="exact"/>
        <w:rPr>
          <w:sz w:val="20"/>
          <w:szCs w:val="20"/>
          <w:color w:val="auto"/>
        </w:rPr>
      </w:pPr>
    </w:p>
    <w:p>
      <w:pPr>
        <w:jc w:val="center"/>
        <w:ind w:right="8380"/>
        <w:spacing w:after="0"/>
        <w:rPr>
          <w:sz w:val="20"/>
          <w:szCs w:val="20"/>
          <w:color w:val="auto"/>
        </w:rPr>
      </w:pPr>
      <w:r>
        <w:rPr>
          <w:rFonts w:ascii="Arial" w:cs="Arial" w:eastAsia="Arial" w:hAnsi="Arial"/>
          <w:sz w:val="16"/>
          <w:szCs w:val="16"/>
          <w:color w:val="auto"/>
        </w:rPr>
        <w:t>Contact: ClearOne Communications, Inc.</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(801) 303-3555</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REPORTS FISCAL 2009 FIRST QUARTER RESULTS</w:t>
      </w:r>
    </w:p>
    <w:p>
      <w:pPr>
        <w:spacing w:after="0" w:line="25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Salt Lake City, UT –October 30, 2008 – </w:t>
      </w:r>
      <w:r>
        <w:rPr>
          <w:rFonts w:ascii="Arial" w:cs="Arial" w:eastAsia="Arial" w:hAnsi="Arial"/>
          <w:sz w:val="18"/>
          <w:szCs w:val="18"/>
          <w:color w:val="auto"/>
        </w:rPr>
        <w:t>ClearOne Communications, Inc. (NASDAQ: CLRO) today reported financial results for the first quarter of fiscal</w:t>
      </w:r>
      <w:r>
        <w:rPr>
          <w:rFonts w:ascii="Arial" w:cs="Arial" w:eastAsia="Arial" w:hAnsi="Arial"/>
          <w:sz w:val="18"/>
          <w:szCs w:val="18"/>
          <w:b w:val="1"/>
          <w:bCs w:val="1"/>
          <w:color w:val="auto"/>
        </w:rPr>
        <w:t xml:space="preserve"> </w:t>
      </w:r>
      <w:r>
        <w:rPr>
          <w:rFonts w:ascii="Arial" w:cs="Arial" w:eastAsia="Arial" w:hAnsi="Arial"/>
          <w:sz w:val="18"/>
          <w:szCs w:val="18"/>
          <w:color w:val="auto"/>
        </w:rPr>
        <w:t>2009 ended September 30, 2008.</w:t>
      </w:r>
    </w:p>
    <w:p>
      <w:pPr>
        <w:spacing w:after="0" w:line="19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Revenue for the first three months of fiscal 2009 increased 9% to $10.3 million from $9.4 million in the same quarter of last year. Gross profit grew to $6.6 million, or 65% of revenues, from $5.1 million, or 54% of revenues, for the prior year period. Operating income rose to $1.8 million from an operating loss of $1.1 million in the same quarter last year, which included the establishment of a $1.8 million accrual for a contingent liability. Net income advanced to $1.1 million, or $0.11 per diluted share, from a net loss of $924,000, or $0.08 per diluted share, for the same period last year.</w:t>
      </w:r>
    </w:p>
    <w:p>
      <w:pPr>
        <w:spacing w:after="0" w:line="200" w:lineRule="exact"/>
        <w:rPr>
          <w:sz w:val="20"/>
          <w:szCs w:val="20"/>
          <w:color w:val="auto"/>
        </w:rPr>
      </w:pPr>
    </w:p>
    <w:p>
      <w:pPr>
        <w:spacing w:after="0" w:line="24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are pleased to have grown our top line, particularly in light of the current economic environment,” said Zee Hakimoglu, president, chief executive officer and chairman of ClearOne. “Gross profit, both in dollar amount and as a percentage of revenue, significantly improved in the quarter due to product cost efficiencies, lower inventory obsolescence reserve requirements and lower unfavorable manufacturing variances than in last year’s first quarter.”</w:t>
      </w:r>
    </w:p>
    <w:p>
      <w:pPr>
        <w:spacing w:after="0" w:line="200" w:lineRule="exact"/>
        <w:rPr>
          <w:sz w:val="20"/>
          <w:szCs w:val="20"/>
          <w:color w:val="auto"/>
        </w:rPr>
      </w:pPr>
    </w:p>
    <w:p>
      <w:pPr>
        <w:spacing w:after="0" w:line="2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 September 30, 2008, the company had cash, cash equivalents, and investments of $13.3 million and no long-term debt. During the first fiscal quarter of 2009, ClearOne used approximately $6.8 million of cash to repurchase 1,342,620 of its shares in a tender offer.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2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statements regarding the company’s ability to successfully commercialize newer products and enter new markets,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http://www.b2i.us/irpass.asp?BzID=509&amp;to=ea&amp;s=0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TABLES FOLLOW</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3" w:name="page4"/>
    <w:bookmarkEnd w:id="3"/>
    <w:p>
      <w:pPr>
        <w:jc w:val="center"/>
        <w:ind w:right="80"/>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of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(audited)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September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rPr>
              <w:t>30,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June 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2008</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6220" w:type="dxa"/>
            <w:vAlign w:val="bottom"/>
          </w:tcPr>
          <w:p>
            <w:pPr>
              <w:ind w:left="3120"/>
              <w:spacing w:after="0" w:line="201" w:lineRule="exact"/>
              <w:rPr>
                <w:sz w:val="20"/>
                <w:szCs w:val="20"/>
                <w:color w:val="auto"/>
              </w:rPr>
            </w:pPr>
            <w:r>
              <w:rPr>
                <w:rFonts w:ascii="Arial" w:cs="Arial" w:eastAsia="Arial" w:hAnsi="Arial"/>
                <w:sz w:val="18"/>
                <w:szCs w:val="18"/>
                <w:b w:val="1"/>
                <w:bCs w:val="1"/>
                <w:color w:val="auto"/>
              </w:rPr>
              <w:t>ASSETS</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80" w:type="dxa"/>
            <w:vAlign w:val="bottom"/>
            <w:gridSpan w:val="2"/>
          </w:tcPr>
          <w:p>
            <w:pPr>
              <w:ind w:left="1140"/>
              <w:spacing w:after="0"/>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5,922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 for doubtful accounts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380"/>
              <w:spacing w:after="0"/>
              <w:rPr>
                <w:sz w:val="20"/>
                <w:szCs w:val="20"/>
                <w:color w:val="auto"/>
              </w:rPr>
            </w:pPr>
            <w:r>
              <w:rPr>
                <w:rFonts w:ascii="Arial" w:cs="Arial" w:eastAsia="Arial" w:hAnsi="Arial"/>
                <w:sz w:val="18"/>
                <w:szCs w:val="18"/>
                <w:color w:val="auto"/>
              </w:rPr>
              <w:t>of $110 and $87, respectively</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6,786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7,238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 bond for preliminary injunction</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Note Receivable</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2,773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8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28,885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11,168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Intangible assets, net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tax asset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 assets</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2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1520"/>
              <w:spacing w:after="0"/>
              <w:rPr>
                <w:sz w:val="20"/>
                <w:szCs w:val="20"/>
                <w:color w:val="auto"/>
              </w:rPr>
            </w:pPr>
            <w:r>
              <w:rPr>
                <w:rFonts w:ascii="Arial" w:cs="Arial" w:eastAsia="Arial" w:hAnsi="Arial"/>
                <w:sz w:val="18"/>
                <w:szCs w:val="18"/>
                <w:b w:val="1"/>
                <w:bCs w:val="1"/>
                <w:color w:val="auto"/>
              </w:rPr>
              <w:t>LIABILITIES AND SHAREHOLDERS' EQUITY</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Current liabilities: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Accrued taxes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Deferred product revenue</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8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12,616</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12,160</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8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26,477</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32,140</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39,093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44,300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380" w:type="dxa"/>
            <w:vAlign w:val="bottom"/>
            <w:gridSpan w:val="2"/>
            <w:vMerge w:val="restart"/>
          </w:tcPr>
          <w:p>
            <w:pPr>
              <w:jc w:val="right"/>
              <w:ind w:right="1530"/>
              <w:spacing w:after="0"/>
              <w:rPr>
                <w:sz w:val="20"/>
                <w:szCs w:val="20"/>
                <w:color w:val="auto"/>
              </w:rPr>
            </w:pPr>
            <w:r>
              <w:rPr>
                <w:rFonts w:ascii="Arial" w:cs="Arial" w:eastAsia="Arial" w:hAnsi="Arial"/>
                <w:sz w:val="18"/>
                <w:szCs w:val="18"/>
                <w:color w:val="auto"/>
              </w:rPr>
              <w:t>2</w:t>
            </w: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738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6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20" w:type="dxa"/>
            <w:vAlign w:val="bottom"/>
          </w:tcPr>
          <w:p>
            <w:pPr>
              <w:jc w:val="center"/>
              <w:ind w:left="1910"/>
              <w:spacing w:after="0"/>
              <w:rPr>
                <w:sz w:val="20"/>
                <w:szCs w:val="20"/>
                <w:color w:val="auto"/>
              </w:rPr>
            </w:pPr>
            <w:r>
              <w:rPr>
                <w:rFonts w:ascii="Arial" w:cs="Arial" w:eastAsia="Arial" w:hAnsi="Arial"/>
                <w:sz w:val="18"/>
                <w:szCs w:val="18"/>
                <w:b w:val="1"/>
                <w:bCs w:val="1"/>
                <w:color w:val="auto"/>
              </w:rPr>
              <w:t>CLEARONE COMMUNICATIONS, INC. AND SUBSIDIARIES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jc w:val="center"/>
              <w:ind w:left="191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jc w:val="center"/>
              <w:ind w:left="1930"/>
              <w:spacing w:after="0"/>
              <w:rPr>
                <w:sz w:val="20"/>
                <w:szCs w:val="20"/>
                <w:color w:val="auto"/>
              </w:rPr>
            </w:pPr>
            <w:r>
              <w:rPr>
                <w:rFonts w:ascii="Arial" w:cs="Arial" w:eastAsia="Arial" w:hAnsi="Arial"/>
                <w:sz w:val="18"/>
                <w:szCs w:val="18"/>
                <w:b w:val="1"/>
                <w:bCs w:val="1"/>
                <w:color w:val="auto"/>
                <w:w w:val="88"/>
              </w:rPr>
              <w:t>(in thousands of dollars, except per share amounts)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20" w:type="dxa"/>
            <w:vAlign w:val="bottom"/>
          </w:tcPr>
          <w:p>
            <w:pPr>
              <w:jc w:val="center"/>
              <w:ind w:left="191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6"/>
            <w:vMerge w:val="restart"/>
          </w:tcPr>
          <w:p>
            <w:pPr>
              <w:jc w:val="right"/>
              <w:ind w:right="540"/>
              <w:spacing w:after="0"/>
              <w:rPr>
                <w:sz w:val="20"/>
                <w:szCs w:val="20"/>
                <w:color w:val="auto"/>
              </w:rPr>
            </w:pPr>
            <w:r>
              <w:rPr>
                <w:rFonts w:ascii="Arial" w:cs="Arial" w:eastAsia="Arial" w:hAnsi="Arial"/>
                <w:sz w:val="18"/>
                <w:szCs w:val="18"/>
                <w:b w:val="1"/>
                <w:bCs w:val="1"/>
                <w:color w:val="auto"/>
              </w:rPr>
              <w:t>Three Months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2"/>
              </w:rPr>
              <w:t>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10,258</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Sales &amp; Marketing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product development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income, net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from discontinued operations</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 (loss)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2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10,112,787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10,961,256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10,206,652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11,072,565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sectPr>
      <w:pgSz w:w="11900" w:h="16838" w:orient="portrait"/>
      <w:cols w:equalWidth="0" w:num="1">
        <w:col w:w="9140"/>
      </w:cols>
      <w:pgMar w:left="1380" w:top="756"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2019-12-11T14:48:21Z</dcterms:created>
  <dcterms:modified xsi:type="dcterms:W3CDTF">2019-12-11T14:48:21Z</dcterms:modified>
</cp:coreProperties>
</file>