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HENDRICKS LARRY</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300" w:type="dxa"/>
            <w:vAlign w:val="bottom"/>
            <w:gridSpan w:val="6"/>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CLEARONE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CLRO</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7"/>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05/17/2021</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5225 WILEY POST WAY, SUITE 500</w:t>
            </w: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2020" w:type="dxa"/>
            <w:vAlign w:val="bottom"/>
            <w:tcBorders>
              <w:bottom w:val="single" w:sz="8" w:color="2C2C2C"/>
            </w:tcBorders>
            <w:gridSpan w:val="4"/>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2840" w:type="dxa"/>
            <w:vAlign w:val="bottom"/>
            <w:tcBorders>
              <w:bottom w:val="single" w:sz="8" w:color="2C2C2C"/>
            </w:tcBorders>
            <w:gridSpan w:val="5"/>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5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20" w:type="dxa"/>
            <w:vAlign w:val="bottom"/>
            <w:gridSpan w:val="8"/>
            <w:vMerge w:val="continue"/>
          </w:tcPr>
          <w:p>
            <w:pPr>
              <w:spacing w:after="0"/>
              <w:rPr>
                <w:sz w:val="11"/>
                <w:szCs w:val="11"/>
                <w:color w:val="auto"/>
              </w:rPr>
            </w:pPr>
          </w:p>
        </w:tc>
        <w:tc>
          <w:tcPr>
            <w:tcW w:w="240" w:type="dxa"/>
            <w:vAlign w:val="bottom"/>
          </w:tcPr>
          <w:p>
            <w:pPr>
              <w:spacing w:after="0"/>
              <w:rPr>
                <w:sz w:val="11"/>
                <w:szCs w:val="11"/>
                <w:color w:val="auto"/>
              </w:rPr>
            </w:pPr>
          </w:p>
        </w:tc>
        <w:tc>
          <w:tcPr>
            <w:tcW w:w="34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gridSpan w:val="2"/>
          </w:tcPr>
          <w:p>
            <w:pPr>
              <w:ind w:left="60"/>
              <w:spacing w:after="0" w:line="147" w:lineRule="exact"/>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SALT LAKE</w:t>
            </w:r>
          </w:p>
        </w:tc>
        <w:tc>
          <w:tcPr>
            <w:tcW w:w="1220" w:type="dxa"/>
            <w:vAlign w:val="bottom"/>
            <w:gridSpan w:val="3"/>
            <w:vMerge w:val="restart"/>
          </w:tcPr>
          <w:p>
            <w:pPr>
              <w:spacing w:after="0"/>
              <w:rPr>
                <w:sz w:val="20"/>
                <w:szCs w:val="20"/>
                <w:color w:val="auto"/>
              </w:rPr>
            </w:pPr>
            <w:r>
              <w:rPr>
                <w:rFonts w:ascii="Arial" w:cs="Arial" w:eastAsia="Arial" w:hAnsi="Arial"/>
                <w:sz w:val="17"/>
                <w:szCs w:val="17"/>
                <w:color w:val="0000FF"/>
              </w:rPr>
              <w:t>UT</w:t>
            </w:r>
          </w:p>
        </w:tc>
        <w:tc>
          <w:tcPr>
            <w:tcW w:w="1100" w:type="dxa"/>
            <w:vAlign w:val="bottom"/>
            <w:vMerge w:val="restart"/>
          </w:tcPr>
          <w:p>
            <w:pPr>
              <w:spacing w:after="0"/>
              <w:rPr>
                <w:sz w:val="20"/>
                <w:szCs w:val="20"/>
                <w:color w:val="auto"/>
              </w:rPr>
            </w:pPr>
            <w:r>
              <w:rPr>
                <w:rFonts w:ascii="Arial" w:cs="Arial" w:eastAsia="Arial" w:hAnsi="Arial"/>
                <w:sz w:val="17"/>
                <w:szCs w:val="17"/>
                <w:color w:val="0000FF"/>
              </w:rPr>
              <w:t>84116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CITY</w:t>
            </w:r>
          </w:p>
        </w:tc>
        <w:tc>
          <w:tcPr>
            <w:tcW w:w="6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700" w:type="dxa"/>
            <w:vAlign w:val="bottom"/>
            <w:tcBorders>
              <w:top w:val="single" w:sz="8" w:color="2C2C2C"/>
            </w:tcBorders>
            <w:gridSpan w:val="18"/>
          </w:tcPr>
          <w:p>
            <w:pPr>
              <w:ind w:left="2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700" w:type="dxa"/>
            <w:vAlign w:val="bottom"/>
            <w:tcBorders>
              <w:top w:val="single" w:sz="8" w:color="2C2C2C"/>
            </w:tcBorders>
            <w:gridSpan w:val="18"/>
          </w:tcPr>
          <w:p>
            <w:pPr>
              <w:ind w:left="4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8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Options</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2.3</w:t>
            </w:r>
          </w:p>
        </w:tc>
        <w:tc>
          <w:tcPr>
            <w:tcW w:w="140" w:type="dxa"/>
            <w:vAlign w:val="bottom"/>
          </w:tcPr>
          <w:p>
            <w:pPr>
              <w:spacing w:after="0"/>
              <w:rPr>
                <w:sz w:val="16"/>
                <w:szCs w:val="16"/>
                <w:color w:val="auto"/>
              </w:rPr>
            </w:pPr>
          </w:p>
        </w:tc>
        <w:tc>
          <w:tcPr>
            <w:tcW w:w="1080" w:type="dxa"/>
            <w:vAlign w:val="bottom"/>
            <w:gridSpan w:val="2"/>
          </w:tcPr>
          <w:p>
            <w:pPr>
              <w:jc w:val="right"/>
              <w:ind w:right="156"/>
              <w:spacing w:after="0"/>
              <w:rPr>
                <w:sz w:val="20"/>
                <w:szCs w:val="20"/>
                <w:color w:val="auto"/>
              </w:rPr>
            </w:pPr>
            <w:r>
              <w:rPr>
                <w:rFonts w:ascii="Arial" w:cs="Arial" w:eastAsia="Arial" w:hAnsi="Arial"/>
                <w:sz w:val="13"/>
                <w:szCs w:val="13"/>
                <w:color w:val="0000FF"/>
              </w:rPr>
              <w:t>05/17/2021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05/17/2027</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10,000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48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One-third of the options granted will vest on the first anniversary of the date of grant, which is May 17, 2022. The remaining options will vest in equal monthly increments over the subsequent 24-month period.</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/s/ Larry Hendricks</w:t>
            </w:r>
          </w:p>
        </w:tc>
        <w:tc>
          <w:tcPr>
            <w:tcW w:w="9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05/19/2021</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7641"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2021-05-19T16:03:40Z</dcterms:created>
  <dcterms:modified xsi:type="dcterms:W3CDTF">2021-05-19T16:03:40Z</dcterms:modified>
</cp:coreProperties>
</file>