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u w:val="single" w:color="auto"/>
          <w:color w:val="auto"/>
        </w:rPr>
        <w:t>November 8, 2017</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ClearOne,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4"/>
              </w:rPr>
              <w:t>Utah</w:t>
            </w:r>
          </w:p>
        </w:tc>
        <w:tc>
          <w:tcPr>
            <w:tcW w:w="274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w w:val="90"/>
              </w:rPr>
              <w:t>001-33660</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1"/>
              </w:rPr>
              <w:t>87-0398877</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w:t>
            </w: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gridSpan w:val="3"/>
          </w:tcPr>
          <w:p>
            <w:pPr>
              <w:jc w:val="center"/>
              <w:ind w:right="1140"/>
              <w:spacing w:after="0" w:line="201" w:lineRule="exact"/>
              <w:rPr>
                <w:sz w:val="20"/>
                <w:szCs w:val="20"/>
                <w:color w:val="auto"/>
              </w:rPr>
            </w:pPr>
            <w:r>
              <w:rPr>
                <w:rFonts w:ascii="Arial" w:cs="Arial" w:eastAsia="Arial" w:hAnsi="Arial"/>
                <w:sz w:val="18"/>
                <w:szCs w:val="18"/>
                <w:color w:val="auto"/>
                <w:w w:val="93"/>
              </w:rPr>
              <w:t>(Commission</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660" w:type="dxa"/>
            <w:vAlign w:val="bottom"/>
          </w:tcPr>
          <w:p>
            <w:pPr>
              <w:jc w:val="center"/>
              <w:spacing w:after="0"/>
              <w:rPr>
                <w:sz w:val="20"/>
                <w:szCs w:val="20"/>
                <w:color w:val="auto"/>
              </w:rPr>
            </w:pPr>
            <w:r>
              <w:rPr>
                <w:rFonts w:ascii="Arial" w:cs="Arial" w:eastAsia="Arial" w:hAnsi="Arial"/>
                <w:sz w:val="18"/>
                <w:szCs w:val="18"/>
                <w:color w:val="auto"/>
                <w:w w:val="94"/>
              </w:rPr>
              <w:t>of Incorporation)</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gridSpan w:val="4"/>
          </w:tcPr>
          <w:p>
            <w:pPr>
              <w:jc w:val="center"/>
              <w:ind w:right="1360"/>
              <w:spacing w:after="0"/>
              <w:rPr>
                <w:sz w:val="20"/>
                <w:szCs w:val="20"/>
                <w:color w:val="auto"/>
              </w:rPr>
            </w:pPr>
            <w:r>
              <w:rPr>
                <w:rFonts w:ascii="Arial" w:cs="Arial" w:eastAsia="Arial" w:hAnsi="Arial"/>
                <w:sz w:val="18"/>
                <w:szCs w:val="18"/>
                <w:color w:val="auto"/>
                <w:w w:val="94"/>
              </w:rPr>
              <w:t>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78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91"/>
              </w:rPr>
              <w:t>5225 Wiley Post Way, Suite 500, Salt Lake City, Utah</w:t>
            </w:r>
          </w:p>
        </w:tc>
        <w:tc>
          <w:tcPr>
            <w:tcW w:w="3640" w:type="dxa"/>
            <w:vAlign w:val="bottom"/>
          </w:tcPr>
          <w:p>
            <w:pPr>
              <w:jc w:val="right"/>
              <w:ind w:right="1550"/>
              <w:spacing w:after="0"/>
              <w:rPr>
                <w:sz w:val="20"/>
                <w:szCs w:val="20"/>
                <w:color w:val="auto"/>
              </w:rPr>
            </w:pPr>
            <w:r>
              <w:rPr>
                <w:rFonts w:ascii="Arial" w:cs="Arial" w:eastAsia="Arial" w:hAnsi="Arial"/>
                <w:sz w:val="18"/>
                <w:szCs w:val="18"/>
                <w:b w:val="1"/>
                <w:bCs w:val="1"/>
                <w:color w:val="auto"/>
              </w:rPr>
              <w:t>84116</w:t>
            </w:r>
          </w:p>
        </w:tc>
      </w:tr>
      <w:tr>
        <w:trPr>
          <w:trHeight w:val="230"/>
        </w:trPr>
        <w:tc>
          <w:tcPr>
            <w:tcW w:w="7540" w:type="dxa"/>
            <w:vAlign w:val="bottom"/>
            <w:tcBorders>
              <w:top w:val="single" w:sz="8" w:color="auto"/>
            </w:tcBorders>
            <w:gridSpan w:val="5"/>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240" w:type="dxa"/>
            <w:vAlign w:val="bottom"/>
            <w:gridSpan w:val="2"/>
          </w:tcPr>
          <w:p>
            <w:pPr>
              <w:spacing w:after="0"/>
              <w:rPr>
                <w:sz w:val="20"/>
                <w:szCs w:val="20"/>
                <w:color w:val="auto"/>
              </w:rPr>
            </w:pPr>
          </w:p>
        </w:tc>
        <w:tc>
          <w:tcPr>
            <w:tcW w:w="36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1"/>
              </w:rPr>
              <w:t>(Zip Code)</w:t>
            </w:r>
          </w:p>
        </w:tc>
      </w:tr>
      <w:tr>
        <w:trPr>
          <w:trHeight w:val="377"/>
        </w:trPr>
        <w:tc>
          <w:tcPr>
            <w:tcW w:w="3660" w:type="dxa"/>
            <w:vAlign w:val="bottom"/>
          </w:tcPr>
          <w:p>
            <w:pPr>
              <w:spacing w:after="0"/>
              <w:rPr>
                <w:sz w:val="24"/>
                <w:szCs w:val="24"/>
                <w:color w:val="auto"/>
              </w:rPr>
            </w:pPr>
          </w:p>
        </w:tc>
        <w:tc>
          <w:tcPr>
            <w:tcW w:w="2740" w:type="dxa"/>
            <w:vAlign w:val="bottom"/>
            <w:gridSpan w:val="3"/>
          </w:tcPr>
          <w:p>
            <w:pPr>
              <w:jc w:val="center"/>
              <w:ind w:left="1290"/>
              <w:spacing w:after="0"/>
              <w:rPr>
                <w:sz w:val="20"/>
                <w:szCs w:val="20"/>
                <w:color w:val="auto"/>
              </w:rPr>
            </w:pPr>
            <w:r>
              <w:rPr>
                <w:rFonts w:ascii="Arial" w:cs="Arial" w:eastAsia="Arial" w:hAnsi="Arial"/>
                <w:sz w:val="18"/>
                <w:szCs w:val="18"/>
                <w:b w:val="1"/>
                <w:bCs w:val="1"/>
                <w:color w:val="auto"/>
                <w:w w:val="91"/>
              </w:rPr>
              <w:t>+1 (801) 975-7200</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
        </w:trPr>
        <w:tc>
          <w:tcPr>
            <w:tcW w:w="36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237"/>
        </w:trPr>
        <w:tc>
          <w:tcPr>
            <w:tcW w:w="3660" w:type="dxa"/>
            <w:vAlign w:val="bottom"/>
          </w:tcPr>
          <w:p>
            <w:pPr>
              <w:spacing w:after="0"/>
              <w:rPr>
                <w:sz w:val="20"/>
                <w:szCs w:val="20"/>
                <w:color w:val="auto"/>
              </w:rPr>
            </w:pPr>
          </w:p>
        </w:tc>
        <w:tc>
          <w:tcPr>
            <w:tcW w:w="4120" w:type="dxa"/>
            <w:vAlign w:val="bottom"/>
            <w:gridSpan w:val="6"/>
          </w:tcPr>
          <w:p>
            <w:pPr>
              <w:jc w:val="center"/>
              <w:ind w:right="20"/>
              <w:spacing w:after="0"/>
              <w:rPr>
                <w:sz w:val="20"/>
                <w:szCs w:val="20"/>
                <w:color w:val="auto"/>
              </w:rPr>
            </w:pPr>
            <w:r>
              <w:rPr>
                <w:rFonts w:ascii="Arial" w:cs="Arial" w:eastAsia="Arial" w:hAnsi="Arial"/>
                <w:sz w:val="18"/>
                <w:szCs w:val="18"/>
                <w:color w:val="auto"/>
                <w:w w:val="90"/>
              </w:rPr>
              <w:t>(Registrant’s telephone number, including area code)</w:t>
            </w:r>
          </w:p>
        </w:tc>
        <w:tc>
          <w:tcPr>
            <w:tcW w:w="364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 pursuant to Rule 13e-4(c) under the Exchange Act (17 CFR 240.13e-4(c))</w:t>
      </w:r>
    </w:p>
    <w:p>
      <w:pPr>
        <w:spacing w:after="0" w:line="21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8, 2017, ClearOne, Inc. (the “Company”) issued a press release announcing its financial results for the three and nine months ended September 30, 2017. The full text of the press release is attached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17145</wp:posOffset>
            </wp:positionV>
            <wp:extent cx="6508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0875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Exhibit 99.1</w:t>
      </w:r>
      <w:r>
        <w:rPr>
          <w:sz w:val="20"/>
          <w:szCs w:val="20"/>
          <w:color w:val="auto"/>
        </w:rPr>
        <w:tab/>
      </w:r>
      <w:hyperlink w:anchor="page6">
        <w:r>
          <w:rPr>
            <w:rFonts w:ascii="Arial" w:cs="Arial" w:eastAsia="Arial" w:hAnsi="Arial"/>
            <w:sz w:val="16"/>
            <w:szCs w:val="16"/>
            <w:u w:val="single" w:color="auto"/>
            <w:color w:val="0000EE"/>
          </w:rPr>
          <w:t>Press Release dated November 8, 2017 titled “ClearOne Reports Third Quarter 2017 Financial Results”.</w:t>
        </w:r>
      </w:hyperlink>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information included in this Current Report on Form 8-K (including the exhibit hereto) is being furnished under Item 2.02, “Results of Operations and Financial Condition” and Item 9.01 “Financial Statements and Exhibits” of Form 8-K. As such, the information (including the exhibit) herein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 This Current Report (including the exhibit hereto) will not be deemed an admission as to the materiality of any information required to be disclosed solely to satisfy the requirements of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CLEARONE, INC.</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8, 2017</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17145</wp:posOffset>
            </wp:positionV>
            <wp:extent cx="65087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08750" cy="17145"/>
                    </a:xfrm>
                    <a:prstGeom prst="rect">
                      <a:avLst/>
                    </a:prstGeom>
                    <a:noFill/>
                  </pic:spPr>
                </pic:pic>
              </a:graphicData>
            </a:graphic>
          </wp:anchor>
        </w:drawing>
      </w:r>
    </w:p>
    <w:p>
      <w:pPr>
        <w:spacing w:after="0" w:line="236" w:lineRule="exact"/>
        <w:rPr>
          <w:sz w:val="20"/>
          <w:szCs w:val="20"/>
          <w:color w:val="auto"/>
        </w:rPr>
      </w:pPr>
    </w:p>
    <w:p>
      <w:pPr>
        <w:spacing w:after="0"/>
        <w:tabs>
          <w:tab w:leader="none" w:pos="1140" w:val="left"/>
        </w:tabs>
        <w:rPr>
          <w:rFonts w:ascii="Arial" w:cs="Arial" w:eastAsia="Arial" w:hAnsi="Arial"/>
          <w:sz w:val="16"/>
          <w:szCs w:val="16"/>
          <w:u w:val="single" w:color="auto"/>
          <w:color w:val="0000EE"/>
        </w:rPr>
      </w:pPr>
      <w:r>
        <w:rPr>
          <w:rFonts w:ascii="Arial" w:cs="Arial" w:eastAsia="Arial" w:hAnsi="Arial"/>
          <w:sz w:val="18"/>
          <w:szCs w:val="18"/>
          <w:color w:val="auto"/>
        </w:rPr>
        <w:t>Exhibit 99.1</w:t>
      </w:r>
      <w:r>
        <w:rPr>
          <w:sz w:val="20"/>
          <w:szCs w:val="20"/>
          <w:color w:val="auto"/>
        </w:rPr>
        <w:tab/>
      </w:r>
      <w:hyperlink w:anchor="page6">
        <w:r>
          <w:rPr>
            <w:rFonts w:ascii="Arial" w:cs="Arial" w:eastAsia="Arial" w:hAnsi="Arial"/>
            <w:sz w:val="16"/>
            <w:szCs w:val="16"/>
            <w:u w:val="single" w:color="auto"/>
            <w:color w:val="0000EE"/>
          </w:rPr>
          <w:t>Press Release dated August 9, 2017 titled “ClearOne Reports Second Quarter 2017 Financial Results”.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Reports Third Quarter 2017 Financial Results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Increases Video Products Revenue 56% Sequentially and 66% Year-over-Year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Gross margin improves to 62% in Q3 from 59% in Q2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Continues to lead Global Audio Conferencing Endpoints Market with 53.8% share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SALT LAKE CITY, UTAH – Nov. 8, 2017 – ClearOne (NASDAQ: CLRO), a global provider of audio and visual communication solutions, reported financial results for the three months and nine months ended September 30, 2017.</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third quarter, we delivered several sequential improvements,” said Zee Hakimoglu, president and chief executive officer. “The total revenue increase was driven by a large order that included a mix of video and pro-audio products with video products dominating the mix, demonstrating our total solution</w:t>
      </w:r>
    </w:p>
    <w:p>
      <w:pPr>
        <w:jc w:val="both"/>
        <w:spacing w:after="0" w:line="217" w:lineRule="auto"/>
        <w:rPr>
          <w:sz w:val="20"/>
          <w:szCs w:val="20"/>
          <w:color w:val="auto"/>
        </w:rPr>
      </w:pPr>
      <w:r>
        <w:rPr>
          <w:rFonts w:ascii="Arial" w:cs="Arial" w:eastAsia="Arial" w:hAnsi="Arial"/>
          <w:sz w:val="18"/>
          <w:szCs w:val="18"/>
          <w:color w:val="auto"/>
        </w:rPr>
        <w:t>strategy. The percentage of Converge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 2 (CP2) in our professional audio revenue mix increased. Also, video product revenue grew 56% as we continue to capitalize on the migration to software-based video conferencing applications. We remain very confident in our product set, which continues to receive awards. Going into the fourth quarter, we are confident 2018 will shape up to be a better year.”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Frost &amp; Sullivan recognizes ClearOne.</w:t>
      </w:r>
    </w:p>
    <w:p>
      <w:pPr>
        <w:spacing w:after="0" w:line="23" w:lineRule="exact"/>
        <w:rPr>
          <w:sz w:val="20"/>
          <w:szCs w:val="20"/>
          <w:color w:val="auto"/>
        </w:rPr>
      </w:pPr>
    </w:p>
    <w:p>
      <w:pPr>
        <w:jc w:val="both"/>
        <w:ind w:left="66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ClearOne received the </w:t>
      </w:r>
      <w:r>
        <w:rPr>
          <w:rFonts w:ascii="Arial" w:cs="Arial" w:eastAsia="Arial" w:hAnsi="Arial"/>
          <w:sz w:val="18"/>
          <w:szCs w:val="18"/>
          <w:b w:val="1"/>
          <w:bCs w:val="1"/>
          <w:color w:val="auto"/>
        </w:rPr>
        <w:t>2017 Award for Converged Audio and Video Conferencing Competitive Strategy Innovation and Leadership</w:t>
      </w:r>
      <w:r>
        <w:rPr>
          <w:rFonts w:ascii="Arial" w:cs="Arial" w:eastAsia="Arial" w:hAnsi="Arial"/>
          <w:sz w:val="18"/>
          <w:szCs w:val="18"/>
          <w:color w:val="auto"/>
        </w:rPr>
        <w:t xml:space="preserve"> in September</w:t>
      </w:r>
      <w:r>
        <w:rPr>
          <w:rFonts w:ascii="Arial" w:cs="Arial" w:eastAsia="Arial" w:hAnsi="Arial"/>
          <w:sz w:val="18"/>
          <w:szCs w:val="18"/>
          <w:b w:val="1"/>
          <w:bCs w:val="1"/>
          <w:color w:val="auto"/>
        </w:rPr>
        <w:t>.</w:t>
      </w:r>
      <w:r>
        <w:rPr>
          <w:rFonts w:ascii="Arial" w:cs="Arial" w:eastAsia="Arial" w:hAnsi="Arial"/>
          <w:sz w:val="18"/>
          <w:szCs w:val="18"/>
          <w:color w:val="auto"/>
        </w:rPr>
        <w:t xml:space="preserve"> This award cited the company’s diverse video collaboration product and services portfolio for its ability to cater to businesses of varying sizes, industries, and technology requirements with a high degree of customization. The robust breadth and depth of ClearOne’s audio conferencing solutions, visual collaboration systems, and feature-rich cloud unified communications and collaboration services position ClearOne as an all-inclusive provider with end-to-end offerings.</w:t>
      </w:r>
    </w:p>
    <w:p>
      <w:pPr>
        <w:spacing w:after="0" w:line="187" w:lineRule="exact"/>
        <w:rPr>
          <w:rFonts w:ascii="Arial" w:cs="Arial" w:eastAsia="Arial" w:hAnsi="Arial"/>
          <w:sz w:val="18"/>
          <w:szCs w:val="18"/>
          <w:color w:val="auto"/>
        </w:rPr>
      </w:pPr>
    </w:p>
    <w:p>
      <w:pPr>
        <w:ind w:left="660" w:right="20" w:hanging="328"/>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New analysis released in October in the </w:t>
      </w:r>
      <w:r>
        <w:rPr>
          <w:rFonts w:ascii="Arial" w:cs="Arial" w:eastAsia="Arial" w:hAnsi="Arial"/>
          <w:sz w:val="18"/>
          <w:szCs w:val="18"/>
          <w:b w:val="1"/>
          <w:bCs w:val="1"/>
          <w:color w:val="auto"/>
        </w:rPr>
        <w:t>Global Audio Conferencing Endpoints Market, Forecast to 2021</w:t>
      </w:r>
      <w:r>
        <w:rPr>
          <w:rFonts w:ascii="Arial" w:cs="Arial" w:eastAsia="Arial" w:hAnsi="Arial"/>
          <w:sz w:val="18"/>
          <w:szCs w:val="18"/>
          <w:color w:val="auto"/>
        </w:rPr>
        <w:t xml:space="preserve"> found ClearOne continued to lead the installed audio conferencing space in 2016 with a market share of 53.8%.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certain non-GAAP financial measures and reconciles those to GAAP measures in the attached tables.</w:t>
      </w:r>
    </w:p>
    <w:p>
      <w:pPr>
        <w:spacing w:after="0" w:line="211" w:lineRule="exact"/>
        <w:rPr>
          <w:sz w:val="20"/>
          <w:szCs w:val="20"/>
          <w:color w:val="auto"/>
        </w:rPr>
      </w:pPr>
    </w:p>
    <w:p>
      <w:pPr>
        <w:jc w:val="both"/>
        <w:ind w:left="340" w:hanging="332"/>
        <w:spacing w:after="0" w:line="286"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Q3 2017 revenue was $10.6 million, compared to $12.9 million in Q3 2016 and $10.3 million in Q2 2017. The year-over-year decrease reflects continuing transition to the next generation professional audio conferencing platform and the price reductions to corresponding legacy products. Sequential revenue increase was due to the fulfillment of a large order that included a mix of video and pro-audio products.</w:t>
      </w:r>
    </w:p>
    <w:p>
      <w:pPr>
        <w:spacing w:after="0" w:line="165"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gross profit in Q3 2017 was $6.5 million, compared to $7.7 million in Q3 2016 and $6.1 million in Q2 2017. GAAP gross profit margin was 62% in Q3 2017, compared to 59% in Q3 2016 and 59% in Q2 2017. Non-GAAP gross profit margin was 62% in Q3 2017, compared to 62% in Q3 2016 and 59% in Q2 2017. Sequential improvement in gross margin was largely due to higher than usual gross margin from the large order that was fulfilled in Q3 2017.</w:t>
      </w:r>
    </w:p>
    <w:p>
      <w:pPr>
        <w:spacing w:after="0" w:line="186"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the results of the Company’s recent impairment analysis triggered by the fall in the Company’s stock price and recent financial results, the Company determined that goodwill and an intangible asset were impaired and recognized impairment charges amounting to $13.4 million.</w:t>
      </w:r>
    </w:p>
    <w:p>
      <w:pPr>
        <w:spacing w:after="0" w:line="146"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expenses in Q3 2017 were $20.0 million which included impairment charges of $13.4 million, compared to $6.2 million in Q3 2016 and $7.2 million in Q2 2017. The majority of the increase in operating expenses over Q3 2016 is attributable primarily to impairment charges and the increase in sales &amp; marketing spend partly reduced by lower G&amp;A due to capitalization of legal expenses related to patent litigation.</w:t>
      </w:r>
    </w:p>
    <w:p>
      <w:pPr>
        <w:spacing w:after="0" w:line="165"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in Q3 2017 was $9.3 million, or $1.09 per diluted share, compared to net income of $1.2 million, or $0.13 per diluted share, in Q3 2016 and net loss of $0.8 million, or $0.09 per diluted share, in Q2 2017.</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net income was $0.8 million, or $0.09 per diluted share, in Q3 2017, compared to non-GAAP net income of $2.0 million, or $0.22 per diluted share, in Q3 2016, and non-GAAP net loss of $0.1 million, or $(0.01) per diluted share, in Q2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0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89"/>
              </w:rPr>
              <w:t>Three months ended September 30,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88"/>
              </w:rPr>
              <w:t>Nine months ended September 30,</w:t>
            </w:r>
          </w:p>
        </w:tc>
      </w:tr>
      <w:tr>
        <w:trPr>
          <w:trHeight w:val="237"/>
        </w:trPr>
        <w:tc>
          <w:tcPr>
            <w:tcW w:w="20" w:type="dxa"/>
            <w:vAlign w:val="bottom"/>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3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Change</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Change</w:t>
            </w:r>
          </w:p>
        </w:tc>
        <w:tc>
          <w:tcPr>
            <w:tcW w:w="160" w:type="dxa"/>
            <w:vAlign w:val="bottom"/>
            <w:tcBorders>
              <w:bottom w:val="single" w:sz="8" w:color="CCEEFF"/>
            </w:tcBorders>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GAAP</w:t>
            </w:r>
          </w:p>
        </w:tc>
        <w:tc>
          <w:tcPr>
            <w:tcW w:w="3480" w:type="dxa"/>
            <w:vAlign w:val="bottom"/>
            <w:tcBorders>
              <w:bottom w:val="single" w:sz="8" w:color="CCEEFF"/>
            </w:tcBorders>
            <w:gridSpan w:val="2"/>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10,560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12,908</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32,549</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37,907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19,256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23,797</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1,424</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-1048%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(15,141)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4,717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1,209</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3,532</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-399%</w:t>
            </w: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Earnings (Loss) Per Share (Diluted)</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0.13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-938%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0.37</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r>
      <w:tr>
        <w:trPr>
          <w:trHeight w:val="196"/>
        </w:trPr>
        <w:tc>
          <w:tcPr>
            <w:tcW w:w="20" w:type="dxa"/>
            <w:vAlign w:val="bottom"/>
          </w:tcPr>
          <w:p>
            <w:pPr>
              <w:spacing w:after="0"/>
              <w:rPr>
                <w:sz w:val="17"/>
                <w:szCs w:val="17"/>
                <w:color w:val="auto"/>
              </w:rPr>
            </w:pPr>
          </w:p>
        </w:tc>
        <w:tc>
          <w:tcPr>
            <w:tcW w:w="8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2"/>
              </w:rPr>
              <w:t>Non-GAAP</w:t>
            </w:r>
          </w:p>
        </w:tc>
        <w:tc>
          <w:tcPr>
            <w:tcW w:w="3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Non-GAAP Gross Profit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6,516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7,958</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19,277</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24,098</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6,930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Non-GAAP Net Income</w:t>
            </w:r>
          </w:p>
        </w:tc>
        <w:tc>
          <w:tcPr>
            <w:tcW w:w="2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2,001</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5,162</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Non-GAAP Adjusted EBITDA</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7,729</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r>
      <w:tr>
        <w:trPr>
          <w:trHeight w:val="230"/>
        </w:trPr>
        <w:tc>
          <w:tcPr>
            <w:tcW w:w="20" w:type="dxa"/>
            <w:vAlign w:val="bottom"/>
          </w:tcPr>
          <w:p>
            <w:pPr>
              <w:spacing w:after="0"/>
              <w:rPr>
                <w:sz w:val="20"/>
                <w:szCs w:val="20"/>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Non-GAAP Earnings per share (Diluted)</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Highlights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September 30, 2017, cash, cash equivalents and investments were $23.4 million, as compared with $38.5 million at December 31, 2016. A significant portion of this decrease can be attributed to patent litigation expenses, share repurchases, dividend payments and higher investment in inventory related to the Converge Pro 2 platform and wireless microphones which is expected to flow back into cash in the near term. The Company continued to have no debt.</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Q3 of 2017, the Company paid a cash dividend of $0.07 per share and repurchased approximately 140,000 shares amounting to $1.1 million. As of September 30, 2017, the Company has acquired approximately 976,000 shares amounting to $10.2 million since this program commenced in March 2016 and was renewed and extended by the board in March 2017. The Company intends to continue to repurchase shares of its common stock under this program in the open market, subject to price, volume and other safe harbor restrictions.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ClearOne senior management will host an investor conference call today, November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at 11:30 a.m. Eastern Time to review the company’s financial results. The conference call will be available to interested parties by dialing +1- 877-369-6586 (domestic) or +1- 253-237-1165 (international). The conference ID is 98043789. The call will also be available through a live, listen-only audio Internet broadcast at </w:t>
      </w:r>
      <w:r>
        <w:rPr>
          <w:rFonts w:ascii="Arial" w:cs="Arial" w:eastAsia="Arial" w:hAnsi="Arial"/>
          <w:sz w:val="16"/>
          <w:szCs w:val="16"/>
          <w:u w:val="single" w:color="auto"/>
          <w:color w:val="auto"/>
        </w:rPr>
        <w:t>http://investors.clearone.com/events.cfm.</w:t>
      </w:r>
      <w:r>
        <w:rPr>
          <w:rFonts w:ascii="Arial" w:cs="Arial" w:eastAsia="Arial" w:hAnsi="Arial"/>
          <w:sz w:val="16"/>
          <w:szCs w:val="16"/>
          <w:color w:val="auto"/>
        </w:rPr>
        <w:t xml:space="preserve"> For those who are not available to listen to the live broadcast, the call will be archived on the same web site for at least three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ClearOne is a global company that designs, develops and sells conferencing, collaboration, and network streaming &amp; signage solutions for voice and visual communications. The performance and simplicity of its advanced comprehensive solutions offer unprecedented levels of functionality, reliability and scalability. More information about the Company can be found at </w:t>
      </w:r>
      <w:r>
        <w:rPr>
          <w:rFonts w:ascii="Arial" w:cs="Arial" w:eastAsia="Arial" w:hAnsi="Arial"/>
          <w:sz w:val="18"/>
          <w:szCs w:val="18"/>
          <w:u w:val="single" w:color="auto"/>
          <w:color w:val="auto"/>
        </w:rPr>
        <w:t>www.clearone.com.</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To supplement our consolidated financial statements presented on a GAAP basis, ClearOne uses non-GAAP measures of gross profit, operating income (loss), net income (loss), adjusted Earnings Before Interest, Taxes, Depreciation and Amortization (EBITDA) and net income (loss) per share, which are adjusted to exclude certain costs, expenses, gains and losses we believe appropriate to enhance an overall understanding of our past financial performance from period to period and also our prospects for the future. These adjustments to our current period GAAP results are made with the intent of providing both management and investors a more complete understanding of ClearOne’s underlying operational results and trends and our marketplace performance. The non-GAAP results are an indication of our baseline performance before certain gains, losses, or other charges that are considered by management to be outside of our core operating results. In addition, these adjusted non-GAAP results are among the primary indicators management uses as a basis for our planning and forecasting of future periods. The presentation of this additional non-GAAP financial information is not meant to be considered in isolation or as a substitute for gross profit, operating income (loss), net income (loss), income (loss) per share or other financial measures prepared in accordance with GAAP. There are limitations to the use of non-GAAP financial measures. Other companies, including companies in ClearOne’s industry, may calculate non-GAAP financial measures differently than ClearOne does, limiting the usefulness of those measures for comparative purposes. A detailed reconciliation of non-GAAP financial measures to the most directly comparable GAAP financial measures is included with this release below.</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and any statements of the plans and objectives of management for future operations and forecasts of future growth and value,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 The information in this press release should be read in conjunction with, and is modified in its entirety by, the Annual Report on Form 10-K (the “10-K”) filed by the Company for the same period with the Securities and Exchange Commission (the “SEC”) and all of the Company’s other public filings with the SEC (the “Public Filings”). In particular, the financial information contained herein is subject to and qualified by reference to the financial statements contained in the 10-K, the footnotes thereto and the limitations set forth therein. Investors may not rely on the press release without reference to the 10-K and the Public Filings.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801-975-7200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investor_relations@clearone.com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http://investors.clearone.com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45"/>
              <w:spacing w:after="0"/>
              <w:rPr>
                <w:sz w:val="20"/>
                <w:szCs w:val="20"/>
                <w:color w:val="auto"/>
              </w:rPr>
            </w:pPr>
            <w:r>
              <w:rPr>
                <w:rFonts w:ascii="Arial" w:cs="Arial" w:eastAsia="Arial" w:hAnsi="Arial"/>
                <w:sz w:val="18"/>
                <w:szCs w:val="18"/>
                <w:b w:val="1"/>
                <w:bCs w:val="1"/>
                <w:color w:val="auto"/>
              </w:rPr>
              <w:t>As of</w:t>
            </w:r>
          </w:p>
        </w:tc>
        <w:tc>
          <w:tcPr>
            <w:tcW w:w="16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0"/>
              </w:rPr>
              <w:t>September 30, 2017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December 31, 2016</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3,013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3,953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$304 and $187, respectively</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19,695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11,377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9"/>
                <w:szCs w:val="19"/>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7,489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2,642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43,605</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Pr>
          <w:p>
            <w:pPr>
              <w:spacing w:after="0"/>
              <w:rPr>
                <w:sz w:val="18"/>
                <w:szCs w:val="18"/>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16,480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21,365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1,587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5,283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12,724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4,654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74,433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88,124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5,811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1,852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product revenue</w:t>
            </w:r>
          </w:p>
        </w:tc>
        <w:tc>
          <w:tcPr>
            <w:tcW w:w="120" w:type="dxa"/>
            <w:vAlign w:val="bottom"/>
          </w:tcPr>
          <w:p>
            <w:pPr>
              <w:spacing w:after="0"/>
              <w:rPr>
                <w:sz w:val="19"/>
                <w:szCs w:val="19"/>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3,870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3,882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11,533</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3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gridSpan w:val="2"/>
          </w:tcPr>
          <w:p>
            <w:pPr>
              <w:spacing w:after="0" w:line="203" w:lineRule="exact"/>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12,849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10,675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par value $0.001, 50,000,000 shares authorized, 8,433,182 and 8,812,644 shares</w:t>
            </w:r>
          </w:p>
        </w:tc>
        <w:tc>
          <w:tcPr>
            <w:tcW w:w="1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w:t>
            </w:r>
          </w:p>
        </w:tc>
        <w:tc>
          <w:tcPr>
            <w:tcW w:w="1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47,300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46,669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2060" w:type="dxa"/>
            <w:vAlign w:val="bottom"/>
            <w:gridSpan w:val="2"/>
          </w:tcPr>
          <w:p>
            <w:pPr>
              <w:jc w:val="right"/>
              <w:ind w:right="340"/>
              <w:spacing w:after="0"/>
              <w:rPr>
                <w:sz w:val="20"/>
                <w:szCs w:val="20"/>
                <w:color w:val="auto"/>
              </w:rPr>
            </w:pPr>
            <w:r>
              <w:rPr>
                <w:rFonts w:ascii="Arial" w:cs="Arial" w:eastAsia="Arial" w:hAnsi="Arial"/>
                <w:sz w:val="18"/>
                <w:szCs w:val="18"/>
                <w:color w:val="auto"/>
              </w:rPr>
              <w:t>14,325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30,976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61,584</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320" w:type="dxa"/>
            <w:vAlign w:val="bottom"/>
            <w:gridSpan w:val="2"/>
          </w:tcPr>
          <w:p>
            <w:pPr>
              <w:spacing w:after="0" w:line="203" w:lineRule="exact"/>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74,433</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88,124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2"/>
              </w:rPr>
              <w:t>Three months ended September 30,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6"/>
          </w:tcPr>
          <w:p>
            <w:pPr>
              <w:ind w:left="12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4,051</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5,240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13,293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3,006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8,393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6,947</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5,597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intangibles</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0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12,724</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12,724</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(13,506)</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(15,141)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(loss) before income taxes</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(13,428)</w:t>
            </w:r>
          </w:p>
        </w:tc>
        <w:tc>
          <w:tcPr>
            <w:tcW w:w="34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1,524</w:t>
            </w: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(14,877)</w:t>
            </w:r>
          </w:p>
        </w:tc>
        <w:tc>
          <w:tcPr>
            <w:tcW w:w="18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4,911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(4,152)</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(4,313)</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(9,276</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(10,564</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8,520,041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8,921,480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8,641,173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9,076,305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8,520,041</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9,164,165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8,641,173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9,452,616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(9,276)</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(10,564)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Unrealized gain on available-for-sale securities, net</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tax</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ind w:left="220"/>
              <w:spacing w:after="0"/>
              <w:rPr>
                <w:sz w:val="20"/>
                <w:szCs w:val="20"/>
                <w:color w:val="auto"/>
              </w:rPr>
            </w:pPr>
            <w:r>
              <w:rPr>
                <w:rFonts w:ascii="Arial" w:cs="Arial" w:eastAsia="Arial" w:hAnsi="Arial"/>
                <w:sz w:val="18"/>
                <w:szCs w:val="18"/>
                <w:color w:val="auto"/>
              </w:rPr>
              <w:t>Change in foreign currency translation adjustment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(9,243</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(10,408</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GAAP MEASURES TO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values)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2"/>
              </w:rPr>
              <w:t>Three months ended September 30,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gross profit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7"/>
              </w:rPr>
              <w:t>Inventory scrap related to wireless manufacturing move</w:t>
            </w:r>
          </w:p>
        </w:tc>
        <w:tc>
          <w:tcPr>
            <w:tcW w:w="2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130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116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128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116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Non-GAAP gross profit</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6,516</w:t>
            </w:r>
          </w:p>
        </w:tc>
        <w:tc>
          <w:tcPr>
            <w:tcW w:w="34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7,958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19,277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24,098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GAAP operating income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(13,506)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1,424</w:t>
            </w:r>
          </w:p>
        </w:tc>
        <w:tc>
          <w:tcPr>
            <w:tcW w:w="200" w:type="dxa"/>
            <w:vAlign w:val="bottom"/>
          </w:tcPr>
          <w:p>
            <w:pPr>
              <w:spacing w:after="0"/>
              <w:rPr>
                <w:sz w:val="18"/>
                <w:szCs w:val="18"/>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(15,141)</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7"/>
              </w:rPr>
              <w:t>Inventory scrap related to wireless manufacturing move</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175</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515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Impairment of intangible asset</w:t>
            </w:r>
          </w:p>
        </w:tc>
        <w:tc>
          <w:tcPr>
            <w:tcW w:w="2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736</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736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12,724</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w w:val="93"/>
              </w:rPr>
              <w:t>Legal expenses, acquisition expenses, re-audit expenses,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restructuring expenses, etc. not related to regular</w:t>
            </w:r>
          </w:p>
        </w:tc>
        <w:tc>
          <w:tcPr>
            <w:tcW w:w="200" w:type="dxa"/>
            <w:vAlign w:val="bottom"/>
          </w:tcPr>
          <w:p>
            <w:pPr>
              <w:spacing w:after="0"/>
              <w:rPr>
                <w:sz w:val="18"/>
                <w:szCs w:val="18"/>
                <w:color w:val="auto"/>
              </w:rPr>
            </w:pPr>
          </w:p>
        </w:tc>
        <w:tc>
          <w:tcPr>
            <w:tcW w:w="16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8"/>
                <w:szCs w:val="18"/>
                <w:color w:val="auto"/>
              </w:rPr>
            </w:pPr>
          </w:p>
        </w:tc>
        <w:tc>
          <w:tcPr>
            <w:tcW w:w="13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1,488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4"/>
        </w:trPr>
        <w:tc>
          <w:tcPr>
            <w:tcW w:w="43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operating income</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net income (loss)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(10,564)</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7"/>
              </w:rPr>
              <w:t>Inventory scrap related to wireless manufacturing move</w:t>
            </w:r>
          </w:p>
        </w:tc>
        <w:tc>
          <w:tcPr>
            <w:tcW w:w="2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238</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706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 asset</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Impairment of goodwill</w:t>
            </w:r>
          </w:p>
        </w:tc>
        <w:tc>
          <w:tcPr>
            <w:tcW w:w="2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12,724</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12,724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Legal expenses, acquisition expenses, re-audit expenses,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expenses, etc. not related to regular</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w:t>
            </w:r>
          </w:p>
        </w:tc>
        <w:tc>
          <w:tcPr>
            <w:tcW w:w="3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1,488</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Loss on disposal of assets related to wireless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microphones manufacturing</w:t>
            </w:r>
          </w:p>
        </w:tc>
        <w:tc>
          <w:tcPr>
            <w:tcW w:w="20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Tax effect of non-GAAP adjustments</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(3,996)</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130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40" w:type="dxa"/>
            <w:vAlign w:val="bottom"/>
            <w:tcBorders>
              <w:bottom w:val="single" w:sz="8" w:color="auto"/>
            </w:tcBorders>
            <w:shd w:val="clear" w:color="auto" w:fill="000000"/>
          </w:tcPr>
          <w:p>
            <w:pPr>
              <w:spacing w:after="0" w:line="20" w:lineRule="exact"/>
              <w:rPr>
                <w:sz w:val="1"/>
                <w:szCs w:val="1"/>
                <w:color w:val="auto"/>
              </w:rPr>
            </w:pPr>
          </w:p>
        </w:tc>
        <w:tc>
          <w:tcPr>
            <w:tcW w:w="1160" w:type="dxa"/>
            <w:vAlign w:val="bottom"/>
            <w:tcBorders>
              <w:bottom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128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tcBorders>
              <w:bottom w:val="single" w:sz="8" w:color="auto"/>
            </w:tcBorders>
            <w:shd w:val="clear" w:color="auto" w:fill="000000"/>
          </w:tcPr>
          <w:p>
            <w:pPr>
              <w:spacing w:after="0" w:line="20" w:lineRule="exact"/>
              <w:rPr>
                <w:sz w:val="1"/>
                <w:szCs w:val="1"/>
                <w:color w:val="auto"/>
              </w:rPr>
            </w:pPr>
          </w:p>
        </w:tc>
        <w:tc>
          <w:tcPr>
            <w:tcW w:w="116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6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Non-GAAP net income</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760</w:t>
            </w:r>
          </w:p>
        </w:tc>
        <w:tc>
          <w:tcPr>
            <w:tcW w:w="34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2,001</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GAAP net income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(9,276)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18"/>
                <w:szCs w:val="18"/>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(10,564)</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Number of shares used in computing GAAP income per</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share (diluted)</w:t>
            </w: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8,520,041</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9,164,165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8,641,173</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9,452,616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GAAP income (loss) per share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0.13</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(1.22)</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807</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Number of shares used in computing Non-GAAP</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income per share (diluted)</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8,520,041</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9,164,165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8,641,173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9,452,616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income per share (diluted)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0.22</w:t>
            </w: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0.09</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GAAP total net income (loss)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(9,276)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(10,564)</w:t>
            </w: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7"/>
              </w:rPr>
              <w:t>Inventory scrap related to wireless manufacturing move</w:t>
            </w:r>
          </w:p>
        </w:tc>
        <w:tc>
          <w:tcPr>
            <w:tcW w:w="2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450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Impairment of intangible asset</w:t>
            </w:r>
          </w:p>
        </w:tc>
        <w:tc>
          <w:tcPr>
            <w:tcW w:w="20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736</w:t>
            </w:r>
          </w:p>
        </w:tc>
        <w:tc>
          <w:tcPr>
            <w:tcW w:w="34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736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12,724</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w w:val="93"/>
              </w:rPr>
              <w:t>Legal expenses, acquisition expenses, re-audit expenses,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restructuring expenses, etc. not related to regular</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1,488</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Loss on disposal of assets related to wireless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microphones manufacturing</w:t>
            </w:r>
          </w:p>
        </w:tc>
        <w:tc>
          <w:tcPr>
            <w:tcW w:w="20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19"/>
                <w:szCs w:val="19"/>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(4,152)</w:t>
            </w:r>
          </w:p>
        </w:tc>
        <w:tc>
          <w:tcPr>
            <w:tcW w:w="34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(4,313)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Adjusted EBITDA</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2019-12-29T03:28:57Z</dcterms:created>
  <dcterms:modified xsi:type="dcterms:W3CDTF">2019-12-29T03:28:57Z</dcterms:modified>
</cp:coreProperties>
</file>