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20, 2024 (May 20, 2024)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05"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371"/>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May 20, 2024 ClearOne, Inc. (the “Company”) issued a press release announcing its financial results for the three months ended March 31, 2024. The full text of the press release is attached as Exhibit 99.1.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486"/>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13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of ClearOne, Inc. dated May 20, 2024.</w:t>
            </w:r>
          </w:p>
        </w:tc>
      </w:tr>
      <w:tr>
        <w:trPr>
          <w:trHeight w:val="20"/>
        </w:trPr>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29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bl>
    <w:p>
      <w:pPr>
        <w:spacing w:after="0" w:line="256"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6"/>
          <w:szCs w:val="16"/>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83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2024</w:t>
            </w:r>
          </w:p>
        </w:tc>
        <w:tc>
          <w:tcPr>
            <w:tcW w:w="83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Simon Brewer</w:t>
            </w:r>
          </w:p>
        </w:tc>
      </w:tr>
      <w:tr>
        <w:trPr>
          <w:trHeight w:val="211"/>
        </w:trPr>
        <w:tc>
          <w:tcPr>
            <w:tcW w:w="29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Simon Brewer</w:t>
            </w:r>
          </w:p>
        </w:tc>
      </w:tr>
    </w:tbl>
    <w:p>
      <w:pPr>
        <w:ind w:left="5000"/>
        <w:spacing w:after="0"/>
        <w:rPr>
          <w:sz w:val="20"/>
          <w:szCs w:val="20"/>
          <w:color w:val="auto"/>
        </w:rPr>
      </w:pPr>
      <w:r>
        <w:rPr>
          <w:rFonts w:ascii="Times New Roman" w:cs="Times New Roman" w:eastAsia="Times New Roman" w:hAnsi="Times New Roman"/>
          <w:sz w:val="18"/>
          <w:szCs w:val="18"/>
          <w:color w:val="auto"/>
        </w:rPr>
        <w:t>Chief Financial Officer (Principal Accounting and Principal Financial Officer)</w:t>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448435" cy="351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8435" cy="3511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ClearOne, Inc. Reports First Quarter 2024 Financial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Microphone revenue up 31% year over year-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-Revenue from Asia including India, the Middle East, and Australia up 18% year over year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-Sequential and Year-over-Year OpEx Reductions Reflect Continued Benefits of Cost Optimization Initiatives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SALT LAKE CITY, UTAH – May 20, 2024 </w:t>
      </w:r>
      <w:r>
        <w:rPr>
          <w:rFonts w:ascii="Times New Roman" w:cs="Times New Roman" w:eastAsia="Times New Roman" w:hAnsi="Times New Roman"/>
          <w:sz w:val="18"/>
          <w:szCs w:val="18"/>
          <w:color w:val="auto"/>
        </w:rPr>
        <w:t>– ClearOne (NASDAQ: CLRO), a global provider of audio and visual communication solutions,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three-month period ended March 31, 2024.</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declined 12.8% sequentially and 13% year over year, primarily due to a significant decrease in revenues from the audio conferencing category, which includes our DSP mixer products. The revenue decline was regionally concentrated, affecting the USA, Europe, and China when compared to 2023-Q1 revenues. We believe this revenue decline was primarily due to the cumulative impact of past production shortages. We have also faced sales headwinds from our products’ lack of Microsoft Teams certification, despite their longtime functional compatibility with this platform. Our work through early 2024 has focused on mitigating these impacts through maintaining consistent dialogues, product demonstrations, and feedback cycles with end users and channel partners, along with improving our visibility at key industry events.”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although overall revenue declined, there were some bright spots.” said Derek Graham, CEO of ClearOne. Revenue from our microphone products was up 4% sequentially and 31% year over year. Revenue from Asia, including India, the Middle East, and Australia was up 4.6% sequentially and 18% year over year. We also continued to make steady progress with our cost optimization efforts, reducing operating expenses by 2.7% sequentially and 7.8% year-over-year.”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202" w:lineRule="exact"/>
        <w:rPr>
          <w:sz w:val="20"/>
          <w:szCs w:val="20"/>
          <w:color w:val="auto"/>
        </w:rPr>
      </w:pPr>
    </w:p>
    <w:p>
      <w:pPr>
        <w:ind w:left="540" w:right="60"/>
        <w:spacing w:after="0" w:line="255" w:lineRule="auto"/>
        <w:rPr>
          <w:sz w:val="20"/>
          <w:szCs w:val="20"/>
          <w:color w:val="auto"/>
        </w:rPr>
      </w:pPr>
      <w:r>
        <w:rPr>
          <w:rFonts w:ascii="Times New Roman" w:cs="Times New Roman" w:eastAsia="Times New Roman" w:hAnsi="Times New Roman"/>
          <w:sz w:val="18"/>
          <w:szCs w:val="18"/>
          <w:color w:val="auto"/>
        </w:rPr>
        <w:t>Launched the DIALOG® 20 USB wireless microphone system at Integrated Systems Europe (ISE) 2024, a major global audiovisual expo. ClearOne’s booth at ISE 2024 recorded a 319% increase in unique visitors compared to the number of unique visitors the Company’s booth recorded in 2023. The DIALOG® UVHF Wireless Microphone System also received AV Technology Magazine’s Best in Show award at ISE 2024, having previously garnered other notable industry awards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-507365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60"/>
        <w:spacing w:after="0" w:line="242" w:lineRule="auto"/>
        <w:rPr>
          <w:sz w:val="20"/>
          <w:szCs w:val="20"/>
          <w:color w:val="auto"/>
        </w:rPr>
      </w:pPr>
      <w:r>
        <w:rPr>
          <w:rFonts w:ascii="Times New Roman" w:cs="Times New Roman" w:eastAsia="Times New Roman" w:hAnsi="Times New Roman"/>
          <w:sz w:val="18"/>
          <w:szCs w:val="18"/>
          <w:color w:val="auto"/>
        </w:rPr>
        <w:t>Announced a one-time special cash dividend of $0.50 per share of ClearOne common stock, payable on April 10, 2024 to shareholders of record on April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-225425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Regained compliance with NASDAQ’s minimum bid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Graham continued: “Moving into the second quarter, we are working to build on the revenue growth we have experienced in Asia including India and the Middle East, while working to win back our customers in other global regions, including the Americas, who have defected to competing audio conferencing brands due to our lack of product availability throughout much of 2023. Historically, we have seen a lag of several months between the time that our professional conferencing products are specified for a project and the date when those products are purchased and installed. Since our product availability was constrained through a significant part of Q4 2023, we believe our revenue could be impacted negatively by these market dynamics through much of Q2 2024.”</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1448435" cy="351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51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certain non-GAAP financial measures and reconciles those to GAAP measures in the attached tables.</w:t>
      </w:r>
    </w:p>
    <w:p>
      <w:pPr>
        <w:spacing w:after="0" w:line="239" w:lineRule="exact"/>
        <w:rPr>
          <w:sz w:val="20"/>
          <w:szCs w:val="20"/>
          <w:color w:val="auto"/>
        </w:rPr>
      </w:pPr>
    </w:p>
    <w:p>
      <w:pPr>
        <w:jc w:val="both"/>
        <w:ind w:left="460" w:hanging="437"/>
        <w:spacing w:after="0" w:line="258"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Q1 2024 revenue was $3.6 million, compared to $4.2 million in Q1 2023 and $4.2 million in Q4 2023. The 0% sequential decrease was driven by reduced demand all product categories except our cameras. We believe the flow of sales orders at the end of Q3 2023 slowed down considerably due to the cumulative impact of past product shortages. The year-over-year decrease was mainly due to sustained inventory sourcing and order fulfillment challenges for the Company’s core audio conferencing and beamforming microphone arrays as a result of delays in the transition of outsourced manufacturing from China to Singapore.</w:t>
      </w:r>
    </w:p>
    <w:p>
      <w:pPr>
        <w:spacing w:after="0" w:line="169" w:lineRule="exact"/>
        <w:rPr>
          <w:rFonts w:ascii="Times New Roman" w:cs="Times New Roman" w:eastAsia="Times New Roman" w:hAnsi="Times New Roman"/>
          <w:sz w:val="18"/>
          <w:szCs w:val="18"/>
          <w:color w:val="auto"/>
        </w:rPr>
      </w:pPr>
    </w:p>
    <w:p>
      <w:pPr>
        <w:jc w:val="both"/>
        <w:ind w:left="460" w:hanging="437"/>
        <w:spacing w:after="0" w:line="261"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profit in Q1 2024 was $1.2 million, compared to $1.3 million in Q1 2023 and $1.6 million in Q4 2023. GAAP gross profit margin was 32% in Q1 2024, compared to 38% in Q4 2023 and 31% in Q1 2023. Gross profit margin improved by approximately 1% year-over-year due to reduced inventory obsolescence costs. Gross profit margin decreased by 13% sequentially due to increased administration and overhead costs as a percentage of revenue and change in the revenue mix of the products.</w:t>
      </w:r>
    </w:p>
    <w:p>
      <w:pPr>
        <w:spacing w:after="0" w:line="166" w:lineRule="exact"/>
        <w:rPr>
          <w:rFonts w:ascii="Times New Roman" w:cs="Times New Roman" w:eastAsia="Times New Roman" w:hAnsi="Times New Roman"/>
          <w:sz w:val="18"/>
          <w:szCs w:val="18"/>
          <w:color w:val="auto"/>
        </w:rPr>
      </w:pPr>
    </w:p>
    <w:p>
      <w:pPr>
        <w:jc w:val="both"/>
        <w:ind w:left="460" w:hanging="437"/>
        <w:spacing w:after="0" w:line="266"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 Q1 2024 improved to $3.2 million, compared to $3.5 million in Q1 2023 and $3.3 million in Q4 2023. Non-GAAP operating expenses in Q1 2024 improved to $3.1 million compared to $3.2 million in Q4 2023 and $3.4 million in Q1 2023. The sequential and year-over-year decrease in non-GAAP operating expenses was mainly due to the continued benefits of the cost-cutting measures initiated in 2022.</w:t>
      </w:r>
    </w:p>
    <w:p>
      <w:pPr>
        <w:spacing w:after="0" w:line="162" w:lineRule="exact"/>
        <w:rPr>
          <w:rFonts w:ascii="Times New Roman" w:cs="Times New Roman" w:eastAsia="Times New Roman" w:hAnsi="Times New Roman"/>
          <w:sz w:val="18"/>
          <w:szCs w:val="18"/>
          <w:color w:val="auto"/>
        </w:rPr>
      </w:pPr>
    </w:p>
    <w:p>
      <w:pPr>
        <w:jc w:val="both"/>
        <w:ind w:left="460" w:hanging="437"/>
        <w:spacing w:after="0" w:line="261"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in Q1 2024 was $(1.9) million, or $(0.08) per share, compared to a net loss of $(0.8) million, or $(0.03) per share, in Q1 2023 and a net income of $2.6 million, or $0.11 per share, in Q4 2023. The year-over-year increase in net loss was primarily due to the aforementioned decrease in revenue and gross profit, partially offset by a decrease in operating expenses and increase in interest income. The sequential decrease in net loss was primarily due to one time receipt of cross licensing agreement.</w:t>
      </w:r>
    </w:p>
    <w:p>
      <w:pPr>
        <w:spacing w:after="0" w:line="166" w:lineRule="exact"/>
        <w:rPr>
          <w:rFonts w:ascii="Times New Roman" w:cs="Times New Roman" w:eastAsia="Times New Roman" w:hAnsi="Times New Roman"/>
          <w:sz w:val="18"/>
          <w:szCs w:val="18"/>
          <w:color w:val="auto"/>
        </w:rPr>
      </w:pPr>
    </w:p>
    <w:p>
      <w:pPr>
        <w:jc w:val="both"/>
        <w:ind w:left="460" w:hanging="437"/>
        <w:spacing w:after="0" w:line="261"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loss in Q1 2024 was $(1.8) million, or $(0.07) per share, compared to a Non-GAAP net loss of $(2.0) million, or $(0.09) per share, in Q1 2023 and a Non-GAAP net loss of $(1.2) million, or $(0.05) per share, in Q4 2023. The year-over-year decrease in Non-GAAP net loss was driven by the aforementioned decrease in revenue and gross profit partially offset by a decrease in operating expenses and increase in interest income. The sequential increase in Non-GAAP net loss was primarily due to receipt of tax refund in Q4 2023.</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in 000, except per share)</w:t>
            </w:r>
          </w:p>
        </w:tc>
        <w:tc>
          <w:tcPr>
            <w:tcW w:w="2260" w:type="dxa"/>
            <w:vAlign w:val="bottom"/>
          </w:tcPr>
          <w:p>
            <w:pPr>
              <w:spacing w:after="0"/>
              <w:rPr>
                <w:sz w:val="20"/>
                <w:szCs w:val="20"/>
                <w:color w:val="auto"/>
              </w:rPr>
            </w:pPr>
          </w:p>
        </w:tc>
        <w:tc>
          <w:tcPr>
            <w:tcW w:w="442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1"/>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ind w:right="210"/>
              <w:spacing w:after="0" w:line="201" w:lineRule="exact"/>
              <w:rPr>
                <w:sz w:val="20"/>
                <w:szCs w:val="20"/>
                <w:color w:val="auto"/>
              </w:rPr>
            </w:pPr>
            <w:r>
              <w:rPr>
                <w:rFonts w:ascii="Times New Roman" w:cs="Times New Roman" w:eastAsia="Times New Roman" w:hAnsi="Times New Roman"/>
                <w:sz w:val="18"/>
                <w:szCs w:val="18"/>
                <w:b w:val="1"/>
                <w:bCs w:val="1"/>
                <w:color w:val="auto"/>
              </w:rPr>
              <w:t>Change in %</w:t>
            </w:r>
          </w:p>
        </w:tc>
        <w:tc>
          <w:tcPr>
            <w:tcW w:w="100" w:type="dxa"/>
            <w:vAlign w:val="bottom"/>
          </w:tcPr>
          <w:p>
            <w:pPr>
              <w:spacing w:after="0"/>
              <w:rPr>
                <w:sz w:val="17"/>
                <w:szCs w:val="17"/>
                <w:color w:val="auto"/>
              </w:rPr>
            </w:pPr>
          </w:p>
        </w:tc>
      </w:tr>
      <w:tr>
        <w:trPr>
          <w:trHeight w:val="238"/>
        </w:trPr>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Favorable/(Adverse)</w:t>
            </w:r>
          </w:p>
        </w:tc>
      </w:tr>
      <w:tr>
        <w:trPr>
          <w:trHeight w:val="209"/>
        </w:trPr>
        <w:tc>
          <w:tcPr>
            <w:tcW w:w="52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7"/>
              </w:rPr>
              <w:t>GAAP</w:t>
            </w:r>
          </w:p>
        </w:tc>
        <w:tc>
          <w:tcPr>
            <w:tcW w:w="4040" w:type="dxa"/>
            <w:vAlign w:val="bottom"/>
            <w:tcBorders>
              <w:bottom w:val="single" w:sz="8" w:color="CCEEFF"/>
            </w:tcBorders>
            <w:gridSpan w:val="2"/>
            <w:shd w:val="clear" w:color="auto" w:fill="CCEEFF"/>
          </w:tcPr>
          <w:p>
            <w:pPr>
              <w:spacing w:after="0"/>
              <w:rPr>
                <w:sz w:val="18"/>
                <w:szCs w:val="18"/>
                <w:color w:val="auto"/>
              </w:rPr>
            </w:pPr>
          </w:p>
        </w:tc>
        <w:tc>
          <w:tcPr>
            <w:tcW w:w="2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29"/>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3,622</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4,178</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1,151</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1,315</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6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3,229</w:t>
            </w:r>
          </w:p>
        </w:tc>
        <w:tc>
          <w:tcPr>
            <w:tcW w:w="36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3,504</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2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2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r>
      <w:tr>
        <w:trPr>
          <w:trHeight w:val="189"/>
        </w:trPr>
        <w:tc>
          <w:tcPr>
            <w:tcW w:w="45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Non-GAAP</w:t>
            </w:r>
          </w:p>
        </w:tc>
        <w:tc>
          <w:tcPr>
            <w:tcW w:w="2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3,095</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3,365</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operating loss</w:t>
            </w:r>
          </w:p>
        </w:tc>
        <w:tc>
          <w:tcPr>
            <w:tcW w:w="2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2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Adjusted EBITDA</w:t>
            </w:r>
          </w:p>
        </w:tc>
        <w:tc>
          <w:tcPr>
            <w:tcW w:w="2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diluted loss per share</w:t>
            </w:r>
          </w:p>
        </w:tc>
        <w:tc>
          <w:tcPr>
            <w:tcW w:w="2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1448435"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51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Balance Sheet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cash, cash equivalents and investments were $22.6 million, as compared with $22.2 million as of December 31, 2023.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1448435"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51155"/>
                    </a:xfrm>
                    <a:prstGeom prst="rect">
                      <a:avLst/>
                    </a:prstGeom>
                    <a:noFill/>
                  </pic:spPr>
                </pic:pic>
              </a:graphicData>
            </a:graphic>
          </wp:anchor>
        </w:drawing>
        <w:t>About ClearOne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Times New Roman" w:cs="Times New Roman" w:eastAsia="Times New Roman" w:hAnsi="Times New Roman"/>
          <w:sz w:val="18"/>
          <w:szCs w:val="18"/>
          <w:u w:val="single" w:color="auto"/>
          <w:color w:val="auto"/>
        </w:rPr>
        <w:t>www.clearone.com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in this release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Quarterly Report on Form 10-Q (the “10-Q”) filed by the Company for the same period with the Securities and Exchange Commission (the “SEC”) and all of the Company’s other public filings with the SEC (the “Public Filings”).</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particular, the financial information contained herein is subject to and qualified by reference to the financial statements contained in the 10-Q, including the footnotes thereto, as well as the Company’s annual report on Form 10-K for the year ended December 31, 2023 (the “10-K”), the footnotes thereto and the limitations set forth therein. Investors may not rely on the press release without reference to the 10-Q, the 10-K, and the Public Filings.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7" w:name="page8"/>
    <w:bookmarkEnd w:id="7"/>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1448435" cy="351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51155"/>
                    </a:xfrm>
                    <a:prstGeom prst="rect">
                      <a:avLst/>
                    </a:prstGeom>
                    <a:noFill/>
                  </pic:spPr>
                </pic:pic>
              </a:graphicData>
            </a:graphic>
          </wp:anchor>
        </w:drawing>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38"/>
        </w:trPr>
        <w:tc>
          <w:tcPr>
            <w:tcW w:w="8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60" w:type="dxa"/>
            <w:vAlign w:val="bottom"/>
            <w:tcBorders>
              <w:top w:val="single" w:sz="8" w:color="CCEEFF"/>
            </w:tcBorders>
            <w:shd w:val="clear" w:color="auto" w:fill="CCEEFF"/>
          </w:tcPr>
          <w:p>
            <w:pPr>
              <w:ind w:left="3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18,544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17,835</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Current marketable securities</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cross license receivable</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 of allowance of $326</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10,625</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4,062</w:t>
            </w:r>
          </w:p>
        </w:tc>
        <w:tc>
          <w:tcPr>
            <w:tcW w:w="0" w:type="dxa"/>
            <w:vAlign w:val="bottom"/>
          </w:tcPr>
          <w:p>
            <w:pPr>
              <w:spacing w:after="0"/>
              <w:rPr>
                <w:sz w:val="1"/>
                <w:szCs w:val="1"/>
                <w:color w:val="auto"/>
              </w:rPr>
            </w:pPr>
          </w:p>
        </w:tc>
      </w:tr>
      <w:tr>
        <w:trPr>
          <w:trHeight w:val="21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inventories, net</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 right of use assets, net</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1,689</w:t>
            </w:r>
          </w:p>
        </w:tc>
        <w:tc>
          <w:tcPr>
            <w:tcW w:w="0" w:type="dxa"/>
            <w:vAlign w:val="bottom"/>
          </w:tcPr>
          <w:p>
            <w:pPr>
              <w:spacing w:after="0"/>
              <w:rPr>
                <w:sz w:val="1"/>
                <w:szCs w:val="1"/>
                <w:color w:val="auto"/>
              </w:rPr>
            </w:pP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8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product revenue</w:t>
            </w: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4,265</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10"/>
        </w:trPr>
        <w:tc>
          <w:tcPr>
            <w:tcW w:w="80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$0.001, 50,000,000 shares authorized, 23,969,148 shares issued and outstanding</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31,584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46,047</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(2,974)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10"/>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0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0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1448435" cy="351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51155"/>
                    </a:xfrm>
                    <a:prstGeom prst="rect">
                      <a:avLst/>
                    </a:prstGeom>
                    <a:noFill/>
                  </pic:spPr>
                </pic:pic>
              </a:graphicData>
            </a:graphic>
          </wp:anchor>
        </w:drawing>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2,471</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2,863</w:t>
            </w: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1,023</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(2,189)</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1,666</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(1,900)</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35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94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23,969,148</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23,955,767</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23,969,148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23,955,767</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1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available-for-sale securities, net of tax</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5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500" w:type="dxa"/>
            <w:vAlign w:val="bottom"/>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940" w:type="dxa"/>
            <w:vAlign w:val="bottom"/>
            <w:tcBorders>
              <w:bottom w:val="single" w:sz="8" w:color="auto"/>
            </w:tcBorders>
          </w:tcPr>
          <w:p>
            <w:pPr>
              <w:spacing w:after="0"/>
              <w:rPr>
                <w:sz w:val="11"/>
                <w:szCs w:val="11"/>
                <w:color w:val="auto"/>
              </w:rPr>
            </w:pPr>
          </w:p>
        </w:tc>
        <w:tc>
          <w:tcPr>
            <w:tcW w:w="3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9" w:name="page10"/>
    <w:bookmarkEnd w:id="9"/>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1448435" cy="351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51155"/>
                    </a:xfrm>
                    <a:prstGeom prst="rect">
                      <a:avLst/>
                    </a:prstGeom>
                    <a:noFill/>
                  </pic:spPr>
                </pic:pic>
              </a:graphicData>
            </a:graphic>
          </wp:anchor>
        </w:drawing>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UNAUDITED RECONCILIATION OF GAAP MEASURES TO NON-GAAP MEASURES</w:t>
      </w:r>
    </w:p>
    <w:p>
      <w:pPr>
        <w:spacing w:after="0" w:line="2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(Dollars in thousands, except per share values)</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operating loss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operating loss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60" w:type="dxa"/>
            <w:vAlign w:val="bottom"/>
            <w:gridSpan w:val="2"/>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118</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(2,048</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-642620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-334010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720" w:space="720"/>
            <w:col w:w="2800"/>
          </w:cols>
          <w:pgMar w:left="320" w:top="1319"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68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loss</w:t>
            </w:r>
          </w:p>
        </w:tc>
        <w:tc>
          <w:tcPr>
            <w:tcW w:w="1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(1,898)</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4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118</w:t>
            </w:r>
          </w:p>
        </w:tc>
      </w:tr>
      <w:tr>
        <w:trPr>
          <w:trHeight w:val="24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adjustment</w:t>
            </w:r>
          </w:p>
        </w:tc>
        <w:tc>
          <w:tcPr>
            <w:tcW w:w="16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63"/>
        </w:trPr>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net loss</w:t>
            </w:r>
          </w:p>
        </w:tc>
        <w:tc>
          <w:tcPr>
            <w:tcW w:w="16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68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loss</w:t>
            </w:r>
          </w:p>
        </w:tc>
        <w:tc>
          <w:tcPr>
            <w:tcW w:w="1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(1,898)</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computing GAAP diluted loss per share</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23,969,148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23,955,767</w:t>
            </w:r>
          </w:p>
        </w:tc>
      </w:tr>
      <w:tr>
        <w:trPr>
          <w:trHeight w:val="229"/>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diluted loss per share</w:t>
            </w:r>
          </w:p>
        </w:tc>
        <w:tc>
          <w:tcPr>
            <w:tcW w:w="1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(0.08)</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1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(1,762)</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computing Non-GAAP diluted loss per share</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23,969,148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23,955,767</w:t>
            </w:r>
          </w:p>
        </w:tc>
      </w:tr>
      <w:tr>
        <w:trPr>
          <w:trHeight w:val="22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diluted loss per share</w:t>
            </w:r>
          </w:p>
        </w:tc>
        <w:tc>
          <w:tcPr>
            <w:tcW w:w="1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30"/>
        </w:trPr>
        <w:tc>
          <w:tcPr>
            <w:tcW w:w="68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loss</w:t>
            </w:r>
          </w:p>
        </w:tc>
        <w:tc>
          <w:tcPr>
            <w:tcW w:w="1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(1,898)</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292</w:t>
            </w: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adjustment</w:t>
            </w: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3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16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Brewer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385-426-0565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http://investors.clearone.com</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31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2024-05-21T05:15:42Z</dcterms:created>
  <dcterms:modified xsi:type="dcterms:W3CDTF">2024-05-21T05:15:42Z</dcterms:modified>
</cp:coreProperties>
</file>