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526415</wp:posOffset>
            </wp:positionH>
            <wp:positionV relativeFrom="page">
              <wp:posOffset>157480</wp:posOffset>
            </wp:positionV>
            <wp:extent cx="65176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342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FORM 12b-25</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Notification of Late Filing</w:t>
      </w:r>
    </w:p>
    <w:p>
      <w:pPr>
        <w:spacing w:after="0" w:line="22" w:lineRule="exact"/>
        <w:rPr>
          <w:sz w:val="24"/>
          <w:szCs w:val="24"/>
          <w:color w:val="auto"/>
        </w:rPr>
      </w:pPr>
    </w:p>
    <w:tbl>
      <w:tblPr>
        <w:tblLayout w:type="fixed"/>
        <w:tblInd w:w="220" w:type="dxa"/>
        <w:tblCellMar>
          <w:top w:w="0" w:type="dxa"/>
          <w:left w:w="0" w:type="dxa"/>
          <w:bottom w:w="0" w:type="dxa"/>
          <w:right w:w="0" w:type="dxa"/>
        </w:tblCellMar>
      </w:tblPr>
      <w:tr>
        <w:trPr>
          <w:trHeight w:val="218"/>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5"/>
          </w:tcPr>
          <w:p>
            <w:pPr>
              <w:ind w:left="20"/>
              <w:spacing w:after="0"/>
              <w:rPr>
                <w:sz w:val="20"/>
                <w:szCs w:val="20"/>
                <w:color w:val="auto"/>
              </w:rPr>
            </w:pPr>
            <w:r>
              <w:rPr>
                <w:rFonts w:ascii="Arial" w:cs="Arial" w:eastAsia="Arial" w:hAnsi="Arial"/>
                <w:sz w:val="19"/>
                <w:szCs w:val="19"/>
                <w:b w:val="1"/>
                <w:bCs w:val="1"/>
                <w:color w:val="auto"/>
              </w:rPr>
              <w:t>(Amendment No.   0</w:t>
            </w:r>
          </w:p>
        </w:tc>
        <w:tc>
          <w:tcPr>
            <w:tcW w:w="280" w:type="dxa"/>
            <w:vAlign w:val="bottom"/>
            <w:gridSpan w:val="3"/>
          </w:tcPr>
          <w:p>
            <w:pPr>
              <w:ind w:left="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4"/>
          </w:tcPr>
          <w:p>
            <w:pPr>
              <w:jc w:val="center"/>
              <w:spacing w:after="0"/>
              <w:rPr>
                <w:sz w:val="20"/>
                <w:szCs w:val="20"/>
                <w:color w:val="auto"/>
              </w:rPr>
            </w:pPr>
            <w:r>
              <w:rPr>
                <w:rFonts w:ascii="Arial" w:cs="Arial" w:eastAsia="Arial" w:hAnsi="Arial"/>
                <w:sz w:val="22"/>
                <w:szCs w:val="22"/>
                <w:b w:val="1"/>
                <w:bCs w:val="1"/>
                <w:color w:val="auto"/>
                <w:w w:val="93"/>
              </w:rPr>
              <w:t>OMB Number</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5"/>
          </w:tcPr>
          <w:p>
            <w:pPr>
              <w:jc w:val="center"/>
              <w:spacing w:after="0"/>
              <w:rPr>
                <w:sz w:val="20"/>
                <w:szCs w:val="20"/>
                <w:color w:val="auto"/>
              </w:rPr>
            </w:pPr>
            <w:r>
              <w:rPr>
                <w:rFonts w:ascii="Arial" w:cs="Arial" w:eastAsia="Arial" w:hAnsi="Arial"/>
                <w:sz w:val="22"/>
                <w:szCs w:val="22"/>
                <w:b w:val="1"/>
                <w:bCs w:val="1"/>
                <w:color w:val="auto"/>
                <w:w w:val="91"/>
              </w:rPr>
              <w:t>SEC File Number</w:t>
            </w: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gridSpan w:val="4"/>
          </w:tcPr>
          <w:p>
            <w:pPr>
              <w:ind w:left="220"/>
              <w:spacing w:after="0"/>
              <w:rPr>
                <w:sz w:val="20"/>
                <w:szCs w:val="20"/>
                <w:color w:val="auto"/>
              </w:rPr>
            </w:pPr>
            <w:r>
              <w:rPr>
                <w:rFonts w:ascii="Arial" w:cs="Arial" w:eastAsia="Arial" w:hAnsi="Arial"/>
                <w:sz w:val="22"/>
                <w:szCs w:val="22"/>
                <w:b w:val="1"/>
                <w:bCs w:val="1"/>
                <w:color w:val="auto"/>
              </w:rPr>
              <w:t>CUSIP Number</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gridSpan w:val="4"/>
          </w:tcPr>
          <w:p>
            <w:pPr>
              <w:jc w:val="right"/>
              <w:ind w:right="332"/>
              <w:spacing w:after="0"/>
              <w:rPr>
                <w:sz w:val="20"/>
                <w:szCs w:val="20"/>
                <w:color w:val="auto"/>
              </w:rPr>
            </w:pPr>
            <w:r>
              <w:rPr>
                <w:rFonts w:ascii="Arial" w:cs="Arial" w:eastAsia="Arial" w:hAnsi="Arial"/>
                <w:sz w:val="22"/>
                <w:szCs w:val="22"/>
                <w:color w:val="auto"/>
              </w:rPr>
              <w:t>3235-0058</w:t>
            </w:r>
          </w:p>
        </w:tc>
        <w:tc>
          <w:tcPr>
            <w:tcW w:w="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22"/>
                <w:szCs w:val="22"/>
                <w:color w:val="auto"/>
              </w:rPr>
              <w:t>Form 10-K</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22"/>
                <w:szCs w:val="22"/>
                <w:color w:val="auto"/>
                <w:w w:val="89"/>
              </w:rPr>
              <w:t>Form 20-F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22"/>
                <w:szCs w:val="22"/>
                <w:color w:val="auto"/>
                <w:w w:val="92"/>
              </w:rPr>
              <w:t>Form 11-K</w:t>
            </w:r>
          </w:p>
        </w:tc>
        <w:tc>
          <w:tcPr>
            <w:tcW w:w="200" w:type="dxa"/>
            <w:vAlign w:val="bottom"/>
          </w:tcPr>
          <w:p>
            <w:pPr>
              <w:spacing w:after="0"/>
              <w:rPr>
                <w:sz w:val="17"/>
                <w:szCs w:val="17"/>
                <w:color w:val="auto"/>
              </w:rPr>
            </w:pPr>
          </w:p>
        </w:tc>
        <w:tc>
          <w:tcPr>
            <w:tcW w:w="1260" w:type="dxa"/>
            <w:vAlign w:val="bottom"/>
            <w:gridSpan w:val="5"/>
            <w:vMerge w:val="restart"/>
          </w:tcPr>
          <w:p>
            <w:pPr>
              <w:ind w:left="40"/>
              <w:spacing w:after="0"/>
              <w:rPr>
                <w:sz w:val="20"/>
                <w:szCs w:val="20"/>
                <w:color w:val="auto"/>
              </w:rPr>
            </w:pPr>
            <w:r>
              <w:rPr>
                <w:rFonts w:ascii="Arial" w:cs="Arial" w:eastAsia="Arial" w:hAnsi="Arial"/>
                <w:sz w:val="22"/>
                <w:szCs w:val="22"/>
                <w:color w:val="auto"/>
              </w:rPr>
              <w:t>Form 10-Q</w:t>
            </w:r>
          </w:p>
        </w:tc>
        <w:tc>
          <w:tcPr>
            <w:tcW w:w="180" w:type="dxa"/>
            <w:vAlign w:val="bottom"/>
          </w:tcPr>
          <w:p>
            <w:pPr>
              <w:spacing w:after="0"/>
              <w:rPr>
                <w:sz w:val="17"/>
                <w:szCs w:val="17"/>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22"/>
                <w:szCs w:val="22"/>
                <w:color w:val="auto"/>
              </w:rPr>
              <w:t>Form 10-D</w:t>
            </w:r>
          </w:p>
        </w:tc>
        <w:tc>
          <w:tcPr>
            <w:tcW w:w="200" w:type="dxa"/>
            <w:vAlign w:val="bottom"/>
          </w:tcPr>
          <w:p>
            <w:pPr>
              <w:spacing w:after="0"/>
              <w:rPr>
                <w:sz w:val="17"/>
                <w:szCs w:val="17"/>
                <w:color w:val="auto"/>
              </w:rPr>
            </w:pPr>
          </w:p>
        </w:tc>
        <w:tc>
          <w:tcPr>
            <w:tcW w:w="1200" w:type="dxa"/>
            <w:vAlign w:val="bottom"/>
            <w:vMerge w:val="restart"/>
          </w:tcPr>
          <w:p>
            <w:pPr>
              <w:ind w:left="20"/>
              <w:spacing w:after="0"/>
              <w:rPr>
                <w:sz w:val="20"/>
                <w:szCs w:val="20"/>
                <w:color w:val="auto"/>
              </w:rPr>
            </w:pPr>
            <w:r>
              <w:rPr>
                <w:rFonts w:ascii="Arial" w:cs="Arial" w:eastAsia="Arial" w:hAnsi="Arial"/>
                <w:sz w:val="22"/>
                <w:szCs w:val="22"/>
                <w:color w:val="auto"/>
                <w:w w:val="92"/>
              </w:rPr>
              <w:t>Form N-SAR</w:t>
            </w:r>
          </w:p>
        </w:tc>
        <w:tc>
          <w:tcPr>
            <w:tcW w:w="0" w:type="dxa"/>
            <w:vAlign w:val="bottom"/>
          </w:tcPr>
          <w:p>
            <w:pPr>
              <w:spacing w:after="0"/>
              <w:rPr>
                <w:sz w:val="1"/>
                <w:szCs w:val="1"/>
                <w:color w:val="auto"/>
              </w:rPr>
            </w:pPr>
          </w:p>
        </w:tc>
      </w:tr>
      <w:tr>
        <w:trPr>
          <w:trHeight w:val="291"/>
        </w:trPr>
        <w:tc>
          <w:tcPr>
            <w:tcW w:w="1200" w:type="dxa"/>
            <w:vAlign w:val="bottom"/>
            <w:tcBorders>
              <w:right w:val="single" w:sz="8" w:color="auto"/>
            </w:tcBorders>
          </w:tcPr>
          <w:p>
            <w:pPr>
              <w:spacing w:after="0"/>
              <w:rPr>
                <w:sz w:val="20"/>
                <w:szCs w:val="20"/>
                <w:color w:val="auto"/>
              </w:rPr>
            </w:pPr>
            <w:r>
              <w:rPr>
                <w:rFonts w:ascii="Arial" w:cs="Arial" w:eastAsia="Arial" w:hAnsi="Arial"/>
                <w:sz w:val="22"/>
                <w:szCs w:val="22"/>
                <w:i w:val="1"/>
                <w:iCs w:val="1"/>
                <w:color w:val="auto"/>
                <w:w w:val="92"/>
              </w:rPr>
              <w:t>(Check one):</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60" w:type="dxa"/>
            <w:vAlign w:val="bottom"/>
            <w:tcBorders>
              <w:top w:val="single" w:sz="8" w:color="auto"/>
              <w:bottom w:val="single" w:sz="8" w:color="auto"/>
              <w:right w:val="single" w:sz="8" w:color="auto"/>
            </w:tcBorders>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60" w:type="dxa"/>
            <w:vAlign w:val="bottom"/>
            <w:gridSpan w:val="5"/>
            <w:vMerge w:val="continue"/>
          </w:tcPr>
          <w:p>
            <w:pPr>
              <w:spacing w:after="0"/>
              <w:rPr>
                <w:sz w:val="24"/>
                <w:szCs w:val="24"/>
                <w:color w:val="auto"/>
              </w:rPr>
            </w:pPr>
          </w:p>
        </w:tc>
        <w:tc>
          <w:tcPr>
            <w:tcW w:w="1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22"/>
                <w:szCs w:val="22"/>
                <w:color w:val="auto"/>
              </w:rPr>
              <w:t>Form N-CSR</w:t>
            </w: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20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0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22"/>
                <w:szCs w:val="22"/>
                <w:color w:val="auto"/>
                <w:w w:val="91"/>
              </w:rPr>
              <w:t>For Period Ended:</w:t>
            </w:r>
          </w:p>
        </w:tc>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80" w:type="dxa"/>
            <w:vAlign w:val="bottom"/>
            <w:gridSpan w:val="12"/>
            <w:vMerge w:val="restart"/>
          </w:tcPr>
          <w:p>
            <w:pPr>
              <w:ind w:left="40"/>
              <w:spacing w:after="0"/>
              <w:rPr>
                <w:sz w:val="20"/>
                <w:szCs w:val="20"/>
                <w:color w:val="auto"/>
              </w:rPr>
            </w:pPr>
            <w:r>
              <w:rPr>
                <w:rFonts w:ascii="Arial" w:cs="Arial" w:eastAsia="Arial" w:hAnsi="Arial"/>
                <w:sz w:val="22"/>
                <w:szCs w:val="22"/>
                <w:color w:val="auto"/>
              </w:rPr>
              <w:t>Transition Report on Form 10-K</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4280" w:type="dxa"/>
            <w:vAlign w:val="bottom"/>
            <w:gridSpan w:val="12"/>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80" w:type="dxa"/>
            <w:vAlign w:val="bottom"/>
            <w:gridSpan w:val="12"/>
            <w:vMerge w:val="restart"/>
          </w:tcPr>
          <w:p>
            <w:pPr>
              <w:ind w:left="40"/>
              <w:spacing w:after="0"/>
              <w:rPr>
                <w:sz w:val="20"/>
                <w:szCs w:val="20"/>
                <w:color w:val="auto"/>
              </w:rPr>
            </w:pPr>
            <w:r>
              <w:rPr>
                <w:rFonts w:ascii="Arial" w:cs="Arial" w:eastAsia="Arial" w:hAnsi="Arial"/>
                <w:sz w:val="22"/>
                <w:szCs w:val="22"/>
                <w:color w:val="auto"/>
              </w:rPr>
              <w:t>Transition Report on Form 20-F</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200" w:type="dxa"/>
            <w:vAlign w:val="bottom"/>
            <w:tcBorders>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4280" w:type="dxa"/>
            <w:vAlign w:val="bottom"/>
            <w:gridSpan w:val="12"/>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13335</wp:posOffset>
            </wp:positionV>
            <wp:extent cx="167005" cy="210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23"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N-SAR</w:t>
      </w:r>
    </w:p>
    <w:p>
      <w:pPr>
        <w:spacing w:after="0" w:line="71" w:lineRule="exact"/>
        <w:rPr>
          <w:sz w:val="24"/>
          <w:szCs w:val="24"/>
          <w:color w:val="auto"/>
        </w:rPr>
      </w:pPr>
    </w:p>
    <w:p>
      <w:pPr>
        <w:ind w:left="1420"/>
        <w:spacing w:after="0"/>
        <w:rPr>
          <w:sz w:val="20"/>
          <w:szCs w:val="20"/>
          <w:color w:val="auto"/>
        </w:rPr>
      </w:pPr>
      <w:r>
        <w:rPr>
          <w:rFonts w:ascii="Arial" w:cs="Arial" w:eastAsia="Arial" w:hAnsi="Arial"/>
          <w:sz w:val="22"/>
          <w:szCs w:val="22"/>
          <w:color w:val="auto"/>
        </w:rPr>
        <w:t>For the Transition Period Ended: 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15875</wp:posOffset>
            </wp:positionV>
            <wp:extent cx="3644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176530</wp:posOffset>
            </wp:positionV>
            <wp:extent cx="6521450" cy="553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553085"/>
                    </a:xfrm>
                    <a:prstGeom prst="rect">
                      <a:avLst/>
                    </a:prstGeom>
                    <a:noFill/>
                  </pic:spPr>
                </pic:pic>
              </a:graphicData>
            </a:graphic>
          </wp:anchor>
        </w:drawing>
      </w:r>
    </w:p>
    <w:p>
      <w:pPr>
        <w:spacing w:after="0" w:line="308" w:lineRule="exact"/>
        <w:rPr>
          <w:sz w:val="24"/>
          <w:szCs w:val="24"/>
          <w:color w:val="auto"/>
        </w:rPr>
      </w:pPr>
    </w:p>
    <w:p>
      <w:pPr>
        <w:jc w:val="center"/>
        <w:ind w:left="860" w:right="80"/>
        <w:spacing w:after="0" w:line="241" w:lineRule="auto"/>
        <w:rPr>
          <w:sz w:val="20"/>
          <w:szCs w:val="20"/>
          <w:color w:val="auto"/>
        </w:rPr>
      </w:pPr>
      <w:r>
        <w:rPr>
          <w:rFonts w:ascii="Arial" w:cs="Arial" w:eastAsia="Arial" w:hAnsi="Arial"/>
          <w:sz w:val="22"/>
          <w:szCs w:val="22"/>
          <w:i w:val="1"/>
          <w:iCs w:val="1"/>
          <w:color w:val="auto"/>
        </w:rPr>
        <w:t xml:space="preserve">Read Instruction (on back page) Before Preparing Form. Please Print or Type. </w:t>
      </w:r>
      <w:r>
        <w:rPr>
          <w:rFonts w:ascii="Arial" w:cs="Arial" w:eastAsia="Arial" w:hAnsi="Arial"/>
          <w:sz w:val="22"/>
          <w:szCs w:val="22"/>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286385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Part I - Registrant Information</w:t>
      </w:r>
    </w:p>
    <w:p>
      <w:pPr>
        <w:spacing w:after="0" w:line="27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CLEARONE COMMUNICATIONS INC</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22"/>
          <w:szCs w:val="22"/>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5225 WILEY POST WAY STE 500</w:t>
      </w: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Address of Principal Executive Office </w:t>
      </w:r>
      <w:r>
        <w:rPr>
          <w:rFonts w:ascii="Arial" w:cs="Arial" w:eastAsia="Arial" w:hAnsi="Arial"/>
          <w:sz w:val="22"/>
          <w:szCs w:val="22"/>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SALT LAKE CITY, UT 84116</w:t>
      </w: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0220"/>
          </w:cols>
          <w:pgMar w:left="820" w:top="598" w:right="859" w:bottom="1440" w:gutter="0" w:footer="0" w:header="0"/>
        </w:sectPr>
      </w:pPr>
    </w:p>
    <w:bookmarkStart w:id="1" w:name="page2"/>
    <w:bookmarkEnd w:id="1"/>
    <w:p>
      <w:pPr>
        <w:spacing w:after="0"/>
        <w:rPr>
          <w:sz w:val="20"/>
          <w:szCs w:val="20"/>
          <w:color w:val="auto"/>
        </w:rPr>
      </w:pPr>
      <w:r>
        <w:rPr>
          <w:rFonts w:ascii="Arial" w:cs="Arial" w:eastAsia="Arial" w:hAnsi="Arial"/>
          <w:sz w:val="25"/>
          <w:szCs w:val="25"/>
          <w:b w:val="1"/>
          <w:bCs w:val="1"/>
          <w:color w:val="auto"/>
        </w:rPr>
        <w:t>Part II - Rules 12b-25(b) and (c)</w:t>
      </w:r>
    </w:p>
    <w:p>
      <w:pPr>
        <w:spacing w:after="0" w:line="268"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123825</wp:posOffset>
            </wp:positionV>
            <wp:extent cx="8890" cy="1440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40815"/>
                    </a:xfrm>
                    <a:prstGeom prst="rect">
                      <a:avLst/>
                    </a:prstGeom>
                    <a:noFill/>
                  </pic:spPr>
                </pic:pic>
              </a:graphicData>
            </a:graphic>
          </wp:anchor>
        </w:drawing>
      </w:r>
    </w:p>
    <w:p>
      <w:pPr>
        <w:spacing w:after="0" w:line="207" w:lineRule="exact"/>
        <w:rPr>
          <w:sz w:val="20"/>
          <w:szCs w:val="20"/>
          <w:color w:val="auto"/>
        </w:rPr>
      </w:pPr>
    </w:p>
    <w:p>
      <w:pPr>
        <w:ind w:left="800" w:right="1100" w:hanging="366"/>
        <w:spacing w:after="0" w:line="251" w:lineRule="auto"/>
        <w:tabs>
          <w:tab w:leader="none" w:pos="800" w:val="left"/>
        </w:tabs>
        <w:numPr>
          <w:ilvl w:val="1"/>
          <w:numId w:val="1"/>
        </w:numPr>
        <w:rPr>
          <w:rFonts w:ascii="Arial" w:cs="Arial" w:eastAsia="Arial" w:hAnsi="Arial"/>
          <w:sz w:val="22"/>
          <w:szCs w:val="22"/>
          <w:color w:val="auto"/>
        </w:rPr>
      </w:pPr>
      <w:r>
        <w:rPr>
          <w:rFonts w:ascii="Arial" w:cs="Arial" w:eastAsia="Arial" w:hAnsi="Arial"/>
          <w:sz w:val="22"/>
          <w:szCs w:val="22"/>
          <w:color w:val="auto"/>
        </w:rPr>
        <w:t>The reason described in reasonable detail in Part III of this form could not be eliminated without unreasonable effort or expense.</w:t>
      </w:r>
    </w:p>
    <w:p>
      <w:pPr>
        <w:spacing w:after="0" w:line="65" w:lineRule="exact"/>
        <w:rPr>
          <w:rFonts w:ascii="Arial" w:cs="Arial" w:eastAsia="Arial" w:hAnsi="Arial"/>
          <w:sz w:val="22"/>
          <w:szCs w:val="22"/>
          <w:color w:val="auto"/>
        </w:rPr>
      </w:pPr>
    </w:p>
    <w:p>
      <w:pPr>
        <w:ind w:left="800" w:hanging="366"/>
        <w:spacing w:after="0"/>
        <w:tabs>
          <w:tab w:leader="none" w:pos="800" w:val="left"/>
        </w:tabs>
        <w:numPr>
          <w:ilvl w:val="1"/>
          <w:numId w:val="1"/>
        </w:numPr>
        <w:rPr>
          <w:rFonts w:ascii="Arial" w:cs="Arial" w:eastAsia="Arial" w:hAnsi="Arial"/>
          <w:sz w:val="19"/>
          <w:szCs w:val="19"/>
          <w:color w:val="auto"/>
        </w:rPr>
      </w:pPr>
      <w:r>
        <w:rPr>
          <w:rFonts w:ascii="Arial" w:cs="Arial" w:eastAsia="Arial" w:hAnsi="Arial"/>
          <w:sz w:val="19"/>
          <w:szCs w:val="19"/>
          <w:color w:val="auto"/>
        </w:rPr>
        <w:t>The subject annual report, semi-annual report, transition report on Form 10-K, Form 20-F, Form 11-K, Form</w:t>
      </w:r>
    </w:p>
    <w:p>
      <w:pPr>
        <w:spacing w:after="0" w:line="42" w:lineRule="exact"/>
        <w:rPr>
          <w:rFonts w:ascii="Arial" w:cs="Arial" w:eastAsia="Arial" w:hAnsi="Arial"/>
          <w:sz w:val="19"/>
          <w:szCs w:val="19"/>
          <w:color w:val="auto"/>
        </w:rPr>
      </w:pPr>
    </w:p>
    <w:p>
      <w:pPr>
        <w:ind w:left="800" w:right="300" w:hanging="676"/>
        <w:spacing w:after="0" w:line="188" w:lineRule="auto"/>
        <w:tabs>
          <w:tab w:leader="none" w:pos="800" w:val="left"/>
        </w:tabs>
        <w:numPr>
          <w:ilvl w:val="0"/>
          <w:numId w:val="1"/>
        </w:numPr>
        <w:rPr>
          <w:rFonts w:ascii="Arial" w:cs="Arial" w:eastAsia="Arial" w:hAnsi="Arial"/>
          <w:sz w:val="43"/>
          <w:szCs w:val="43"/>
          <w:color w:val="auto"/>
          <w:vertAlign w:val="subscript"/>
        </w:rPr>
      </w:pPr>
      <w:r>
        <w:rPr>
          <w:rFonts w:ascii="Arial" w:cs="Arial" w:eastAsia="Arial" w:hAnsi="Arial"/>
          <w:sz w:val="22"/>
          <w:szCs w:val="22"/>
          <w:color w:val="auto"/>
        </w:rPr>
        <w:t>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80" w:lineRule="exact"/>
        <w:rPr>
          <w:rFonts w:ascii="Arial" w:cs="Arial" w:eastAsia="Arial" w:hAnsi="Arial"/>
          <w:sz w:val="43"/>
          <w:szCs w:val="43"/>
          <w:color w:val="auto"/>
          <w:vertAlign w:val="subscript"/>
        </w:rPr>
      </w:pPr>
    </w:p>
    <w:p>
      <w:pPr>
        <w:ind w:left="800" w:hanging="366"/>
        <w:spacing w:after="0"/>
        <w:tabs>
          <w:tab w:leader="none" w:pos="800"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-761365</wp:posOffset>
            </wp:positionV>
            <wp:extent cx="132715" cy="210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715" cy="2101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 - Narrative</w:t>
      </w:r>
    </w:p>
    <w:p>
      <w:pPr>
        <w:spacing w:after="0" w:line="25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State below i n reasonable detail why Forms 10-K, 20-F, 11-K, 10-Q,10-D, N-SAR, N-CSR, or the transition report or portion thereof, could not be filed within the prescribed time period.</w:t>
      </w:r>
    </w:p>
    <w:p>
      <w:pPr>
        <w:spacing w:after="0" w:line="17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ClearOne Communications, Inc. (the “Company”) is unable to file the transition report on Form 10-K for the transition period ended December 31, 2009 (the “Form 10-K”) by the prescribed filing deadline of March 31, 2010 without unreasonable effort and expense. The Company acquired NetStreams, Inc. on November 3, 2009 and has expended considerable resources and time in integrating the operations of the company and to gather and process financial information for reporting for the transition period. The Company will need additional time to complete the required reporting including accounting for acquisition. The Company expects to file the Form 10-K for the transit ion period ended December 31, 2009 as soon as practicable and no later than 15th calendar day following the prescribed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 - Other Information</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Name and telephone number of person to contact in regard to this notification</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71"/>
        </w:trPr>
        <w:tc>
          <w:tcPr>
            <w:tcW w:w="5780" w:type="dxa"/>
            <w:vAlign w:val="bottom"/>
          </w:tcPr>
          <w:p>
            <w:pPr>
              <w:jc w:val="center"/>
              <w:spacing w:after="0"/>
              <w:rPr>
                <w:sz w:val="20"/>
                <w:szCs w:val="20"/>
                <w:color w:val="auto"/>
              </w:rPr>
            </w:pPr>
            <w:r>
              <w:rPr>
                <w:rFonts w:ascii="Arial" w:cs="Arial" w:eastAsia="Arial" w:hAnsi="Arial"/>
                <w:sz w:val="22"/>
                <w:szCs w:val="22"/>
                <w:b w:val="1"/>
                <w:bCs w:val="1"/>
                <w:color w:val="auto"/>
                <w:w w:val="92"/>
              </w:rPr>
              <w:t>Narsi Narayanan</w:t>
            </w:r>
          </w:p>
        </w:tc>
        <w:tc>
          <w:tcPr>
            <w:tcW w:w="1940" w:type="dxa"/>
            <w:vAlign w:val="bottom"/>
            <w:gridSpan w:val="2"/>
          </w:tcPr>
          <w:p>
            <w:pPr>
              <w:jc w:val="right"/>
              <w:ind w:right="692"/>
              <w:spacing w:after="0"/>
              <w:rPr>
                <w:sz w:val="20"/>
                <w:szCs w:val="20"/>
                <w:color w:val="auto"/>
              </w:rPr>
            </w:pPr>
            <w:r>
              <w:rPr>
                <w:rFonts w:ascii="Arial" w:cs="Arial" w:eastAsia="Arial" w:hAnsi="Arial"/>
                <w:sz w:val="22"/>
                <w:szCs w:val="22"/>
                <w:b w:val="1"/>
                <w:bCs w:val="1"/>
                <w:color w:val="auto"/>
              </w:rPr>
              <w:t>801</w:t>
            </w:r>
          </w:p>
        </w:tc>
        <w:tc>
          <w:tcPr>
            <w:tcW w:w="1940" w:type="dxa"/>
            <w:vAlign w:val="bottom"/>
            <w:gridSpan w:val="2"/>
          </w:tcPr>
          <w:p>
            <w:pPr>
              <w:jc w:val="right"/>
              <w:ind w:right="432"/>
              <w:spacing w:after="0"/>
              <w:rPr>
                <w:sz w:val="20"/>
                <w:szCs w:val="20"/>
                <w:color w:val="auto"/>
              </w:rPr>
            </w:pPr>
            <w:r>
              <w:rPr>
                <w:rFonts w:ascii="Arial" w:cs="Arial" w:eastAsia="Arial" w:hAnsi="Arial"/>
                <w:sz w:val="22"/>
                <w:szCs w:val="22"/>
                <w:b w:val="1"/>
                <w:bCs w:val="1"/>
                <w:color w:val="auto"/>
              </w:rPr>
              <w:t>975-7200</w:t>
            </w:r>
          </w:p>
        </w:tc>
      </w:tr>
      <w:tr>
        <w:trPr>
          <w:trHeight w:val="287"/>
        </w:trPr>
        <w:tc>
          <w:tcPr>
            <w:tcW w:w="57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(Name)</w:t>
            </w:r>
          </w:p>
        </w:tc>
        <w:tc>
          <w:tcPr>
            <w:tcW w:w="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(Area Code)</w:t>
            </w:r>
          </w:p>
        </w:tc>
        <w:tc>
          <w:tcPr>
            <w:tcW w:w="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(Telephone Number)</w:t>
            </w:r>
          </w:p>
        </w:tc>
      </w:tr>
    </w:tbl>
    <w:p>
      <w:pPr>
        <w:spacing w:after="0" w:line="225" w:lineRule="exact"/>
        <w:rPr>
          <w:sz w:val="20"/>
          <w:szCs w:val="20"/>
          <w:color w:val="auto"/>
        </w:rPr>
      </w:pPr>
    </w:p>
    <w:p>
      <w:pPr>
        <w:ind w:left="540" w:right="180" w:hanging="207"/>
        <w:spacing w:after="0"/>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147320</wp:posOffset>
            </wp:positionV>
            <wp:extent cx="167005" cy="210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005" cy="21018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147320</wp:posOffset>
            </wp:positionV>
            <wp:extent cx="124460" cy="210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460" cy="210185"/>
                    </a:xfrm>
                    <a:prstGeom prst="rect">
                      <a:avLst/>
                    </a:prstGeom>
                    <a:noFill/>
                  </pic:spPr>
                </pic:pic>
              </a:graphicData>
            </a:graphic>
          </wp:anchor>
        </w:drawing>
      </w:r>
    </w:p>
    <w:p>
      <w:pPr>
        <w:spacing w:after="0" w:line="234" w:lineRule="exact"/>
        <w:rPr>
          <w:sz w:val="20"/>
          <w:szCs w:val="20"/>
          <w:color w:val="auto"/>
        </w:rPr>
      </w:pPr>
    </w:p>
    <w:p>
      <w:pPr>
        <w:ind w:left="580"/>
        <w:spacing w:after="0"/>
        <w:tabs>
          <w:tab w:leader="none" w:pos="1040" w:val="left"/>
          <w:tab w:leader="none" w:pos="1340" w:val="left"/>
        </w:tabs>
        <w:rPr>
          <w:sz w:val="20"/>
          <w:szCs w:val="20"/>
          <w:color w:val="auto"/>
        </w:rPr>
      </w:pPr>
      <w:r>
        <w:rPr>
          <w:rFonts w:ascii="Arial" w:cs="Arial" w:eastAsia="Arial" w:hAnsi="Arial"/>
          <w:sz w:val="22"/>
          <w:szCs w:val="22"/>
          <w:color w:val="auto"/>
        </w:rPr>
        <w:t>Yes</w:t>
        <w:tab/>
        <w:t>√</w:t>
      </w:r>
      <w:r>
        <w:rPr>
          <w:sz w:val="20"/>
          <w:szCs w:val="20"/>
          <w:color w:val="auto"/>
        </w:rPr>
        <w:tab/>
      </w:r>
      <w:r>
        <w:rPr>
          <w:rFonts w:ascii="Arial" w:cs="Arial" w:eastAsia="Arial" w:hAnsi="Arial"/>
          <w:sz w:val="19"/>
          <w:szCs w:val="19"/>
          <w:color w:val="auto"/>
        </w:rPr>
        <w:t>No</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If answer is no, identify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264795</wp:posOffset>
            </wp:positionV>
            <wp:extent cx="6174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40" w:right="280" w:hanging="207"/>
        <w:spacing w:after="0" w:line="328"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95250</wp:posOffset>
            </wp:positionV>
            <wp:extent cx="167005" cy="210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005" cy="21018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95250</wp:posOffset>
            </wp:positionV>
            <wp:extent cx="124460" cy="210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460" cy="210185"/>
                    </a:xfrm>
                    <a:prstGeom prst="rect">
                      <a:avLst/>
                    </a:prstGeom>
                    <a:noFill/>
                  </pic:spPr>
                </pic:pic>
              </a:graphicData>
            </a:graphic>
          </wp:anchor>
        </w:drawing>
      </w:r>
    </w:p>
    <w:p>
      <w:pPr>
        <w:spacing w:after="0" w:line="153" w:lineRule="exact"/>
        <w:rPr>
          <w:sz w:val="20"/>
          <w:szCs w:val="20"/>
          <w:color w:val="auto"/>
        </w:rPr>
      </w:pPr>
    </w:p>
    <w:p>
      <w:pPr>
        <w:ind w:left="580"/>
        <w:spacing w:after="0"/>
        <w:tabs>
          <w:tab w:leader="none" w:pos="1040" w:val="left"/>
          <w:tab w:leader="none" w:pos="1340" w:val="left"/>
        </w:tabs>
        <w:rPr>
          <w:sz w:val="20"/>
          <w:szCs w:val="20"/>
          <w:color w:val="auto"/>
        </w:rPr>
      </w:pPr>
      <w:r>
        <w:rPr>
          <w:rFonts w:ascii="Arial" w:cs="Arial" w:eastAsia="Arial" w:hAnsi="Arial"/>
          <w:sz w:val="22"/>
          <w:szCs w:val="22"/>
          <w:color w:val="auto"/>
        </w:rPr>
        <w:t>Yes</w:t>
        <w:tab/>
        <w:t>√</w:t>
      </w:r>
      <w:r>
        <w:rPr>
          <w:sz w:val="20"/>
          <w:szCs w:val="20"/>
          <w:color w:val="auto"/>
        </w:rPr>
        <w:tab/>
      </w:r>
      <w:r>
        <w:rPr>
          <w:rFonts w:ascii="Arial" w:cs="Arial" w:eastAsia="Arial" w:hAnsi="Arial"/>
          <w:sz w:val="19"/>
          <w:szCs w:val="19"/>
          <w:color w:val="auto"/>
        </w:rPr>
        <w:t>No</w:t>
      </w:r>
    </w:p>
    <w:p>
      <w:pPr>
        <w:spacing w:after="0" w:line="166" w:lineRule="exact"/>
        <w:rPr>
          <w:sz w:val="20"/>
          <w:szCs w:val="20"/>
          <w:color w:val="auto"/>
        </w:rPr>
      </w:pPr>
    </w:p>
    <w:p>
      <w:pPr>
        <w:ind w:left="540" w:right="320"/>
        <w:spacing w:after="0" w:line="251" w:lineRule="auto"/>
        <w:rPr>
          <w:sz w:val="20"/>
          <w:szCs w:val="20"/>
          <w:color w:val="auto"/>
        </w:rPr>
      </w:pPr>
      <w:r>
        <w:rPr>
          <w:rFonts w:ascii="Arial" w:cs="Arial" w:eastAsia="Arial" w:hAnsi="Arial"/>
          <w:sz w:val="22"/>
          <w:szCs w:val="22"/>
          <w:color w:val="auto"/>
        </w:rPr>
        <w:t>If so, attach an explanation of the anticipated change, both narratively and quantitatively, and, if appropriate, state the reasons why a reasonable estimate of the results cannot be made.</w:t>
      </w:r>
    </w:p>
    <w:p>
      <w:pPr>
        <w:spacing w:after="0" w:line="65" w:lineRule="exact"/>
        <w:rPr>
          <w:sz w:val="20"/>
          <w:szCs w:val="20"/>
          <w:color w:val="auto"/>
        </w:rPr>
      </w:pPr>
    </w:p>
    <w:p>
      <w:pPr>
        <w:ind w:left="540" w:right="20"/>
        <w:spacing w:after="0" w:line="275" w:lineRule="auto"/>
        <w:rPr>
          <w:sz w:val="20"/>
          <w:szCs w:val="20"/>
          <w:color w:val="auto"/>
        </w:rPr>
      </w:pPr>
      <w:r>
        <w:rPr>
          <w:rFonts w:ascii="Arial" w:cs="Arial" w:eastAsia="Arial" w:hAnsi="Arial"/>
          <w:sz w:val="19"/>
          <w:szCs w:val="19"/>
          <w:color w:val="auto"/>
        </w:rPr>
        <w:t>The Company expects to report a net income for the transition period of six months ended December 31, 2009 of approximately $0.1 million on revenues of approximately $16.8 million, as compared to a net income for six months ended December 31, 2008 of $2.3 million (restated) on revenues of $21.0 million (restated). The decrease in net income is primarily due to reduction in revenues and margin due to a slow down in the economy and due to higher legal expenses. While the Company does not expect the audited results for the transition period ended December 31, 2009 to materially differ from those reported above, since the Company has not completed the audit for the transition period ended December 31, 2009 the audited results ultimately reported in Form 10-K may differ from those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10795</wp:posOffset>
            </wp:positionV>
            <wp:extent cx="6174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240"/>
          </w:cols>
          <w:pgMar w:left="820" w:top="616" w:right="83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526415</wp:posOffset>
            </wp:positionH>
            <wp:positionV relativeFrom="page">
              <wp:posOffset>363220</wp:posOffset>
            </wp:positionV>
            <wp:extent cx="651764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34290"/>
                    </a:xfrm>
                    <a:prstGeom prst="rect">
                      <a:avLst/>
                    </a:prstGeom>
                    <a:noFill/>
                  </pic:spPr>
                </pic:pic>
              </a:graphicData>
            </a:graphic>
          </wp:anchor>
        </w:drawing>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517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(Name of Registrant as Specified in Charter)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has caused this notification to be signed on its behalf by the undersigned hereunto duly authorized</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332"/>
        </w:trPr>
        <w:tc>
          <w:tcPr>
            <w:tcW w:w="2420" w:type="dxa"/>
            <w:vAlign w:val="bottom"/>
            <w:gridSpan w:val="2"/>
          </w:tcPr>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18"/>
                <w:szCs w:val="18"/>
                <w:b w:val="1"/>
                <w:bCs w:val="1"/>
                <w:color w:val="auto"/>
              </w:rPr>
              <w:t>04-01-2010</w:t>
            </w:r>
          </w:p>
        </w:tc>
        <w:tc>
          <w:tcPr>
            <w:tcW w:w="840" w:type="dxa"/>
            <w:vAlign w:val="bottom"/>
          </w:tcPr>
          <w:p>
            <w:pPr>
              <w:ind w:left="440"/>
              <w:spacing w:after="0"/>
              <w:rPr>
                <w:sz w:val="20"/>
                <w:szCs w:val="20"/>
                <w:color w:val="auto"/>
              </w:rPr>
            </w:pPr>
            <w:r>
              <w:rPr>
                <w:rFonts w:ascii="Arial" w:cs="Arial" w:eastAsia="Arial" w:hAnsi="Arial"/>
                <w:sz w:val="22"/>
                <w:szCs w:val="22"/>
                <w:color w:val="auto"/>
              </w:rPr>
              <w:t>By</w:t>
            </w:r>
          </w:p>
        </w:tc>
        <w:tc>
          <w:tcPr>
            <w:tcW w:w="3240" w:type="dxa"/>
            <w:vAlign w:val="bottom"/>
          </w:tcPr>
          <w:p>
            <w:pPr>
              <w:ind w:left="20"/>
              <w:spacing w:after="0"/>
              <w:rPr>
                <w:sz w:val="20"/>
                <w:szCs w:val="20"/>
                <w:color w:val="auto"/>
              </w:rPr>
            </w:pPr>
            <w:r>
              <w:rPr>
                <w:rFonts w:ascii="Arial" w:cs="Arial" w:eastAsia="Arial" w:hAnsi="Arial"/>
                <w:sz w:val="19"/>
                <w:szCs w:val="19"/>
                <w:b w:val="1"/>
                <w:bCs w:val="1"/>
                <w:color w:val="auto"/>
              </w:rPr>
              <w:t>ZEYNEP HAKIMOGLU</w:t>
            </w:r>
          </w:p>
        </w:tc>
        <w:tc>
          <w:tcPr>
            <w:tcW w:w="1020" w:type="dxa"/>
            <w:vAlign w:val="bottom"/>
          </w:tcPr>
          <w:p>
            <w:pPr>
              <w:ind w:left="460"/>
              <w:spacing w:after="0"/>
              <w:rPr>
                <w:sz w:val="20"/>
                <w:szCs w:val="20"/>
                <w:color w:val="auto"/>
              </w:rPr>
            </w:pPr>
            <w:r>
              <w:rPr>
                <w:rFonts w:ascii="Arial" w:cs="Arial" w:eastAsia="Arial" w:hAnsi="Arial"/>
                <w:sz w:val="22"/>
                <w:szCs w:val="22"/>
                <w:color w:val="auto"/>
              </w:rPr>
              <w:t>Title:</w:t>
            </w:r>
          </w:p>
        </w:tc>
        <w:tc>
          <w:tcPr>
            <w:tcW w:w="2680" w:type="dxa"/>
            <w:vAlign w:val="bottom"/>
          </w:tcPr>
          <w:p>
            <w:pPr>
              <w:spacing w:after="0"/>
              <w:rPr>
                <w:sz w:val="20"/>
                <w:szCs w:val="20"/>
                <w:color w:val="auto"/>
              </w:rPr>
            </w:pPr>
            <w:r>
              <w:rPr>
                <w:rFonts w:ascii="Arial" w:cs="Arial" w:eastAsia="Arial" w:hAnsi="Arial"/>
                <w:sz w:val="19"/>
                <w:szCs w:val="19"/>
                <w:b w:val="1"/>
                <w:bCs w:val="1"/>
                <w:color w:val="auto"/>
              </w:rPr>
              <w:t>CHIEF EXECUTIVE</w:t>
            </w:r>
          </w:p>
        </w:tc>
      </w:tr>
      <w:tr>
        <w:trPr>
          <w:trHeight w:val="162"/>
        </w:trPr>
        <w:tc>
          <w:tcPr>
            <w:tcW w:w="5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40" w:type="dxa"/>
            <w:vAlign w:val="bottom"/>
          </w:tcPr>
          <w:p>
            <w:pPr>
              <w:ind w:left="440"/>
              <w:spacing w:after="0" w:line="162" w:lineRule="exact"/>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68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OFFICER</w:t>
            </w:r>
          </w:p>
        </w:tc>
      </w:tr>
    </w:tbl>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240030</wp:posOffset>
            </wp:positionV>
            <wp:extent cx="5972810" cy="553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72810" cy="5530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Attention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Intentional misstatements or omissions of fact constitute Federal Criminal Violations (See 18 U.S.C.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51764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51435"/>
                    </a:xfrm>
                    <a:prstGeom prst="rect">
                      <a:avLst/>
                    </a:prstGeom>
                    <a:noFill/>
                  </pic:spPr>
                </pic:pic>
              </a:graphicData>
            </a:graphic>
          </wp:anchor>
        </w:drawing>
      </w:r>
    </w:p>
    <w:sectPr>
      <w:pgSz w:w="11900" w:h="16838" w:orient="portrait"/>
      <w:cols w:equalWidth="0" w:num="1">
        <w:col w:w="10240"/>
      </w:cols>
      <w:pgMar w:left="820" w:top="59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3"/>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2019-12-10T08:10:10Z</dcterms:created>
  <dcterms:modified xsi:type="dcterms:W3CDTF">2019-12-10T08:10:10Z</dcterms:modified>
</cp:coreProperties>
</file>