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67" w:lineRule="exact"/>
        <w:rPr>
          <w:sz w:val="24"/>
          <w:szCs w:val="24"/>
          <w:color w:val="auto"/>
        </w:rPr>
      </w:pPr>
    </w:p>
    <w:p>
      <w:pPr>
        <w:ind w:left="380"/>
        <w:spacing w:after="0" w:line="23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38735</wp:posOffset>
            </wp:positionH>
            <wp:positionV relativeFrom="paragraph">
              <wp:posOffset>-243205</wp:posOffset>
            </wp:positionV>
            <wp:extent cx="136525" cy="1365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525" cy="1365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3"/>
        </w:trPr>
        <w:tc>
          <w:tcPr>
            <w:tcW w:w="6540" w:type="dxa"/>
            <w:vAlign w:val="bottom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 w:line="141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9"/>
        </w:trPr>
        <w:tc>
          <w:tcPr>
            <w:tcW w:w="6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8"/>
        </w:trPr>
        <w:tc>
          <w:tcPr>
            <w:tcW w:w="6540" w:type="dxa"/>
            <w:vAlign w:val="bottom"/>
            <w:vMerge w:val="restart"/>
          </w:tcPr>
          <w:p>
            <w:pPr>
              <w:jc w:val="center"/>
              <w:ind w:right="1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65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5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5481955</wp:posOffset>
            </wp:positionH>
            <wp:positionV relativeFrom="paragraph">
              <wp:posOffset>-650875</wp:posOffset>
            </wp:positionV>
            <wp:extent cx="59690" cy="6642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4145280</wp:posOffset>
            </wp:positionH>
            <wp:positionV relativeFrom="paragraph">
              <wp:posOffset>-650875</wp:posOffset>
            </wp:positionV>
            <wp:extent cx="59690" cy="66421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4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-1696720</wp:posOffset>
            </wp:positionH>
            <wp:positionV relativeFrom="paragraph">
              <wp:posOffset>20320</wp:posOffset>
            </wp:positionV>
            <wp:extent cx="7323455" cy="50247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323455" cy="50247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60" w:space="300"/>
            <w:col w:w="8860"/>
          </w:cols>
          <w:pgMar w:left="240" w:top="225" w:right="13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Arial" w:cs="Arial" w:eastAsia="Arial" w:hAnsi="Arial"/>
          <w:sz w:val="21"/>
          <w:szCs w:val="21"/>
          <w:u w:val="single" w:color="auto"/>
          <w:color w:val="0000EE"/>
        </w:rPr>
      </w:pPr>
      <w:hyperlink r:id="rId12">
        <w:r>
          <w:rPr>
            <w:rFonts w:ascii="Arial" w:cs="Arial" w:eastAsia="Arial" w:hAnsi="Arial"/>
            <w:sz w:val="21"/>
            <w:szCs w:val="21"/>
            <w:u w:val="single" w:color="auto"/>
            <w:color w:val="0000EE"/>
          </w:rPr>
          <w:t>HAKIMOGLU ZEYNEP</w:t>
        </w:r>
      </w:hyperlink>
    </w:p>
    <w:p>
      <w:pPr>
        <w:spacing w:after="0" w:line="3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80" w:val="left"/>
          <w:tab w:leader="none" w:pos="26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1825 RESEARCH WAY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rFonts w:ascii="Arial" w:cs="Arial" w:eastAsia="Arial" w:hAnsi="Arial"/>
          <w:sz w:val="20"/>
          <w:szCs w:val="20"/>
          <w:color w:val="0000EE"/>
        </w:rPr>
      </w:pPr>
      <w:hyperlink r:id="rId13">
        <w:r>
          <w:rPr>
            <w:rFonts w:ascii="Arial" w:cs="Arial" w:eastAsia="Arial" w:hAnsi="Arial"/>
            <w:sz w:val="20"/>
            <w:szCs w:val="20"/>
            <w:u w:val="single" w:color="auto"/>
            <w:color w:val="0000EE"/>
          </w:rPr>
          <w:t>CLEARONE COMMUNICATIONS INC</w:t>
        </w:r>
        <w:r>
          <w:rPr>
            <w:rFonts w:ascii="Arial" w:cs="Arial" w:eastAsia="Arial" w:hAnsi="Arial"/>
            <w:sz w:val="20"/>
            <w:szCs w:val="20"/>
            <w:color w:val="0000EE"/>
          </w:rPr>
          <w:t xml:space="preserve"> </w:t>
        </w:r>
      </w:hyperlink>
      <w:r>
        <w:rPr>
          <w:rFonts w:ascii="Arial" w:cs="Arial" w:eastAsia="Arial" w:hAnsi="Arial"/>
          <w:sz w:val="20"/>
          <w:szCs w:val="20"/>
          <w:color w:val="000000"/>
        </w:rPr>
        <w:t>[</w:t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 xml:space="preserve">CLRO </w:t>
      </w:r>
      <w:r>
        <w:rPr>
          <w:rFonts w:ascii="Arial" w:cs="Arial" w:eastAsia="Arial" w:hAnsi="Arial"/>
          <w:sz w:val="21"/>
          <w:szCs w:val="21"/>
          <w:color w:val="000000"/>
        </w:rPr>
        <w:t>]</w:t>
      </w:r>
    </w:p>
    <w:p>
      <w:pPr>
        <w:spacing w:after="0" w:line="28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4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03/24/2004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8" w:lineRule="exact"/>
        <w:rPr>
          <w:sz w:val="24"/>
          <w:szCs w:val="24"/>
          <w:color w:val="auto"/>
        </w:rPr>
      </w:pPr>
    </w:p>
    <w:p>
      <w:pPr>
        <w:ind w:left="6" w:right="640" w:hanging="6"/>
        <w:spacing w:after="0" w:line="255" w:lineRule="auto"/>
        <w:tabs>
          <w:tab w:leader="none" w:pos="15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8" w:lineRule="exact"/>
        <w:rPr>
          <w:sz w:val="24"/>
          <w:szCs w:val="24"/>
          <w:color w:val="auto"/>
        </w:rPr>
      </w:pPr>
    </w:p>
    <w:tbl>
      <w:tblPr>
        <w:tblLayout w:type="fixed"/>
        <w:tblInd w:w="206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1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X</w:t>
            </w:r>
          </w:p>
        </w:tc>
        <w:tc>
          <w:tcPr>
            <w:tcW w:w="140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5"/>
        </w:trPr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32" w:lineRule="exact"/>
        <w:rPr>
          <w:sz w:val="24"/>
          <w:szCs w:val="24"/>
          <w:color w:val="auto"/>
        </w:rPr>
      </w:pPr>
    </w:p>
    <w:p>
      <w:pPr>
        <w:jc w:val="center"/>
        <w:ind w:right="174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color w:val="0000FF"/>
        </w:rPr>
        <w:t>VP Product Management</w:t>
      </w:r>
    </w:p>
    <w:p>
      <w:pPr>
        <w:spacing w:after="0" w:line="38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360" w:space="720"/>
            <w:col w:w="3700" w:space="274"/>
            <w:col w:w="3466"/>
          </w:cols>
          <w:pgMar w:left="240" w:top="225" w:right="139" w:bottom="1440" w:gutter="0" w:footer="0" w:header="0"/>
          <w:type w:val="continuous"/>
        </w:sectPr>
      </w:pP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20" w:type="dxa"/>
            <w:vAlign w:val="bottom"/>
            <w:gridSpan w:val="8"/>
          </w:tcPr>
          <w:p>
            <w:pPr>
              <w:jc w:val="center"/>
              <w:ind w:right="3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780" w:type="dxa"/>
            <w:vAlign w:val="bottom"/>
            <w:gridSpan w:val="10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SALT LAKE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Line)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UT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84119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restart"/>
          </w:tcPr>
          <w:p>
            <w:pPr>
              <w:ind w:left="5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CITY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80" w:type="dxa"/>
            <w:vAlign w:val="bottom"/>
            <w:gridSpan w:val="10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0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1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8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540" w:type="dxa"/>
            <w:vAlign w:val="bottom"/>
            <w:tcBorders>
              <w:top w:val="single" w:sz="8" w:color="2C2C2C"/>
            </w:tcBorders>
            <w:gridSpan w:val="15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6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9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8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8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00" w:type="dxa"/>
            <w:vAlign w:val="bottom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4"/>
          </w:tcPr>
          <w:p>
            <w:pPr>
              <w:ind w:left="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8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restart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00" w:type="dxa"/>
            <w:vAlign w:val="bottom"/>
          </w:tcPr>
          <w:p>
            <w:pPr>
              <w:ind w:left="3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20" w:type="dxa"/>
            <w:vAlign w:val="bottom"/>
            <w:gridSpan w:val="2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6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6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jc w:val="center"/>
              <w:ind w:right="98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40" w:type="dxa"/>
            <w:vAlign w:val="bottom"/>
            <w:gridSpan w:val="12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gridSpan w:val="3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Ownership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4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ind w:left="12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40" w:type="dxa"/>
            <w:vAlign w:val="bottom"/>
            <w:gridSpan w:val="3"/>
          </w:tcPr>
          <w:p>
            <w:pPr>
              <w:ind w:left="1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8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(I) (Instr. 4)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 (Instr.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3, 4 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 w:line="13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</w:t>
            </w:r>
          </w:p>
        </w:tc>
        <w:tc>
          <w:tcPr>
            <w:tcW w:w="3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Employee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6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</w:rPr>
              <w:t>50,000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6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6.4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03/24/2004</w:t>
            </w: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A</w:t>
            </w:r>
          </w:p>
        </w:tc>
        <w:tc>
          <w:tcPr>
            <w:tcW w:w="600" w:type="dxa"/>
            <w:vAlign w:val="bottom"/>
          </w:tcPr>
          <w:p>
            <w:pPr>
              <w:ind w:left="1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50,000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03/24/2014</w:t>
            </w:r>
          </w:p>
        </w:tc>
        <w:tc>
          <w:tcPr>
            <w:tcW w:w="7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$</w:t>
            </w: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0</w:t>
            </w:r>
          </w:p>
        </w:tc>
        <w:tc>
          <w:tcPr>
            <w:tcW w:w="620" w:type="dxa"/>
            <w:vAlign w:val="bottom"/>
          </w:tcPr>
          <w:p>
            <w:pPr>
              <w:ind w:left="2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  <w:w w:val="90"/>
              </w:rPr>
              <w:t>50,000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34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D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(right to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160"/>
              <w:spacing w:after="0" w:line="148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00FF"/>
        </w:rPr>
        <w:t>buy)</w:t>
      </w:r>
    </w:p>
    <w:p>
      <w:pPr>
        <w:spacing w:after="0" w:line="10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008000"/>
        </w:rPr>
        <w:t>1. 25% of the options granted will vest on the first anniversary of the stock option grant. The remaining options will vest in equal monthly increments over the subsequent thirty-six month period.</w:t>
      </w:r>
    </w:p>
    <w:p>
      <w:pPr>
        <w:spacing w:after="0" w:line="68" w:lineRule="exact"/>
        <w:rPr>
          <w:sz w:val="24"/>
          <w:szCs w:val="24"/>
          <w:color w:val="auto"/>
        </w:rPr>
      </w:pPr>
    </w:p>
    <w:tbl>
      <w:tblPr>
        <w:tblLayout w:type="fixed"/>
        <w:tblInd w:w="686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6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94"/>
              </w:rPr>
              <w:t>Zeynep Hakimoglu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0000FF"/>
                <w:w w:val="89"/>
              </w:rPr>
              <w:t>03/24/2004</w:t>
            </w:r>
          </w:p>
        </w:tc>
      </w:tr>
      <w:tr>
        <w:trPr>
          <w:trHeight w:val="235"/>
        </w:trPr>
        <w:tc>
          <w:tcPr>
            <w:tcW w:w="23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jc w:val="both"/>
        <w:ind w:left="40" w:right="3740" w:firstLine="8"/>
        <w:spacing w:after="0" w:line="321" w:lineRule="auto"/>
        <w:tabs>
          <w:tab w:leader="none" w:pos="182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520"/>
      </w:cols>
      <w:pgMar w:left="240" w:top="225" w:right="1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hyperlink" Target="http://www.sec.gov/cgi-bin/browse-edgar?action=getcompany&amp;CIK=0001271904" TargetMode="External"/><Relationship Id="rId13" Type="http://schemas.openxmlformats.org/officeDocument/2006/relationships/hyperlink" Target="http://www.sec.gov/cgi-bin/browse-edgar?action=getcompany&amp;CIK=000084071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2019-12-16T05:26:45Z</dcterms:created>
  <dcterms:modified xsi:type="dcterms:W3CDTF">2019-12-16T05:26:45Z</dcterms:modified>
</cp:coreProperties>
</file>