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January 15, 2013</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Utah</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(State or Other Jurisdiction of Incorporation)</w:t>
      </w:r>
    </w:p>
    <w:p>
      <w:pPr>
        <w:spacing w:after="0" w:line="227" w:lineRule="exact"/>
        <w:rPr>
          <w:sz w:val="24"/>
          <w:szCs w:val="24"/>
          <w:color w:val="auto"/>
        </w:rPr>
      </w:pPr>
    </w:p>
    <w:tbl>
      <w:tblPr>
        <w:tblLayout w:type="fixed"/>
        <w:tblInd w:w="30" w:type="dxa"/>
        <w:tblCellMar>
          <w:top w:w="0" w:type="dxa"/>
          <w:left w:w="0" w:type="dxa"/>
          <w:bottom w:w="0" w:type="dxa"/>
          <w:right w:w="0" w:type="dxa"/>
        </w:tblCellMar>
      </w:tblPr>
      <w:tr>
        <w:trPr>
          <w:trHeight w:val="253"/>
        </w:trPr>
        <w:tc>
          <w:tcPr>
            <w:tcW w:w="5160" w:type="dxa"/>
            <w:vAlign w:val="bottom"/>
            <w:tcBorders>
              <w:top w:val="single" w:sz="8" w:color="808080"/>
              <w:left w:val="single" w:sz="8" w:color="808080"/>
              <w:bottom w:val="single" w:sz="8" w:color="auto"/>
            </w:tcBorders>
          </w:tcPr>
          <w:p>
            <w:pPr>
              <w:jc w:val="right"/>
              <w:ind w:right="2090"/>
              <w:spacing w:after="0"/>
              <w:rPr>
                <w:sz w:val="20"/>
                <w:szCs w:val="20"/>
                <w:color w:val="auto"/>
              </w:rPr>
            </w:pPr>
            <w:r>
              <w:rPr>
                <w:rFonts w:ascii="Arial" w:cs="Arial" w:eastAsia="Arial" w:hAnsi="Arial"/>
                <w:sz w:val="18"/>
                <w:szCs w:val="18"/>
                <w:b w:val="1"/>
                <w:bCs w:val="1"/>
                <w:color w:val="auto"/>
              </w:rPr>
              <w:t>001-33660</w:t>
            </w:r>
          </w:p>
        </w:tc>
        <w:tc>
          <w:tcPr>
            <w:tcW w:w="520" w:type="dxa"/>
            <w:vAlign w:val="bottom"/>
            <w:tcBorders>
              <w:top w:val="single" w:sz="8" w:color="808080"/>
            </w:tcBorders>
          </w:tcPr>
          <w:p>
            <w:pPr>
              <w:spacing w:after="0"/>
              <w:rPr>
                <w:sz w:val="22"/>
                <w:szCs w:val="22"/>
                <w:color w:val="auto"/>
              </w:rPr>
            </w:pPr>
          </w:p>
        </w:tc>
        <w:tc>
          <w:tcPr>
            <w:tcW w:w="4640" w:type="dxa"/>
            <w:vAlign w:val="bottom"/>
            <w:tcBorders>
              <w:top w:val="single" w:sz="8" w:color="808080"/>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87-0398877</w:t>
            </w:r>
          </w:p>
        </w:tc>
        <w:tc>
          <w:tcPr>
            <w:tcW w:w="40" w:type="dxa"/>
            <w:vAlign w:val="bottom"/>
            <w:tcBorders>
              <w:top w:val="single" w:sz="8" w:color="808080"/>
              <w:right w:val="single" w:sz="8" w:color="808080"/>
            </w:tcBorders>
          </w:tcPr>
          <w:p>
            <w:pPr>
              <w:spacing w:after="0"/>
              <w:rPr>
                <w:sz w:val="22"/>
                <w:szCs w:val="22"/>
                <w:color w:val="auto"/>
              </w:rPr>
            </w:pPr>
          </w:p>
        </w:tc>
      </w:tr>
      <w:tr>
        <w:trPr>
          <w:trHeight w:val="202"/>
        </w:trPr>
        <w:tc>
          <w:tcPr>
            <w:tcW w:w="5160" w:type="dxa"/>
            <w:vAlign w:val="bottom"/>
            <w:tcBorders>
              <w:left w:val="single" w:sz="8" w:color="808080"/>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520" w:type="dxa"/>
            <w:vAlign w:val="bottom"/>
          </w:tcPr>
          <w:p>
            <w:pPr>
              <w:spacing w:after="0"/>
              <w:rPr>
                <w:sz w:val="17"/>
                <w:szCs w:val="17"/>
                <w:color w:val="auto"/>
              </w:rPr>
            </w:pPr>
          </w:p>
        </w:tc>
        <w:tc>
          <w:tcPr>
            <w:tcW w:w="464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c>
          <w:tcPr>
            <w:tcW w:w="40" w:type="dxa"/>
            <w:vAlign w:val="bottom"/>
            <w:tcBorders>
              <w:right w:val="single" w:sz="8" w:color="808080"/>
            </w:tcBorders>
          </w:tcPr>
          <w:p>
            <w:pPr>
              <w:spacing w:after="0"/>
              <w:rPr>
                <w:sz w:val="17"/>
                <w:szCs w:val="17"/>
                <w:color w:val="auto"/>
              </w:rPr>
            </w:pPr>
          </w:p>
        </w:tc>
      </w:tr>
      <w:tr>
        <w:trPr>
          <w:trHeight w:val="241"/>
        </w:trPr>
        <w:tc>
          <w:tcPr>
            <w:tcW w:w="5160" w:type="dxa"/>
            <w:vAlign w:val="bottom"/>
            <w:tcBorders>
              <w:left w:val="single" w:sz="8" w:color="808080"/>
              <w:bottom w:val="single" w:sz="8" w:color="808080"/>
            </w:tcBorders>
          </w:tcPr>
          <w:p>
            <w:pPr>
              <w:spacing w:after="0"/>
              <w:rPr>
                <w:sz w:val="20"/>
                <w:szCs w:val="20"/>
                <w:color w:val="auto"/>
              </w:rPr>
            </w:pPr>
          </w:p>
        </w:tc>
        <w:tc>
          <w:tcPr>
            <w:tcW w:w="520" w:type="dxa"/>
            <w:vAlign w:val="bottom"/>
            <w:tcBorders>
              <w:bottom w:val="single" w:sz="8" w:color="808080"/>
            </w:tcBorders>
          </w:tcPr>
          <w:p>
            <w:pPr>
              <w:spacing w:after="0"/>
              <w:rPr>
                <w:sz w:val="20"/>
                <w:szCs w:val="20"/>
                <w:color w:val="auto"/>
              </w:rPr>
            </w:pPr>
          </w:p>
        </w:tc>
        <w:tc>
          <w:tcPr>
            <w:tcW w:w="4680" w:type="dxa"/>
            <w:vAlign w:val="bottom"/>
            <w:tcBorders>
              <w:bottom w:val="single" w:sz="8" w:color="808080"/>
              <w:right w:val="single" w:sz="8" w:color="808080"/>
            </w:tcBorders>
            <w:gridSpan w:val="4"/>
          </w:tcPr>
          <w:p>
            <w:pPr>
              <w:jc w:val="center"/>
              <w:ind w:right="60"/>
              <w:spacing w:after="0"/>
              <w:rPr>
                <w:sz w:val="20"/>
                <w:szCs w:val="20"/>
                <w:color w:val="auto"/>
              </w:rPr>
            </w:pPr>
            <w:r>
              <w:rPr>
                <w:rFonts w:ascii="Arial" w:cs="Arial" w:eastAsia="Arial" w:hAnsi="Arial"/>
                <w:sz w:val="18"/>
                <w:szCs w:val="18"/>
                <w:color w:val="auto"/>
                <w:w w:val="94"/>
              </w:rPr>
              <w:t>identification number)</w:t>
            </w:r>
          </w:p>
        </w:tc>
      </w:tr>
      <w:tr>
        <w:trPr>
          <w:trHeight w:val="264"/>
        </w:trPr>
        <w:tc>
          <w:tcPr>
            <w:tcW w:w="5680" w:type="dxa"/>
            <w:vAlign w:val="bottom"/>
            <w:tcBorders>
              <w:bottom w:val="single" w:sz="8" w:color="808080"/>
            </w:tcBorders>
            <w:gridSpan w:val="2"/>
          </w:tcPr>
          <w:p>
            <w:pPr>
              <w:spacing w:after="0"/>
              <w:rPr>
                <w:sz w:val="22"/>
                <w:szCs w:val="22"/>
                <w:color w:val="auto"/>
              </w:rPr>
            </w:pPr>
          </w:p>
        </w:tc>
        <w:tc>
          <w:tcPr>
            <w:tcW w:w="178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24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r>
      <w:tr>
        <w:trPr>
          <w:trHeight w:val="208"/>
        </w:trPr>
        <w:tc>
          <w:tcPr>
            <w:tcW w:w="5680" w:type="dxa"/>
            <w:vAlign w:val="bottom"/>
            <w:tcBorders>
              <w:left w:val="single" w:sz="8" w:color="808080"/>
            </w:tcBorders>
            <w:gridSpan w:val="2"/>
          </w:tcPr>
          <w:p>
            <w:pPr>
              <w:jc w:val="center"/>
              <w:ind w:left="1710"/>
              <w:spacing w:after="0"/>
              <w:rPr>
                <w:sz w:val="20"/>
                <w:szCs w:val="20"/>
                <w:color w:val="auto"/>
              </w:rPr>
            </w:pPr>
            <w:r>
              <w:rPr>
                <w:rFonts w:ascii="Arial" w:cs="Arial" w:eastAsia="Arial" w:hAnsi="Arial"/>
                <w:sz w:val="18"/>
                <w:szCs w:val="18"/>
                <w:b w:val="1"/>
                <w:bCs w:val="1"/>
                <w:color w:val="auto"/>
                <w:w w:val="89"/>
              </w:rPr>
              <w:t>5225 Wiley Post Way, Suite 500</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41"/>
        </w:trPr>
        <w:tc>
          <w:tcPr>
            <w:tcW w:w="5680" w:type="dxa"/>
            <w:vAlign w:val="bottom"/>
            <w:tcBorders>
              <w:left w:val="single" w:sz="8" w:color="808080"/>
            </w:tcBorders>
            <w:gridSpan w:val="2"/>
          </w:tcPr>
          <w:p>
            <w:pPr>
              <w:jc w:val="center"/>
              <w:ind w:left="1710"/>
              <w:spacing w:after="0"/>
              <w:rPr>
                <w:sz w:val="20"/>
                <w:szCs w:val="20"/>
                <w:color w:val="auto"/>
              </w:rPr>
            </w:pPr>
            <w:r>
              <w:rPr>
                <w:rFonts w:ascii="Arial" w:cs="Arial" w:eastAsia="Arial" w:hAnsi="Arial"/>
                <w:sz w:val="18"/>
                <w:szCs w:val="18"/>
                <w:b w:val="1"/>
                <w:bCs w:val="1"/>
                <w:color w:val="auto"/>
                <w:w w:val="92"/>
              </w:rPr>
              <w:t>Salt Lake City, Utah</w:t>
            </w:r>
          </w:p>
        </w:tc>
        <w:tc>
          <w:tcPr>
            <w:tcW w:w="464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84116</w:t>
            </w:r>
          </w:p>
        </w:tc>
        <w:tc>
          <w:tcPr>
            <w:tcW w:w="40" w:type="dxa"/>
            <w:vAlign w:val="bottom"/>
            <w:tcBorders>
              <w:right w:val="single" w:sz="8" w:color="808080"/>
            </w:tcBorders>
          </w:tcPr>
          <w:p>
            <w:pPr>
              <w:spacing w:after="0"/>
              <w:rPr>
                <w:sz w:val="20"/>
                <w:szCs w:val="20"/>
                <w:color w:val="auto"/>
              </w:rPr>
            </w:pPr>
          </w:p>
        </w:tc>
      </w:tr>
      <w:tr>
        <w:trPr>
          <w:trHeight w:val="226"/>
        </w:trPr>
        <w:tc>
          <w:tcPr>
            <w:tcW w:w="5680" w:type="dxa"/>
            <w:vAlign w:val="bottom"/>
            <w:tcBorders>
              <w:top w:val="single" w:sz="8" w:color="auto"/>
              <w:left w:val="single" w:sz="8" w:color="808080"/>
              <w:bottom w:val="single" w:sz="8" w:color="808080"/>
            </w:tcBorders>
            <w:gridSpan w:val="2"/>
          </w:tcPr>
          <w:p>
            <w:pPr>
              <w:jc w:val="center"/>
              <w:ind w:left="1690"/>
              <w:spacing w:after="0"/>
              <w:rPr>
                <w:sz w:val="20"/>
                <w:szCs w:val="20"/>
                <w:color w:val="auto"/>
              </w:rPr>
            </w:pPr>
            <w:r>
              <w:rPr>
                <w:rFonts w:ascii="Arial" w:cs="Arial" w:eastAsia="Arial" w:hAnsi="Arial"/>
                <w:sz w:val="18"/>
                <w:szCs w:val="18"/>
                <w:color w:val="auto"/>
                <w:w w:val="92"/>
              </w:rPr>
              <w:t>(Address of principal executive offices)</w:t>
            </w:r>
          </w:p>
        </w:tc>
        <w:tc>
          <w:tcPr>
            <w:tcW w:w="1780" w:type="dxa"/>
            <w:vAlign w:val="bottom"/>
            <w:tcBorders>
              <w:top w:val="single" w:sz="8" w:color="auto"/>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20" w:type="dxa"/>
            <w:vAlign w:val="bottom"/>
            <w:tcBorders>
              <w:top w:val="single" w:sz="8" w:color="auto"/>
              <w:bottom w:val="single" w:sz="8" w:color="808080"/>
            </w:tcBorders>
          </w:tcPr>
          <w:p>
            <w:pPr>
              <w:jc w:val="center"/>
              <w:spacing w:after="0"/>
              <w:rPr>
                <w:sz w:val="20"/>
                <w:szCs w:val="20"/>
                <w:color w:val="auto"/>
              </w:rPr>
            </w:pPr>
            <w:r>
              <w:rPr>
                <w:rFonts w:ascii="Arial" w:cs="Arial" w:eastAsia="Arial" w:hAnsi="Arial"/>
                <w:sz w:val="18"/>
                <w:szCs w:val="18"/>
                <w:color w:val="auto"/>
                <w:w w:val="94"/>
              </w:rPr>
              <w:t>(Zip Code)</w:t>
            </w:r>
          </w:p>
        </w:tc>
        <w:tc>
          <w:tcPr>
            <w:tcW w:w="40" w:type="dxa"/>
            <w:vAlign w:val="bottom"/>
            <w:tcBorders>
              <w:bottom w:val="single" w:sz="8" w:color="808080"/>
              <w:right w:val="single" w:sz="8" w:color="808080"/>
            </w:tcBorders>
          </w:tcPr>
          <w:p>
            <w:pPr>
              <w:spacing w:after="0"/>
              <w:rPr>
                <w:sz w:val="19"/>
                <w:szCs w:val="19"/>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(801) 975-7200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ind w:right="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60" w:type="dxa"/>
            <w:vAlign w:val="bottom"/>
            <w:gridSpan w:val="2"/>
          </w:tcPr>
          <w:p>
            <w:pPr>
              <w:jc w:val="right"/>
              <w:ind w:right="80"/>
              <w:spacing w:after="0"/>
              <w:rPr>
                <w:sz w:val="20"/>
                <w:szCs w:val="20"/>
                <w:color w:val="auto"/>
              </w:rPr>
            </w:pPr>
            <w:r>
              <w:rPr>
                <w:rFonts w:ascii="Arial" w:cs="Arial" w:eastAsia="Arial" w:hAnsi="Arial"/>
                <w:sz w:val="22"/>
                <w:szCs w:val="22"/>
                <w:color w:val="auto"/>
                <w:w w:val="97"/>
              </w:rPr>
              <w:t>[</w:t>
            </w:r>
          </w:p>
        </w:tc>
        <w:tc>
          <w:tcPr>
            <w:tcW w:w="10200" w:type="dxa"/>
            <w:vAlign w:val="bottom"/>
            <w:gridSpan w:val="4"/>
          </w:tcPr>
          <w:p>
            <w:pPr>
              <w:ind w:left="80"/>
              <w:spacing w:after="0"/>
              <w:rPr>
                <w:sz w:val="20"/>
                <w:szCs w:val="20"/>
                <w:color w:val="auto"/>
              </w:rPr>
            </w:pPr>
            <w:r>
              <w:rPr>
                <w:rFonts w:ascii="Arial" w:cs="Arial" w:eastAsia="Arial" w:hAnsi="Arial"/>
                <w:sz w:val="22"/>
                <w:szCs w:val="22"/>
                <w:color w:val="auto"/>
              </w:rPr>
              <w:t>] Written communications pursuant to Rule 425 under the Securities Act (17 CFR 230.425)</w:t>
            </w:r>
          </w:p>
        </w:tc>
        <w:tc>
          <w:tcPr>
            <w:tcW w:w="20" w:type="dxa"/>
            <w:vAlign w:val="bottom"/>
          </w:tcPr>
          <w:p>
            <w:pPr>
              <w:spacing w:after="0"/>
              <w:rPr>
                <w:sz w:val="21"/>
                <w:szCs w:val="21"/>
                <w:color w:val="auto"/>
              </w:rPr>
            </w:pPr>
          </w:p>
        </w:tc>
      </w:tr>
      <w:tr>
        <w:trPr>
          <w:trHeight w:val="243"/>
        </w:trPr>
        <w:tc>
          <w:tcPr>
            <w:tcW w:w="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10000" w:type="dxa"/>
            <w:vAlign w:val="bottom"/>
            <w:gridSpan w:val="3"/>
          </w:tcPr>
          <w:p>
            <w:pPr>
              <w:ind w:left="60"/>
              <w:spacing w:after="0" w:line="243" w:lineRule="exact"/>
              <w:rPr>
                <w:sz w:val="20"/>
                <w:szCs w:val="20"/>
                <w:color w:val="auto"/>
              </w:rPr>
            </w:pPr>
            <w:r>
              <w:rPr>
                <w:rFonts w:ascii="Arial" w:cs="Arial" w:eastAsia="Arial" w:hAnsi="Arial"/>
                <w:sz w:val="22"/>
                <w:szCs w:val="22"/>
                <w:color w:val="auto"/>
              </w:rPr>
              <w:t>Soliciting material pursuant to Rule 14a-12 under the Exchange Act (17 CFR 240.14a-12)</w:t>
            </w:r>
          </w:p>
        </w:tc>
        <w:tc>
          <w:tcPr>
            <w:tcW w:w="20" w:type="dxa"/>
            <w:vAlign w:val="bottom"/>
          </w:tcPr>
          <w:p>
            <w:pPr>
              <w:spacing w:after="0"/>
              <w:rPr>
                <w:sz w:val="21"/>
                <w:szCs w:val="21"/>
                <w:color w:val="auto"/>
              </w:rPr>
            </w:pPr>
          </w:p>
        </w:tc>
      </w:tr>
      <w:tr>
        <w:trPr>
          <w:trHeight w:val="243"/>
        </w:trPr>
        <w:tc>
          <w:tcPr>
            <w:tcW w:w="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97"/>
              </w:rPr>
              <w:t>[</w:t>
            </w:r>
          </w:p>
        </w:tc>
        <w:tc>
          <w:tcPr>
            <w:tcW w:w="10200" w:type="dxa"/>
            <w:vAlign w:val="bottom"/>
            <w:gridSpan w:val="4"/>
          </w:tcPr>
          <w:p>
            <w:pPr>
              <w:ind w:left="80"/>
              <w:spacing w:after="0" w:line="243" w:lineRule="exact"/>
              <w:rPr>
                <w:sz w:val="20"/>
                <w:szCs w:val="20"/>
                <w:color w:val="auto"/>
              </w:rPr>
            </w:pPr>
            <w:r>
              <w:rPr>
                <w:rFonts w:ascii="Arial" w:cs="Arial" w:eastAsia="Arial" w:hAnsi="Arial"/>
                <w:sz w:val="22"/>
                <w:szCs w:val="22"/>
                <w:color w:val="auto"/>
                <w:w w:val="91"/>
              </w:rPr>
              <w:t>] Pre-commencement communications pursuant to Rule 14d-2(b) under the Exchange Act (17 CFR 240.14d-2(b))</w:t>
            </w:r>
          </w:p>
        </w:tc>
        <w:tc>
          <w:tcPr>
            <w:tcW w:w="20" w:type="dxa"/>
            <w:vAlign w:val="bottom"/>
          </w:tcPr>
          <w:p>
            <w:pPr>
              <w:spacing w:after="0"/>
              <w:rPr>
                <w:sz w:val="21"/>
                <w:szCs w:val="21"/>
                <w:color w:val="auto"/>
              </w:rPr>
            </w:pPr>
          </w:p>
        </w:tc>
      </w:tr>
      <w:tr>
        <w:trPr>
          <w:trHeight w:val="275"/>
        </w:trPr>
        <w:tc>
          <w:tcPr>
            <w:tcW w:w="160" w:type="dxa"/>
            <w:vAlign w:val="bottom"/>
            <w:tcBorders>
              <w:bottom w:val="single" w:sz="8" w:color="808080"/>
            </w:tcBorders>
            <w:gridSpan w:val="2"/>
          </w:tcPr>
          <w:p>
            <w:pPr>
              <w:jc w:val="right"/>
              <w:ind w:right="80"/>
              <w:spacing w:after="0"/>
              <w:rPr>
                <w:sz w:val="20"/>
                <w:szCs w:val="20"/>
                <w:color w:val="auto"/>
              </w:rPr>
            </w:pPr>
            <w:r>
              <w:rPr>
                <w:rFonts w:ascii="Arial" w:cs="Arial" w:eastAsia="Arial" w:hAnsi="Arial"/>
                <w:sz w:val="22"/>
                <w:szCs w:val="22"/>
                <w:color w:val="auto"/>
                <w:w w:val="97"/>
              </w:rPr>
              <w:t>[</w:t>
            </w:r>
          </w:p>
        </w:tc>
        <w:tc>
          <w:tcPr>
            <w:tcW w:w="200" w:type="dxa"/>
            <w:vAlign w:val="bottom"/>
            <w:tcBorders>
              <w:bottom w:val="single" w:sz="8" w:color="808080"/>
            </w:tcBorders>
          </w:tcPr>
          <w:p>
            <w:pPr>
              <w:ind w:left="80"/>
              <w:spacing w:after="0"/>
              <w:rPr>
                <w:sz w:val="20"/>
                <w:szCs w:val="20"/>
                <w:color w:val="auto"/>
              </w:rPr>
            </w:pPr>
            <w:r>
              <w:rPr>
                <w:rFonts w:ascii="Arial" w:cs="Arial" w:eastAsia="Arial" w:hAnsi="Arial"/>
                <w:sz w:val="22"/>
                <w:szCs w:val="22"/>
                <w:color w:val="auto"/>
              </w:rPr>
              <w:t>]</w:t>
            </w:r>
          </w:p>
        </w:tc>
        <w:tc>
          <w:tcPr>
            <w:tcW w:w="10000" w:type="dxa"/>
            <w:vAlign w:val="bottom"/>
            <w:tcBorders>
              <w:bottom w:val="single" w:sz="8" w:color="808080"/>
            </w:tcBorders>
            <w:gridSpan w:val="3"/>
          </w:tcPr>
          <w:p>
            <w:pPr>
              <w:ind w:left="60"/>
              <w:spacing w:after="0"/>
              <w:rPr>
                <w:sz w:val="20"/>
                <w:szCs w:val="20"/>
                <w:color w:val="auto"/>
              </w:rPr>
            </w:pPr>
            <w:r>
              <w:rPr>
                <w:rFonts w:ascii="Arial" w:cs="Arial" w:eastAsia="Arial" w:hAnsi="Arial"/>
                <w:sz w:val="22"/>
                <w:szCs w:val="22"/>
                <w:color w:val="auto"/>
                <w:w w:val="92"/>
              </w:rPr>
              <w:t>Pre-commencement communication pursuant to Rule 13e-4(c) under the Exchange Act (17 CFR 240.13e-4(c))</w:t>
            </w:r>
          </w:p>
        </w:tc>
        <w:tc>
          <w:tcPr>
            <w:tcW w:w="20" w:type="dxa"/>
            <w:vAlign w:val="bottom"/>
          </w:tcPr>
          <w:p>
            <w:pPr>
              <w:spacing w:after="0"/>
              <w:rPr>
                <w:sz w:val="23"/>
                <w:szCs w:val="23"/>
                <w:color w:val="auto"/>
              </w:rPr>
            </w:pPr>
          </w:p>
        </w:tc>
      </w:tr>
      <w:tr>
        <w:trPr>
          <w:trHeight w:val="226"/>
        </w:trPr>
        <w:tc>
          <w:tcPr>
            <w:tcW w:w="40" w:type="dxa"/>
            <w:vAlign w:val="bottom"/>
            <w:tcBorders>
              <w:right w:val="single" w:sz="8" w:color="808080"/>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40" w:type="dxa"/>
            <w:vAlign w:val="bottom"/>
            <w:tcBorders>
              <w:bottom w:val="single" w:sz="8" w:color="auto"/>
              <w:right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0" w:type="dxa"/>
            <w:vAlign w:val="bottom"/>
            <w:tcBorders>
              <w:right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8840" w:type="dxa"/>
            <w:vAlign w:val="bottom"/>
            <w:tcBorders>
              <w:bottom w:val="single" w:sz="8" w:color="808080"/>
              <w:right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40" w:type="dxa"/>
            <w:vAlign w:val="bottom"/>
            <w:tcBorders>
              <w:right w:val="single" w:sz="8" w:color="808080"/>
            </w:tcBorders>
            <w:shd w:val="clear" w:color="auto" w:fill="808080"/>
          </w:tcPr>
          <w:p>
            <w:pPr>
              <w:spacing w:after="0"/>
              <w:rPr>
                <w:sz w:val="11"/>
                <w:szCs w:val="11"/>
                <w:color w:val="auto"/>
              </w:rPr>
            </w:pPr>
          </w:p>
        </w:tc>
        <w:tc>
          <w:tcPr>
            <w:tcW w:w="120" w:type="dxa"/>
            <w:vAlign w:val="bottom"/>
            <w:shd w:val="clear" w:color="auto" w:fill="808080"/>
          </w:tcPr>
          <w:p>
            <w:pPr>
              <w:spacing w:after="0"/>
              <w:rPr>
                <w:sz w:val="11"/>
                <w:szCs w:val="11"/>
                <w:color w:val="auto"/>
              </w:rPr>
            </w:pPr>
          </w:p>
        </w:tc>
        <w:tc>
          <w:tcPr>
            <w:tcW w:w="200" w:type="dxa"/>
            <w:vAlign w:val="bottom"/>
            <w:shd w:val="clear" w:color="auto" w:fill="808080"/>
          </w:tcPr>
          <w:p>
            <w:pPr>
              <w:spacing w:after="0"/>
              <w:rPr>
                <w:sz w:val="11"/>
                <w:szCs w:val="11"/>
                <w:color w:val="auto"/>
              </w:rPr>
            </w:pPr>
          </w:p>
        </w:tc>
        <w:tc>
          <w:tcPr>
            <w:tcW w:w="900" w:type="dxa"/>
            <w:vAlign w:val="bottom"/>
            <w:shd w:val="clear" w:color="auto" w:fill="808080"/>
          </w:tcPr>
          <w:p>
            <w:pPr>
              <w:spacing w:after="0"/>
              <w:rPr>
                <w:sz w:val="11"/>
                <w:szCs w:val="11"/>
                <w:color w:val="auto"/>
              </w:rPr>
            </w:pPr>
          </w:p>
        </w:tc>
        <w:tc>
          <w:tcPr>
            <w:tcW w:w="260" w:type="dxa"/>
            <w:vAlign w:val="bottom"/>
            <w:shd w:val="clear" w:color="auto" w:fill="808080"/>
          </w:tcPr>
          <w:p>
            <w:pPr>
              <w:spacing w:after="0"/>
              <w:rPr>
                <w:sz w:val="11"/>
                <w:szCs w:val="11"/>
                <w:color w:val="auto"/>
              </w:rPr>
            </w:pPr>
          </w:p>
        </w:tc>
        <w:tc>
          <w:tcPr>
            <w:tcW w:w="8840" w:type="dxa"/>
            <w:vAlign w:val="bottom"/>
            <w:tcBorders>
              <w:right w:val="single" w:sz="8" w:color="808080"/>
            </w:tcBorders>
            <w:shd w:val="clear" w:color="auto" w:fill="808080"/>
          </w:tcPr>
          <w:p>
            <w:pPr>
              <w:spacing w:after="0"/>
              <w:rPr>
                <w:sz w:val="11"/>
                <w:szCs w:val="11"/>
                <w:color w:val="auto"/>
              </w:rPr>
            </w:pPr>
          </w:p>
        </w:tc>
        <w:tc>
          <w:tcPr>
            <w:tcW w:w="20" w:type="dxa"/>
            <w:vAlign w:val="bottom"/>
            <w:shd w:val="clear" w:color="auto" w:fill="808080"/>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658495</wp:posOffset>
            </wp:positionV>
            <wp:extent cx="6572885" cy="175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2885" cy="175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76" w:lineRule="exact"/>
        <w:rPr>
          <w:sz w:val="24"/>
          <w:szCs w:val="24"/>
          <w:color w:val="auto"/>
        </w:rPr>
      </w:pPr>
    </w:p>
    <w:p>
      <w:pPr>
        <w:ind w:left="620" w:hanging="612"/>
        <w:spacing w:after="0"/>
        <w:tabs>
          <w:tab w:leader="none" w:pos="620" w:val="left"/>
        </w:tabs>
        <w:numPr>
          <w:ilvl w:val="0"/>
          <w:numId w:val="1"/>
        </w:numPr>
        <w:rPr>
          <w:rFonts w:ascii="Arial" w:cs="Arial" w:eastAsia="Arial" w:hAnsi="Arial"/>
          <w:sz w:val="19"/>
          <w:szCs w:val="19"/>
          <w:color w:val="auto"/>
        </w:rPr>
      </w:pPr>
      <w:r>
        <w:rPr>
          <w:rFonts w:ascii="Arial" w:cs="Arial" w:eastAsia="Arial" w:hAnsi="Arial"/>
          <w:sz w:val="19"/>
          <w:szCs w:val="19"/>
          <w:color w:val="auto"/>
        </w:rPr>
        <w:t>ClearOne, Inc. (the “Company”) previously reported in its periodic filings (by Form 8-K, dated November 19,</w:t>
      </w:r>
    </w:p>
    <w:p>
      <w:pPr>
        <w:spacing w:after="0" w:line="42" w:lineRule="exact"/>
        <w:rPr>
          <w:rFonts w:ascii="Arial" w:cs="Arial" w:eastAsia="Arial" w:hAnsi="Arial"/>
          <w:sz w:val="19"/>
          <w:szCs w:val="19"/>
          <w:color w:val="auto"/>
        </w:rPr>
      </w:pPr>
    </w:p>
    <w:p>
      <w:pPr>
        <w:jc w:val="both"/>
        <w:spacing w:after="0" w:line="224" w:lineRule="auto"/>
        <w:rPr>
          <w:rFonts w:ascii="Arial" w:cs="Arial" w:eastAsia="Arial" w:hAnsi="Arial"/>
          <w:sz w:val="19"/>
          <w:szCs w:val="19"/>
          <w:color w:val="auto"/>
        </w:rPr>
      </w:pPr>
      <w:r>
        <w:rPr>
          <w:rFonts w:ascii="Arial" w:cs="Arial" w:eastAsia="Arial" w:hAnsi="Arial"/>
          <w:sz w:val="22"/>
          <w:szCs w:val="22"/>
          <w:color w:val="auto"/>
        </w:rPr>
        <w:t>2012) that it expected resolution by the end of 2012 of two pending arbitration matters concerning auction rate securities sold to the Company by Morgan Stanley &amp; Co., Inc. (“Morgan Stanley”) and UBS Financial Services, Inc. (“UBS”). The Company has determined the outcome of both matters, involving substantially identical claims against two different parties, effective January 14, 2013.</w:t>
      </w:r>
    </w:p>
    <w:p>
      <w:pPr>
        <w:ind w:firstLine="8"/>
        <w:spacing w:after="0" w:line="224" w:lineRule="auto"/>
        <w:tabs>
          <w:tab w:leader="none" w:pos="621" w:val="left"/>
        </w:tabs>
        <w:numPr>
          <w:ilvl w:val="0"/>
          <w:numId w:val="1"/>
        </w:numPr>
        <w:rPr>
          <w:rFonts w:ascii="Arial" w:cs="Arial" w:eastAsia="Arial" w:hAnsi="Arial"/>
          <w:sz w:val="22"/>
          <w:szCs w:val="22"/>
          <w:color w:val="auto"/>
        </w:rPr>
      </w:pPr>
      <w:r>
        <w:rPr>
          <w:rFonts w:ascii="Arial" w:cs="Arial" w:eastAsia="Arial" w:hAnsi="Arial"/>
          <w:sz w:val="22"/>
          <w:szCs w:val="22"/>
          <w:color w:val="auto"/>
        </w:rPr>
        <w:t>With respect to the Morgan Stanley arbitration, the arbitration panel denied the Company's claims in their entirety;</w:t>
      </w:r>
    </w:p>
    <w:p>
      <w:pPr>
        <w:jc w:val="both"/>
        <w:ind w:firstLine="8"/>
        <w:spacing w:after="0" w:line="230" w:lineRule="auto"/>
        <w:tabs>
          <w:tab w:leader="none" w:pos="621" w:val="left"/>
        </w:tabs>
        <w:numPr>
          <w:ilvl w:val="0"/>
          <w:numId w:val="1"/>
        </w:numPr>
        <w:rPr>
          <w:rFonts w:ascii="Arial" w:cs="Arial" w:eastAsia="Arial" w:hAnsi="Arial"/>
          <w:sz w:val="22"/>
          <w:szCs w:val="22"/>
          <w:color w:val="auto"/>
        </w:rPr>
      </w:pPr>
      <w:r>
        <w:rPr>
          <w:rFonts w:ascii="Arial" w:cs="Arial" w:eastAsia="Arial" w:hAnsi="Arial"/>
          <w:sz w:val="22"/>
          <w:szCs w:val="22"/>
          <w:color w:val="auto"/>
        </w:rPr>
        <w:t>With respect to the UBS arbitration, the company has settled its dispute for a total amount of Forty-Five Million Dollars ($45,000,000), effective December 10, 2012. The settlement agreement was subject to a confidentiality provision pending resolution of the Morgan Stanley arbitration matter described immediately above. The settlement award is subject to a 15% contingency legal fee payable to the</w:t>
      </w:r>
    </w:p>
    <w:p>
      <w:pPr>
        <w:spacing w:after="0" w:line="2" w:lineRule="exact"/>
        <w:rPr>
          <w:rFonts w:ascii="Arial" w:cs="Arial" w:eastAsia="Arial" w:hAnsi="Arial"/>
          <w:sz w:val="22"/>
          <w:szCs w:val="22"/>
          <w:color w:val="auto"/>
        </w:rPr>
      </w:pPr>
    </w:p>
    <w:p>
      <w:pPr>
        <w:jc w:val="both"/>
        <w:spacing w:after="0" w:line="308" w:lineRule="auto"/>
        <w:rPr>
          <w:rFonts w:ascii="Arial" w:cs="Arial" w:eastAsia="Arial" w:hAnsi="Arial"/>
          <w:sz w:val="22"/>
          <w:szCs w:val="22"/>
          <w:color w:val="auto"/>
        </w:rPr>
      </w:pPr>
      <w:r>
        <w:rPr>
          <w:rFonts w:ascii="Arial" w:cs="Arial" w:eastAsia="Arial" w:hAnsi="Arial"/>
          <w:sz w:val="19"/>
          <w:szCs w:val="19"/>
          <w:color w:val="auto"/>
        </w:rPr>
        <w:t>Company’s litigation counsel. The UBS settlement proceeds have been held in trust pending resolution of the Morgan Stanley matter and will be disbursed to the company shortly, with interest, less the contingency fee paid to the</w:t>
      </w:r>
    </w:p>
    <w:p>
      <w:pPr>
        <w:sectPr>
          <w:pgSz w:w="11900" w:h="16838" w:orient="portrait"/>
          <w:cols w:equalWidth="0" w:num="1">
            <w:col w:w="10380"/>
          </w:cols>
          <w:pgMar w:left="240" w:top="828" w:right="127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Company’s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323215</wp:posOffset>
            </wp:positionV>
            <wp:extent cx="6572885" cy="175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2885" cy="17589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90" w:lineRule="exact"/>
        <w:rPr>
          <w:sz w:val="20"/>
          <w:szCs w:val="20"/>
          <w:color w:val="auto"/>
        </w:rPr>
      </w:pPr>
    </w:p>
    <w:p>
      <w:pPr>
        <w:ind w:hanging="26"/>
        <w:spacing w:after="0" w:line="251" w:lineRule="auto"/>
        <w:rPr>
          <w:sz w:val="20"/>
          <w:szCs w:val="20"/>
          <w:color w:val="auto"/>
        </w:rPr>
      </w:pPr>
      <w:r>
        <w:rPr>
          <w:rFonts w:ascii="Arial" w:cs="Arial" w:eastAsia="Arial" w:hAnsi="Arial"/>
          <w:sz w:val="22"/>
          <w:szCs w:val="22"/>
          <w:color w:val="auto"/>
        </w:rPr>
        <w:t>The information contained in Item 1.01 relating to arbitration matters concerning auction rate securities (“ARS”) is incorporated by reference 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147320</wp:posOffset>
            </wp:positionV>
            <wp:extent cx="6572885" cy="1153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72885" cy="1153160"/>
                    </a:xfrm>
                    <a:prstGeom prst="rect">
                      <a:avLst/>
                    </a:prstGeom>
                    <a:noFill/>
                  </pic:spPr>
                </pic:pic>
              </a:graphicData>
            </a:graphic>
          </wp:anchor>
        </w:drawing>
      </w:r>
    </w:p>
    <w:p>
      <w:pPr>
        <w:spacing w:after="0" w:line="22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3920" w:val="left"/>
          <w:tab w:leader="none" w:pos="4620" w:val="left"/>
        </w:tabs>
        <w:rPr>
          <w:sz w:val="20"/>
          <w:szCs w:val="20"/>
          <w:color w:val="auto"/>
        </w:rPr>
      </w:pPr>
      <w:r>
        <w:rPr>
          <w:rFonts w:ascii="Arial" w:cs="Arial" w:eastAsia="Arial" w:hAnsi="Arial"/>
          <w:sz w:val="18"/>
          <w:szCs w:val="18"/>
          <w:color w:val="auto"/>
        </w:rPr>
        <w:t>Date: January 15,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380"/>
      </w:cols>
      <w:pgMar w:left="240" w:top="118"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2019-12-06T03:10:22Z</dcterms:created>
  <dcterms:modified xsi:type="dcterms:W3CDTF">2019-12-06T03:10:22Z</dcterms:modified>
</cp:coreProperties>
</file>