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80" w:right="1860" w:hanging="372"/>
        <w:spacing w:after="0" w:line="282"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2019</w:t>
      </w:r>
    </w:p>
    <w:p>
      <w:pPr>
        <w:spacing w:after="0" w:line="162" w:lineRule="exact"/>
        <w:rPr>
          <w:sz w:val="24"/>
          <w:szCs w:val="24"/>
          <w:color w:val="auto"/>
        </w:rPr>
      </w:pPr>
    </w:p>
    <w:p>
      <w:pPr>
        <w:ind w:left="380" w:right="1880" w:hanging="372"/>
        <w:spacing w:after="0" w:line="282" w:lineRule="auto"/>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_______ to _______</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w:t>
      </w:r>
      <w:r>
        <w:rPr>
          <w:rFonts w:ascii="Arial" w:cs="Arial" w:eastAsia="Arial" w:hAnsi="Arial"/>
          <w:sz w:val="18"/>
          <w:szCs w:val="18"/>
          <w:b w:val="1"/>
          <w:bCs w:val="1"/>
          <w:u w:val="single" w:color="auto"/>
          <w:color w:val="auto"/>
        </w:rPr>
        <w:t>001-33660</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CLEARONE,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800" w:type="dxa"/>
            <w:vAlign w:val="bottom"/>
            <w:gridSpan w:val="2"/>
          </w:tcPr>
          <w:p>
            <w:pPr>
              <w:jc w:val="right"/>
              <w:ind w:right="227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56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18"/>
        </w:trPr>
        <w:tc>
          <w:tcPr>
            <w:tcW w:w="5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5800" w:type="dxa"/>
            <w:vAlign w:val="bottom"/>
            <w:gridSpan w:val="2"/>
          </w:tcPr>
          <w:p>
            <w:pPr>
              <w:jc w:val="right"/>
              <w:ind w:right="2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56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5620" w:type="dxa"/>
            <w:vAlign w:val="bottom"/>
            <w:gridSpan w:val="3"/>
          </w:tcPr>
          <w:p>
            <w:pPr>
              <w:spacing w:after="0"/>
              <w:rPr>
                <w:sz w:val="20"/>
                <w:szCs w:val="20"/>
                <w:color w:val="auto"/>
              </w:rPr>
            </w:pPr>
            <w:r>
              <w:rPr>
                <w:rFonts w:ascii="Arial" w:cs="Arial" w:eastAsia="Arial" w:hAnsi="Arial"/>
                <w:sz w:val="18"/>
                <w:szCs w:val="18"/>
                <w:color w:val="auto"/>
              </w:rPr>
              <w:t>Registrant’s telephone number, including area code: (801) 975-7200</w:t>
            </w: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0"/>
        </w:trPr>
        <w:tc>
          <w:tcPr>
            <w:tcW w:w="38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bl>
    <w:p>
      <w:pPr>
        <w:spacing w:after="0" w:line="22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692" w:right="239" w:bottom="1440" w:gutter="0" w:footer="0" w:header="0"/>
        </w:sectPr>
      </w:pPr>
    </w:p>
    <w:p>
      <w:pPr>
        <w:spacing w:after="0" w:line="14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Larger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000" w:space="720"/>
            <w:col w:w="5700"/>
          </w:cols>
          <w:pgMar w:left="240" w:top="692" w:right="239" w:bottom="1440" w:gutter="0" w:footer="0" w:header="0"/>
          <w:type w:val="continuous"/>
        </w:sectPr>
      </w:pP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14"/>
        </w:trPr>
        <w:tc>
          <w:tcPr>
            <w:tcW w:w="6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6000" w:type="dxa"/>
            <w:vAlign w:val="bottom"/>
          </w:tcPr>
          <w:p>
            <w:pPr>
              <w:spacing w:after="0"/>
              <w:rPr>
                <w:sz w:val="20"/>
                <w:szCs w:val="20"/>
                <w:color w:val="auto"/>
              </w:rPr>
            </w:pPr>
            <w:r>
              <w:rPr>
                <w:rFonts w:ascii="Arial" w:cs="Arial" w:eastAsia="Arial" w:hAnsi="Arial"/>
                <w:sz w:val="18"/>
                <w:szCs w:val="18"/>
                <w:b w:val="1"/>
                <w:bCs w:val="1"/>
                <w:color w:val="auto"/>
              </w:rPr>
              <w:t>Title of each class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36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on which registered</w:t>
            </w:r>
          </w:p>
        </w:tc>
      </w:tr>
      <w:tr>
        <w:trPr>
          <w:trHeight w:val="224"/>
        </w:trPr>
        <w:tc>
          <w:tcPr>
            <w:tcW w:w="6000" w:type="dxa"/>
            <w:vAlign w:val="bottom"/>
          </w:tcPr>
          <w:p>
            <w:pPr>
              <w:spacing w:after="0"/>
              <w:rPr>
                <w:sz w:val="20"/>
                <w:szCs w:val="20"/>
                <w:color w:val="auto"/>
              </w:rPr>
            </w:pPr>
            <w:r>
              <w:rPr>
                <w:rFonts w:ascii="Arial" w:cs="Arial" w:eastAsia="Arial" w:hAnsi="Arial"/>
                <w:sz w:val="18"/>
                <w:szCs w:val="18"/>
                <w:color w:val="auto"/>
              </w:rPr>
              <w:t>Common Stock, $0.001</w:t>
            </w: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CLRO</w:t>
            </w:r>
          </w:p>
        </w:tc>
        <w:tc>
          <w:tcPr>
            <w:tcW w:w="36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ClearOne common stock outstanding as of November 14, 2019 was 16,646,323.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 FOR THE QUARTER ENDED SEPTEMBER 30,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40" w:type="dxa"/>
            <w:vAlign w:val="bottom"/>
            <w:gridSpan w:val="5"/>
          </w:tcPr>
          <w:p>
            <w:pPr>
              <w:ind w:left="360"/>
              <w:spacing w:after="0"/>
              <w:rPr>
                <w:sz w:val="20"/>
                <w:szCs w:val="20"/>
                <w:color w:val="auto"/>
              </w:rPr>
            </w:pPr>
            <w:r>
              <w:rPr>
                <w:rFonts w:ascii="Arial" w:cs="Arial" w:eastAsia="Arial" w:hAnsi="Arial"/>
                <w:sz w:val="18"/>
                <w:szCs w:val="18"/>
                <w:b w:val="1"/>
                <w:bCs w:val="1"/>
                <w:color w:val="auto"/>
              </w:rPr>
              <w:t>INDEX</w:t>
            </w:r>
          </w:p>
        </w:tc>
        <w:tc>
          <w:tcPr>
            <w:tcW w:w="520" w:type="dxa"/>
            <w:vAlign w:val="bottom"/>
          </w:tcPr>
          <w:p>
            <w:pPr>
              <w:spacing w:after="0"/>
              <w:rPr>
                <w:sz w:val="20"/>
                <w:szCs w:val="20"/>
                <w:color w:val="auto"/>
              </w:rPr>
            </w:pPr>
          </w:p>
        </w:tc>
      </w:tr>
      <w:tr>
        <w:trPr>
          <w:trHeight w:val="392"/>
        </w:trPr>
        <w:tc>
          <w:tcPr>
            <w:tcW w:w="700" w:type="dxa"/>
            <w:vAlign w:val="bottom"/>
          </w:tcPr>
          <w:p>
            <w:pPr>
              <w:spacing w:after="0"/>
              <w:rPr>
                <w:sz w:val="24"/>
                <w:szCs w:val="24"/>
                <w:color w:val="auto"/>
              </w:rPr>
            </w:pPr>
          </w:p>
        </w:tc>
        <w:tc>
          <w:tcPr>
            <w:tcW w:w="1020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20" w:type="dxa"/>
            <w:vAlign w:val="bottom"/>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3120" w:type="dxa"/>
            <w:vAlign w:val="bottom"/>
            <w:tcBorders>
              <w:top w:val="single" w:sz="8" w:color="0000EE"/>
            </w:tcBorders>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080" w:type="dxa"/>
            <w:vAlign w:val="bottom"/>
            <w:gridSpan w:val="7"/>
          </w:tcPr>
          <w:p>
            <w:pPr>
              <w:spacing w:after="0"/>
              <w:rPr>
                <w:sz w:val="24"/>
                <w:szCs w:val="24"/>
                <w:color w:val="auto"/>
              </w:rPr>
            </w:pPr>
          </w:p>
        </w:tc>
        <w:tc>
          <w:tcPr>
            <w:tcW w:w="520" w:type="dxa"/>
            <w:vAlign w:val="bottom"/>
          </w:tcPr>
          <w:p>
            <w:pPr>
              <w:jc w:val="center"/>
              <w:ind w:left="210"/>
              <w:spacing w:after="0"/>
              <w:rPr>
                <w:sz w:val="20"/>
                <w:szCs w:val="20"/>
                <w:color w:val="auto"/>
              </w:rPr>
            </w:pPr>
            <w:r>
              <w:rPr>
                <w:rFonts w:ascii="Arial" w:cs="Arial" w:eastAsia="Arial" w:hAnsi="Arial"/>
                <w:sz w:val="18"/>
                <w:szCs w:val="18"/>
                <w:color w:val="auto"/>
                <w:w w:val="99"/>
              </w:rPr>
              <w:t>3</w:t>
            </w:r>
          </w:p>
        </w:tc>
      </w:tr>
      <w:tr>
        <w:trPr>
          <w:trHeight w:val="20"/>
        </w:trPr>
        <w:tc>
          <w:tcPr>
            <w:tcW w:w="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8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Condensed Consolidated Balance Sheets as of September 30, 2019 and December 31, 2018</w:t>
              </w:r>
            </w:hyperlink>
          </w:p>
        </w:tc>
        <w:tc>
          <w:tcPr>
            <w:tcW w:w="2660" w:type="dxa"/>
            <w:vAlign w:val="bottom"/>
            <w:gridSpan w:val="2"/>
          </w:tcPr>
          <w:p>
            <w:pPr>
              <w:spacing w:after="0"/>
              <w:rPr>
                <w:sz w:val="17"/>
                <w:szCs w:val="17"/>
                <w:color w:val="auto"/>
              </w:rPr>
            </w:pPr>
          </w:p>
        </w:tc>
        <w:tc>
          <w:tcPr>
            <w:tcW w:w="520" w:type="dxa"/>
            <w:vAlign w:val="bottom"/>
          </w:tcPr>
          <w:p>
            <w:pPr>
              <w:jc w:val="center"/>
              <w:ind w:left="210"/>
              <w:spacing w:after="0" w:line="196" w:lineRule="exact"/>
              <w:rPr>
                <w:sz w:val="20"/>
                <w:szCs w:val="20"/>
                <w:color w:val="auto"/>
              </w:rPr>
            </w:pPr>
            <w:r>
              <w:rPr>
                <w:rFonts w:ascii="Arial" w:cs="Arial" w:eastAsia="Arial" w:hAnsi="Arial"/>
                <w:sz w:val="18"/>
                <w:szCs w:val="18"/>
                <w:color w:val="auto"/>
                <w:w w:val="99"/>
              </w:rPr>
              <w:t>3</w:t>
            </w:r>
          </w:p>
        </w:tc>
      </w:tr>
      <w:tr>
        <w:trPr>
          <w:trHeight w:val="412"/>
        </w:trPr>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Operations and Comprehensive Loss for the three and nine months ended September 30,</w:t>
              </w:r>
            </w:hyperlink>
          </w:p>
        </w:tc>
        <w:tc>
          <w:tcPr>
            <w:tcW w:w="52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2019 and 2018</w:t>
              </w:r>
            </w:hyperlink>
          </w:p>
        </w:tc>
        <w:tc>
          <w:tcPr>
            <w:tcW w:w="520" w:type="dxa"/>
            <w:vAlign w:val="bottom"/>
          </w:tcPr>
          <w:p>
            <w:pPr>
              <w:jc w:val="center"/>
              <w:ind w:left="210"/>
              <w:spacing w:after="0" w:line="196" w:lineRule="exact"/>
              <w:rPr>
                <w:sz w:val="20"/>
                <w:szCs w:val="20"/>
                <w:color w:val="auto"/>
              </w:rPr>
            </w:pPr>
            <w:r>
              <w:rPr>
                <w:rFonts w:ascii="Arial" w:cs="Arial" w:eastAsia="Arial" w:hAnsi="Arial"/>
                <w:sz w:val="18"/>
                <w:szCs w:val="18"/>
                <w:color w:val="auto"/>
                <w:w w:val="99"/>
              </w:rPr>
              <w:t>4</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Cash Flows for the nine months ended September 30, 2019 and 2018</w:t>
              </w:r>
            </w:hyperlink>
          </w:p>
        </w:tc>
        <w:tc>
          <w:tcPr>
            <w:tcW w:w="1400" w:type="dxa"/>
            <w:vAlign w:val="bottom"/>
          </w:tcPr>
          <w:p>
            <w:pPr>
              <w:spacing w:after="0"/>
              <w:rPr>
                <w:sz w:val="24"/>
                <w:szCs w:val="24"/>
                <w:color w:val="auto"/>
              </w:rPr>
            </w:pPr>
          </w:p>
        </w:tc>
        <w:tc>
          <w:tcPr>
            <w:tcW w:w="520" w:type="dxa"/>
            <w:vAlign w:val="bottom"/>
          </w:tcPr>
          <w:p>
            <w:pPr>
              <w:jc w:val="center"/>
              <w:ind w:left="210"/>
              <w:spacing w:after="0"/>
              <w:rPr>
                <w:sz w:val="20"/>
                <w:szCs w:val="20"/>
                <w:color w:val="auto"/>
              </w:rPr>
            </w:pPr>
            <w:r>
              <w:rPr>
                <w:rFonts w:ascii="Arial" w:cs="Arial" w:eastAsia="Arial" w:hAnsi="Arial"/>
                <w:sz w:val="18"/>
                <w:szCs w:val="18"/>
                <w:color w:val="auto"/>
                <w:w w:val="99"/>
              </w:rPr>
              <w:t>5</w:t>
            </w:r>
          </w:p>
        </w:tc>
      </w:tr>
      <w:tr>
        <w:trPr>
          <w:trHeight w:val="412"/>
        </w:trPr>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4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Unaudited Notes to Condensed Consolidated Financial Statements</w:t>
              </w:r>
            </w:hyperlink>
          </w:p>
        </w:tc>
        <w:tc>
          <w:tcPr>
            <w:tcW w:w="520" w:type="dxa"/>
            <w:vAlign w:val="bottom"/>
          </w:tcPr>
          <w:p>
            <w:pPr>
              <w:jc w:val="center"/>
              <w:ind w:left="210"/>
              <w:spacing w:after="0"/>
              <w:rPr>
                <w:sz w:val="20"/>
                <w:szCs w:val="20"/>
                <w:color w:val="auto"/>
              </w:rPr>
            </w:pPr>
            <w:r>
              <w:rPr>
                <w:rFonts w:ascii="Arial" w:cs="Arial" w:eastAsia="Arial" w:hAnsi="Arial"/>
                <w:sz w:val="18"/>
                <w:szCs w:val="18"/>
                <w:color w:val="auto"/>
                <w:w w:val="99"/>
              </w:rPr>
              <w:t>7</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3740" w:type="dxa"/>
            <w:vAlign w:val="bottom"/>
            <w:gridSpan w:val="3"/>
          </w:tcPr>
          <w:p>
            <w:pPr>
              <w:spacing w:after="0"/>
              <w:rPr>
                <w:sz w:val="24"/>
                <w:szCs w:val="24"/>
                <w:color w:val="auto"/>
              </w:rPr>
            </w:pPr>
          </w:p>
        </w:tc>
        <w:tc>
          <w:tcPr>
            <w:tcW w:w="520" w:type="dxa"/>
            <w:vAlign w:val="bottom"/>
          </w:tcPr>
          <w:p>
            <w:pPr>
              <w:jc w:val="center"/>
              <w:ind w:left="210"/>
              <w:spacing w:after="0"/>
              <w:rPr>
                <w:sz w:val="20"/>
                <w:szCs w:val="20"/>
                <w:color w:val="auto"/>
              </w:rPr>
            </w:pPr>
            <w:r>
              <w:rPr>
                <w:rFonts w:ascii="Arial" w:cs="Arial" w:eastAsia="Arial" w:hAnsi="Arial"/>
                <w:sz w:val="18"/>
                <w:szCs w:val="18"/>
                <w:color w:val="auto"/>
                <w:w w:val="89"/>
              </w:rPr>
              <w:t>16</w:t>
            </w: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5840" w:type="dxa"/>
            <w:vAlign w:val="bottom"/>
            <w:gridSpan w:val="5"/>
          </w:tcPr>
          <w:p>
            <w:pPr>
              <w:spacing w:after="0"/>
              <w:rPr>
                <w:sz w:val="24"/>
                <w:szCs w:val="24"/>
                <w:color w:val="auto"/>
              </w:rPr>
            </w:pPr>
          </w:p>
        </w:tc>
        <w:tc>
          <w:tcPr>
            <w:tcW w:w="520" w:type="dxa"/>
            <w:vAlign w:val="bottom"/>
          </w:tcPr>
          <w:p>
            <w:pPr>
              <w:jc w:val="center"/>
              <w:ind w:left="210"/>
              <w:spacing w:after="0"/>
              <w:rPr>
                <w:sz w:val="20"/>
                <w:szCs w:val="20"/>
                <w:color w:val="auto"/>
              </w:rPr>
            </w:pPr>
            <w:r>
              <w:rPr>
                <w:rFonts w:ascii="Arial" w:cs="Arial" w:eastAsia="Arial" w:hAnsi="Arial"/>
                <w:sz w:val="18"/>
                <w:szCs w:val="18"/>
                <w:color w:val="auto"/>
                <w:w w:val="89"/>
              </w:rPr>
              <w:t>22</w:t>
            </w: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Item 4.</w:t>
            </w:r>
          </w:p>
        </w:tc>
        <w:tc>
          <w:tcPr>
            <w:tcW w:w="10200" w:type="dxa"/>
            <w:vAlign w:val="bottom"/>
            <w:gridSpan w:val="1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520" w:type="dxa"/>
            <w:vAlign w:val="bottom"/>
          </w:tcPr>
          <w:p>
            <w:pPr>
              <w:jc w:val="center"/>
              <w:ind w:left="210"/>
              <w:spacing w:after="0"/>
              <w:rPr>
                <w:sz w:val="20"/>
                <w:szCs w:val="20"/>
                <w:color w:val="auto"/>
              </w:rPr>
            </w:pPr>
            <w:r>
              <w:rPr>
                <w:rFonts w:ascii="Arial" w:cs="Arial" w:eastAsia="Arial" w:hAnsi="Arial"/>
                <w:sz w:val="18"/>
                <w:szCs w:val="18"/>
                <w:color w:val="auto"/>
                <w:w w:val="89"/>
              </w:rPr>
              <w:t>22</w:t>
            </w:r>
          </w:p>
        </w:tc>
      </w:tr>
      <w:tr>
        <w:trPr>
          <w:trHeight w:val="20"/>
        </w:trPr>
        <w:tc>
          <w:tcPr>
            <w:tcW w:w="7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86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10200" w:type="dxa"/>
            <w:vAlign w:val="bottom"/>
            <w:gridSpan w:val="18"/>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 OTHER INFORMATION</w:t>
              </w:r>
            </w:hyperlink>
          </w:p>
        </w:tc>
        <w:tc>
          <w:tcPr>
            <w:tcW w:w="520" w:type="dxa"/>
            <w:vAlign w:val="bottom"/>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Legal Proceedings</w:t>
              </w:r>
            </w:hyperlink>
          </w:p>
        </w:tc>
        <w:tc>
          <w:tcPr>
            <w:tcW w:w="1480" w:type="dxa"/>
            <w:vAlign w:val="bottom"/>
            <w:tcBorders>
              <w:top w:val="single" w:sz="8" w:color="0000EE"/>
            </w:tcBorders>
            <w:gridSpan w:val="4"/>
          </w:tcPr>
          <w:p>
            <w:pPr>
              <w:spacing w:after="0"/>
              <w:rPr>
                <w:sz w:val="24"/>
                <w:szCs w:val="24"/>
                <w:color w:val="auto"/>
              </w:rPr>
            </w:pPr>
          </w:p>
        </w:tc>
        <w:tc>
          <w:tcPr>
            <w:tcW w:w="7380" w:type="dxa"/>
            <w:vAlign w:val="bottom"/>
            <w:gridSpan w:val="8"/>
          </w:tcPr>
          <w:p>
            <w:pPr>
              <w:spacing w:after="0"/>
              <w:rPr>
                <w:sz w:val="24"/>
                <w:szCs w:val="24"/>
                <w:color w:val="auto"/>
              </w:rPr>
            </w:pPr>
          </w:p>
        </w:tc>
        <w:tc>
          <w:tcPr>
            <w:tcW w:w="520" w:type="dxa"/>
            <w:vAlign w:val="bottom"/>
          </w:tcPr>
          <w:p>
            <w:pPr>
              <w:jc w:val="center"/>
              <w:ind w:left="210"/>
              <w:spacing w:after="0"/>
              <w:rPr>
                <w:sz w:val="20"/>
                <w:szCs w:val="20"/>
                <w:color w:val="auto"/>
              </w:rPr>
            </w:pPr>
            <w:r>
              <w:rPr>
                <w:rFonts w:ascii="Arial" w:cs="Arial" w:eastAsia="Arial" w:hAnsi="Arial"/>
                <w:sz w:val="18"/>
                <w:szCs w:val="18"/>
                <w:color w:val="auto"/>
                <w:w w:val="89"/>
              </w:rPr>
              <w:t>23</w:t>
            </w: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Item 1A.</w:t>
            </w:r>
          </w:p>
        </w:tc>
        <w:tc>
          <w:tcPr>
            <w:tcW w:w="1020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520" w:type="dxa"/>
            <w:vAlign w:val="bottom"/>
          </w:tcPr>
          <w:p>
            <w:pPr>
              <w:jc w:val="center"/>
              <w:ind w:left="210"/>
              <w:spacing w:after="0"/>
              <w:rPr>
                <w:sz w:val="20"/>
                <w:szCs w:val="20"/>
                <w:color w:val="auto"/>
              </w:rPr>
            </w:pPr>
            <w:r>
              <w:rPr>
                <w:rFonts w:ascii="Arial" w:cs="Arial" w:eastAsia="Arial" w:hAnsi="Arial"/>
                <w:sz w:val="18"/>
                <w:szCs w:val="18"/>
                <w:color w:val="auto"/>
                <w:w w:val="89"/>
              </w:rPr>
              <w:t>23</w:t>
            </w:r>
          </w:p>
        </w:tc>
      </w:tr>
      <w:tr>
        <w:trPr>
          <w:trHeight w:val="20"/>
        </w:trPr>
        <w:tc>
          <w:tcPr>
            <w:tcW w:w="7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86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Item 2.</w:t>
            </w:r>
          </w:p>
        </w:tc>
        <w:tc>
          <w:tcPr>
            <w:tcW w:w="1020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520" w:type="dxa"/>
            <w:vAlign w:val="bottom"/>
          </w:tcPr>
          <w:p>
            <w:pPr>
              <w:jc w:val="center"/>
              <w:ind w:left="210"/>
              <w:spacing w:after="0"/>
              <w:rPr>
                <w:sz w:val="20"/>
                <w:szCs w:val="20"/>
                <w:color w:val="auto"/>
              </w:rPr>
            </w:pPr>
            <w:r>
              <w:rPr>
                <w:rFonts w:ascii="Arial" w:cs="Arial" w:eastAsia="Arial" w:hAnsi="Arial"/>
                <w:sz w:val="18"/>
                <w:szCs w:val="18"/>
                <w:color w:val="auto"/>
                <w:w w:val="89"/>
              </w:rPr>
              <w:t>23</w:t>
            </w: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Defaults Upon Senior Securities</w:t>
              </w:r>
            </w:hyperlink>
          </w:p>
        </w:tc>
        <w:tc>
          <w:tcPr>
            <w:tcW w:w="5860" w:type="dxa"/>
            <w:vAlign w:val="bottom"/>
            <w:gridSpan w:val="6"/>
          </w:tcPr>
          <w:p>
            <w:pPr>
              <w:spacing w:after="0"/>
              <w:rPr>
                <w:sz w:val="24"/>
                <w:szCs w:val="24"/>
                <w:color w:val="auto"/>
              </w:rPr>
            </w:pPr>
          </w:p>
        </w:tc>
        <w:tc>
          <w:tcPr>
            <w:tcW w:w="520" w:type="dxa"/>
            <w:vAlign w:val="bottom"/>
          </w:tcPr>
          <w:p>
            <w:pPr>
              <w:jc w:val="center"/>
              <w:ind w:left="210"/>
              <w:spacing w:after="0"/>
              <w:rPr>
                <w:sz w:val="20"/>
                <w:szCs w:val="20"/>
                <w:color w:val="auto"/>
              </w:rPr>
            </w:pPr>
            <w:r>
              <w:rPr>
                <w:rFonts w:ascii="Arial" w:cs="Arial" w:eastAsia="Arial" w:hAnsi="Arial"/>
                <w:sz w:val="18"/>
                <w:szCs w:val="18"/>
                <w:color w:val="auto"/>
                <w:w w:val="89"/>
              </w:rPr>
              <w:t>23</w:t>
            </w: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7880" w:type="dxa"/>
            <w:vAlign w:val="bottom"/>
            <w:gridSpan w:val="9"/>
          </w:tcPr>
          <w:p>
            <w:pPr>
              <w:spacing w:after="0"/>
              <w:rPr>
                <w:sz w:val="24"/>
                <w:szCs w:val="24"/>
                <w:color w:val="auto"/>
              </w:rPr>
            </w:pPr>
          </w:p>
        </w:tc>
        <w:tc>
          <w:tcPr>
            <w:tcW w:w="520" w:type="dxa"/>
            <w:vAlign w:val="bottom"/>
          </w:tcPr>
          <w:p>
            <w:pPr>
              <w:jc w:val="center"/>
              <w:ind w:left="210"/>
              <w:spacing w:after="0"/>
              <w:rPr>
                <w:sz w:val="20"/>
                <w:szCs w:val="20"/>
                <w:color w:val="auto"/>
              </w:rPr>
            </w:pPr>
            <w:r>
              <w:rPr>
                <w:rFonts w:ascii="Arial" w:cs="Arial" w:eastAsia="Arial" w:hAnsi="Arial"/>
                <w:sz w:val="18"/>
                <w:szCs w:val="18"/>
                <w:color w:val="auto"/>
                <w:w w:val="89"/>
              </w:rPr>
              <w:t>23</w:t>
            </w: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8440" w:type="dxa"/>
            <w:vAlign w:val="bottom"/>
            <w:gridSpan w:val="10"/>
          </w:tcPr>
          <w:p>
            <w:pPr>
              <w:spacing w:after="0"/>
              <w:rPr>
                <w:sz w:val="24"/>
                <w:szCs w:val="24"/>
                <w:color w:val="auto"/>
              </w:rPr>
            </w:pPr>
          </w:p>
        </w:tc>
        <w:tc>
          <w:tcPr>
            <w:tcW w:w="520" w:type="dxa"/>
            <w:vAlign w:val="bottom"/>
          </w:tcPr>
          <w:p>
            <w:pPr>
              <w:jc w:val="center"/>
              <w:ind w:left="210"/>
              <w:spacing w:after="0"/>
              <w:rPr>
                <w:sz w:val="20"/>
                <w:szCs w:val="20"/>
                <w:color w:val="auto"/>
              </w:rPr>
            </w:pPr>
            <w:r>
              <w:rPr>
                <w:rFonts w:ascii="Arial" w:cs="Arial" w:eastAsia="Arial" w:hAnsi="Arial"/>
                <w:sz w:val="18"/>
                <w:szCs w:val="18"/>
                <w:color w:val="auto"/>
                <w:w w:val="89"/>
              </w:rPr>
              <w:t>23</w:t>
            </w: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Exhibits</w:t>
              </w:r>
            </w:hyperlink>
          </w:p>
        </w:tc>
        <w:tc>
          <w:tcPr>
            <w:tcW w:w="9600" w:type="dxa"/>
            <w:vAlign w:val="bottom"/>
            <w:gridSpan w:val="16"/>
          </w:tcPr>
          <w:p>
            <w:pPr>
              <w:spacing w:after="0"/>
              <w:rPr>
                <w:sz w:val="24"/>
                <w:szCs w:val="24"/>
                <w:color w:val="auto"/>
              </w:rPr>
            </w:pPr>
          </w:p>
        </w:tc>
        <w:tc>
          <w:tcPr>
            <w:tcW w:w="520" w:type="dxa"/>
            <w:vAlign w:val="bottom"/>
          </w:tcPr>
          <w:p>
            <w:pPr>
              <w:jc w:val="center"/>
              <w:ind w:left="210"/>
              <w:spacing w:after="0"/>
              <w:rPr>
                <w:sz w:val="20"/>
                <w:szCs w:val="20"/>
                <w:color w:val="auto"/>
              </w:rPr>
            </w:pPr>
            <w:r>
              <w:rPr>
                <w:rFonts w:ascii="Arial" w:cs="Arial" w:eastAsia="Arial" w:hAnsi="Arial"/>
                <w:sz w:val="18"/>
                <w:szCs w:val="18"/>
                <w:color w:val="auto"/>
                <w:w w:val="89"/>
              </w:rPr>
              <w:t>24</w:t>
            </w:r>
          </w:p>
        </w:tc>
      </w:tr>
      <w:tr>
        <w:trPr>
          <w:trHeight w:val="453"/>
        </w:trPr>
        <w:tc>
          <w:tcPr>
            <w:tcW w:w="700" w:type="dxa"/>
            <w:vAlign w:val="bottom"/>
          </w:tcPr>
          <w:p>
            <w:pPr>
              <w:spacing w:after="0"/>
              <w:rPr>
                <w:sz w:val="24"/>
                <w:szCs w:val="24"/>
                <w:color w:val="auto"/>
              </w:rPr>
            </w:pPr>
          </w:p>
        </w:tc>
        <w:tc>
          <w:tcPr>
            <w:tcW w:w="6460" w:type="dxa"/>
            <w:vAlign w:val="bottom"/>
            <w:gridSpan w:val="15"/>
          </w:tcPr>
          <w:p>
            <w:pPr>
              <w:ind w:left="496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15"/>
        </w:trPr>
        <w:tc>
          <w:tcPr>
            <w:tcW w:w="7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ASSETS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1,640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$709 and $631, respectively</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Inventories,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11,689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27,296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Long-term inventories,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7,143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Operating lease - right of use assets,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2,547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53,134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tcBorders>
              <w:top w:val="single" w:sz="8" w:color="CCEEFF"/>
            </w:tcBorders>
          </w:tcPr>
          <w:p>
            <w:pPr>
              <w:jc w:val="center"/>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Accounts payable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1,735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Deferred rent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89"/>
              </w:rPr>
              <w:t>Common stock, par value $0.001, 50,000,000 shares authorized, 16,646,323 and 16,630,597 shares issued and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45,984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52,201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53,134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38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5,992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6,683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18,717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10,537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2,168</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6,121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4,330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7,837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6,505</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(10,142)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(6,423)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(14,151)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16,646,323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8,306,707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16,635,954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8,304,974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16,646,323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8,306,707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16,635,954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8,304,974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Basic loss per share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(0.12)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(0.39)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Comprehensive loss: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(10,142)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(6,423)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Unrealized gain (loss) on available-for-sale securities, net of tax</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foreign currency translation adjustment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(2,104)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(10,177)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(6,414)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30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w w:val="98"/>
              </w:rPr>
              <w:t>Nine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loss</w:t>
            </w:r>
          </w:p>
        </w:tc>
        <w:tc>
          <w:tcPr>
            <w:tcW w:w="24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(6,423)</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1,449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right-of-use assets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Amortization of deferred rent</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Provision for doubtful accounts, net</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of inventory to net realizable value</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Receivables</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Prepaid expenses and other assets</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(4,186)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(1,994)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Deferred product revenue</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liabilities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(6,570)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intangibles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Capitalized patent defense costs</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(3,371)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maturities and sales of marketable securities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(8,913)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(2,610)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Net proceeds from equity-based compensation programs</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payments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Repurchase and cancellation of stock</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(9,201)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11,211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supplemental cash flow activities: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9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8"/>
              </w:rPr>
              <w:t>Nine months ended September 30,</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0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426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ClearOne, Inc., together with its subsidiaries (collectively, “ClearOne” or the “Company”), is a global market leader enabling conferencing, collaboration, and AV streaming solutions for voice and visual communications. The performance and simplicity of our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fiscal year for ClearOne is the twelve months ending on December 31. The consolidated financial statements include the accounts of ClearOne and its subsidiaries. All significant inter-company accounts and transactions have been eliminated.</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September 30, 2019 and December 31, 2018, the results of operations for the three and nine months ended September 30, 2019 and 2018, and the cash flows for the nine months ended September 30, 2019 and 2018. The results of operations for the three and nine months ended September 30, 2019 and 2018 are not necessarily indicative of the results for a full-year period. These interim unaudited condensed consolidated financial statements should be read in conjunction with the financial statements included in our Annual Report on Form 10-K for the year ended December 31, 2018 filed with the SEC.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significant accounting policies were described in Note 1 to the audited consolidated financial statements included in the Company’s annual report on Form 10-K for the year ended December 31, 2018. There have been no changes to these policies during the nine months ended September 30, 2019 that are of significance or potential significance to the Company except for the change in accounting for leases as described below.</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Recent accounting standard related to leases: </w:t>
      </w:r>
      <w:r>
        <w:rPr>
          <w:rFonts w:ascii="Arial" w:cs="Arial" w:eastAsia="Arial" w:hAnsi="Arial"/>
          <w:sz w:val="16"/>
          <w:szCs w:val="16"/>
          <w:color w:val="auto"/>
        </w:rPr>
        <w:t>In February 2016, the FASB issued ASU 2016-02, Leases (“ASU 2016-02”). This new standard establishes a</w:t>
      </w:r>
      <w:r>
        <w:rPr>
          <w:rFonts w:ascii="Arial" w:cs="Arial" w:eastAsia="Arial" w:hAnsi="Arial"/>
          <w:sz w:val="16"/>
          <w:szCs w:val="16"/>
          <w:i w:val="1"/>
          <w:iCs w:val="1"/>
          <w:color w:val="auto"/>
        </w:rPr>
        <w:t xml:space="preserve"> </w:t>
      </w:r>
      <w:r>
        <w:rPr>
          <w:rFonts w:ascii="Arial" w:cs="Arial" w:eastAsia="Arial" w:hAnsi="Arial"/>
          <w:sz w:val="16"/>
          <w:szCs w:val="16"/>
          <w:color w:val="auto"/>
        </w:rPr>
        <w:t>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fiscal years beginning after December 15, 2018, including interim periods within those fiscal years. Early adoption is permitted. In July 2018, the FASB issued ASU No. 2018-11 which provides an alternative transition method that allows entities to apply the new leases standard at the adoption date and recognize a cumulative-effect adjustment to the opening balance of retained earnings in the period of adoption. The Company has adopted the requirements of ASU 2016-02 on January 1, 2019, the first day of fiscal year 2019, using the optional transition method. The Company elected to use certain practical expedient options, which allows an entity not to reassess whether any existing or expired contracts contain leases. There was an increase in assets of $2,966 and liabilities of $3,101 due to the recognition of the required right-of-use asset and corresponding liability for all lease obligations that are currently classified as operating leases with the difference of $135 related to existing deferred rent that reduced the ROU asset recorded. The standard did not have a material impact on our condensed consolidated statements of operations and comprehensive loss.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Accounting policy related to leases: </w:t>
      </w:r>
      <w:r>
        <w:rPr>
          <w:rFonts w:ascii="Arial" w:cs="Arial" w:eastAsia="Arial" w:hAnsi="Arial"/>
          <w:sz w:val="18"/>
          <w:szCs w:val="18"/>
          <w:color w:val="auto"/>
        </w:rPr>
        <w:t>We determine if an arrangement is a lease at inception. Operating leases are included in operating lease - right of use</w:t>
      </w:r>
      <w:r>
        <w:rPr>
          <w:rFonts w:ascii="Arial" w:cs="Arial" w:eastAsia="Arial" w:hAnsi="Arial"/>
          <w:sz w:val="18"/>
          <w:szCs w:val="18"/>
          <w:i w:val="1"/>
          <w:iCs w:val="1"/>
          <w:color w:val="auto"/>
        </w:rPr>
        <w:t xml:space="preserve"> </w:t>
      </w:r>
      <w:r>
        <w:rPr>
          <w:rFonts w:ascii="Arial" w:cs="Arial" w:eastAsia="Arial" w:hAnsi="Arial"/>
          <w:sz w:val="18"/>
          <w:szCs w:val="18"/>
          <w:color w:val="auto"/>
        </w:rPr>
        <w:t>(“ROU”) assets, accrued liabilities, and operating lease liability in our consolidated balance sheets. As of adoption of ASC 842 and as of September 30, 2019 and December 31, 2018, the Company was not party to any finance lease arrangements.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ROU assets represent our right to use an underlying asset for the lease term and operating lease liabilities represent our obligation to make lease payments arising from the lease. Operating lease ROU assets and operating lease liabilities are recognized at the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is recognized on a straight-line basis over the lease term.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Under the available practical expedient, we account for the lease and non-lease components as a single lease component.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recent accounting pronouncements: </w:t>
      </w:r>
      <w:r>
        <w:rPr>
          <w:rFonts w:ascii="Arial" w:cs="Arial" w:eastAsia="Arial" w:hAnsi="Arial"/>
          <w:sz w:val="18"/>
          <w:szCs w:val="18"/>
          <w:color w:val="auto"/>
        </w:rPr>
        <w:t>The Company has determined that other recently issued accounting standards will not have a material impact on its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position,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2019, our cash and cash equivalents were approximately $2,010 compared to $11,211 as of December 31, 2018. Our working capital was $22,470 as of September 30, 2019. Net cash used in operating activities was $6,570 for the nine months ended September 30, 2019, an increase of cash used of $2,989 from $3,581 of cash used in operating activities in the nine months ended September 30, 2018.</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currently pursuing all available legal remedies to defend our strategic patents from infringement. We have already spent approximately $11,877 from 2016 through September 30, 2019 towards this litigation and may be required to spend more to continue our legal defense. We believe the recent decision by the U.S. District Court in August granting our request for a preliminary injunction to prevent our competitor from manufacturing, marketing, and selling its competing ceiling microphone array in an infringing configuration is an incredibly valuable ruling for ClearOne and its business. We believe that the decision validates the strength and importance of ClearOne’s intellectual property rights, recognizes ClearOne’s innovations in this space, and stops our competitor from further infringing our Graham patent (U.S. Patent No. 9,813,806) pending a full trial. We believe this ruling will help pave way for ClearOne’s recovery from the immense harm inflicted by our competitor's infringement of our valuable patents.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been actively engaged in preserving cash by suspending our dividend program, allowing our share repurchase program to expire and implementing company-wide cost reduction measures. In addition, we expect to generate additional cash as our inventory levels are brought down to historical levels. We also believe that the measures taken by us will yield higher revenues in the future. We believe all of these and effective management of working capital will provide the liquidity needed to meet our operating needs through at least November 15, 2020. We also believe that our strong portfolio of intellectual property and our solid brand equity in the market will enable us to raise additional capital if and when needed to meet our short and long-term financing needs; however, there can be no assurance that, if needed, we will be successful in obtaining the necessary funds through equity or debt financing. If we need additional capital and are unable to secure financing, we may be required to further reduce expenses, delay product development and enhancement, or revise our strategy regarding ongoing litigation.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the Company’s revenue into primary product groups: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82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1"/>
              </w:rPr>
              <w:t>Three months ended September</w:t>
            </w:r>
          </w:p>
        </w:tc>
        <w:tc>
          <w:tcPr>
            <w:tcW w:w="100" w:type="dxa"/>
            <w:vAlign w:val="bottom"/>
          </w:tcPr>
          <w:p>
            <w:pPr>
              <w:spacing w:after="0"/>
              <w:rPr>
                <w:sz w:val="18"/>
                <w:szCs w:val="18"/>
                <w:color w:val="auto"/>
              </w:rPr>
            </w:pPr>
          </w:p>
        </w:tc>
        <w:tc>
          <w:tcPr>
            <w:tcW w:w="2600" w:type="dxa"/>
            <w:vAlign w:val="bottom"/>
            <w:gridSpan w:val="5"/>
          </w:tcPr>
          <w:p>
            <w:pPr>
              <w:ind w:left="20"/>
              <w:spacing w:after="0"/>
              <w:rPr>
                <w:sz w:val="20"/>
                <w:szCs w:val="20"/>
                <w:color w:val="auto"/>
              </w:rPr>
            </w:pPr>
            <w:r>
              <w:rPr>
                <w:rFonts w:ascii="Arial" w:cs="Arial" w:eastAsia="Arial" w:hAnsi="Arial"/>
                <w:sz w:val="18"/>
                <w:szCs w:val="18"/>
                <w:b w:val="1"/>
                <w:bCs w:val="1"/>
                <w:color w:val="auto"/>
                <w:w w:val="96"/>
              </w:rPr>
              <w:t>Nine months ended September</w:t>
            </w:r>
          </w:p>
        </w:tc>
      </w:tr>
      <w:tr>
        <w:trPr>
          <w:trHeight w:val="234"/>
        </w:trPr>
        <w:tc>
          <w:tcPr>
            <w:tcW w:w="53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Audio conferencing</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2,920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10,686</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Microphones</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2,189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6,525</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6,689</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Video products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3,568</w:t>
            </w:r>
          </w:p>
        </w:tc>
      </w:tr>
      <w:tr>
        <w:trPr>
          <w:trHeight w:val="20"/>
        </w:trPr>
        <w:tc>
          <w:tcPr>
            <w:tcW w:w="53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spacing w:after="0"/>
              <w:rPr>
                <w:sz w:val="18"/>
                <w:szCs w:val="18"/>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5,992</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6,683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18,717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20,943</w:t>
            </w:r>
          </w:p>
        </w:tc>
      </w:tr>
      <w:tr>
        <w:trPr>
          <w:trHeight w:val="20"/>
        </w:trPr>
        <w:tc>
          <w:tcPr>
            <w:tcW w:w="5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the Company’s revenue into major regions: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82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1"/>
              </w:rPr>
              <w:t>Three months ended September</w:t>
            </w:r>
          </w:p>
        </w:tc>
        <w:tc>
          <w:tcPr>
            <w:tcW w:w="100" w:type="dxa"/>
            <w:vAlign w:val="bottom"/>
          </w:tcPr>
          <w:p>
            <w:pPr>
              <w:spacing w:after="0"/>
              <w:rPr>
                <w:sz w:val="18"/>
                <w:szCs w:val="18"/>
                <w:color w:val="auto"/>
              </w:rPr>
            </w:pPr>
          </w:p>
        </w:tc>
        <w:tc>
          <w:tcPr>
            <w:tcW w:w="2600" w:type="dxa"/>
            <w:vAlign w:val="bottom"/>
            <w:gridSpan w:val="5"/>
          </w:tcPr>
          <w:p>
            <w:pPr>
              <w:ind w:left="20"/>
              <w:spacing w:after="0"/>
              <w:rPr>
                <w:sz w:val="20"/>
                <w:szCs w:val="20"/>
                <w:color w:val="auto"/>
              </w:rPr>
            </w:pPr>
            <w:r>
              <w:rPr>
                <w:rFonts w:ascii="Arial" w:cs="Arial" w:eastAsia="Arial" w:hAnsi="Arial"/>
                <w:sz w:val="18"/>
                <w:szCs w:val="18"/>
                <w:b w:val="1"/>
                <w:bCs w:val="1"/>
                <w:color w:val="auto"/>
                <w:w w:val="96"/>
              </w:rPr>
              <w:t>Nine months ended September</w:t>
            </w:r>
          </w:p>
        </w:tc>
      </w:tr>
      <w:tr>
        <w:trPr>
          <w:trHeight w:val="234"/>
        </w:trPr>
        <w:tc>
          <w:tcPr>
            <w:tcW w:w="53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North and South America</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3,235</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10,488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12,538</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Asia (including Middle East) and Australia</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5,764</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5,592</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Europe and Africa</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2,813</w:t>
            </w:r>
          </w:p>
        </w:tc>
      </w:tr>
      <w:tr>
        <w:trPr>
          <w:trHeight w:val="20"/>
        </w:trPr>
        <w:tc>
          <w:tcPr>
            <w:tcW w:w="53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spacing w:after="0"/>
              <w:rPr>
                <w:sz w:val="18"/>
                <w:szCs w:val="18"/>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5,992</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6,683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18,717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20,943</w:t>
            </w:r>
          </w:p>
        </w:tc>
      </w:tr>
      <w:tr>
        <w:trPr>
          <w:trHeight w:val="20"/>
        </w:trPr>
        <w:tc>
          <w:tcPr>
            <w:tcW w:w="5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3. Earnings (Loss) Per Share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Earnings (loss) per common share is computed based on the weighted-average number of common shares outstanding and, when appropriate, dilutive potential common stock outstanding during the period. Stock options are considered to be potential common stock. The computation of diluted earnings (loss) per share does not assume exercise or conversion of securities that would have an anti-dilutive effect.</w:t>
      </w:r>
    </w:p>
    <w:p>
      <w:pPr>
        <w:sectPr>
          <w:pgSz w:w="11900" w:h="16838" w:orient="portrait"/>
          <w:cols w:equalWidth="0" w:num="1">
            <w:col w:w="11420"/>
          </w:cols>
          <w:pgMar w:left="240" w:top="118" w:right="239" w:bottom="96"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Basic earnings (loss) per common share is the amount of net earnings (loss) for the period available to each weighted-average share of common stock outstanding during the reporting period. Diluted earnings (loss) per common share is the amount of earnings (loss) for the period available to each weighted-average share of common stock outstanding during the reporting period and to each share of potential common stock outstanding during the period, unless inclusion of potential common stock would have an anti-dilutive effect.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common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4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89"/>
              </w:rPr>
              <w:t>Three months ended September</w:t>
            </w:r>
          </w:p>
        </w:tc>
        <w:tc>
          <w:tcPr>
            <w:tcW w:w="2600" w:type="dxa"/>
            <w:vAlign w:val="bottom"/>
            <w:gridSpan w:val="7"/>
          </w:tcPr>
          <w:p>
            <w:pPr>
              <w:jc w:val="right"/>
              <w:ind w:right="180"/>
              <w:spacing w:after="0"/>
              <w:rPr>
                <w:sz w:val="20"/>
                <w:szCs w:val="20"/>
                <w:color w:val="auto"/>
              </w:rPr>
            </w:pPr>
            <w:r>
              <w:rPr>
                <w:rFonts w:ascii="Arial" w:cs="Arial" w:eastAsia="Arial" w:hAnsi="Arial"/>
                <w:sz w:val="18"/>
                <w:szCs w:val="18"/>
                <w:b w:val="1"/>
                <w:bCs w:val="1"/>
                <w:color w:val="auto"/>
                <w:w w:val="90"/>
              </w:rPr>
              <w:t>Nine months ended September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(1,976)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(10,142)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(6,423)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Denominator:</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Basic weighted average shares outstanding</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16,646,323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8,306,707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16,635,954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8,304,974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common stock equivalents using treasury stock method</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tcPr>
          <w:p>
            <w:pPr>
              <w:spacing w:after="0"/>
              <w:rPr>
                <w:sz w:val="20"/>
                <w:szCs w:val="20"/>
                <w:color w:val="auto"/>
              </w:rPr>
            </w:pPr>
            <w:r>
              <w:rPr>
                <w:rFonts w:ascii="Arial" w:cs="Arial" w:eastAsia="Arial" w:hAnsi="Arial"/>
                <w:sz w:val="18"/>
                <w:szCs w:val="18"/>
                <w:color w:val="auto"/>
              </w:rPr>
              <w:t>Diluted weighted average shares outstanding</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16,646,323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8,306,707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16,635,954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8,304,974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Basic loss per common share</w:t>
            </w: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(0.12)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(0.39)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common share</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options outstanding</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561,634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711,888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572,845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727,980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Anti-dilutive options not included in the computations</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561,634</w:t>
            </w: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711,888</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572,845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727,980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classified its marketable securities as available-for-sale securities. These securities are carried at estimated fair value with unrealized holding gains and losses included in accumulated other comprehensive income (loss) in stockholders’ equity until realized. Gains and losses on marketable security transactions are reported on the specific-identification method. Dividend and interest income are recognized when earned.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securities at September 30, 2019 and December 31, 2018 were as follows: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Available-for-sale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bonds and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Municipal bonds</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available-for-sale securities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unrealized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Amortized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holding</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holding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4"/>
              </w:rPr>
              <w:t>gains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74"/>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fair 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7"/>
        </w:trPr>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2,331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3,851</w:t>
            </w:r>
          </w:p>
        </w:tc>
        <w:tc>
          <w:tcPr>
            <w:tcW w:w="2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-719455</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-445135</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-162560</wp:posOffset>
            </wp:positionV>
            <wp:extent cx="72466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340"/>
          </w:cols>
          <w:pgMar w:left="240" w:top="118"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1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 and notes</w:t>
            </w:r>
          </w:p>
        </w:tc>
        <w:tc>
          <w:tcPr>
            <w:tcW w:w="2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2,911</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2,881</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Municipal bonds</w:t>
            </w: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1,834</w:t>
            </w:r>
          </w:p>
        </w:tc>
      </w:tr>
      <w:tr>
        <w:trPr>
          <w:trHeight w:val="20"/>
        </w:trPr>
        <w:tc>
          <w:tcPr>
            <w:tcW w:w="4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2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4,760</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4,715</w:t>
            </w:r>
          </w:p>
        </w:tc>
      </w:tr>
      <w:tr>
        <w:trPr>
          <w:trHeight w:val="20"/>
        </w:trPr>
        <w:tc>
          <w:tcPr>
            <w:tcW w:w="43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Maturities of marketable securities classified as available-for-sale securities were as follows at September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Estimated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0"/>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3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2,212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2,243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w:t>
            </w:r>
          </w:p>
        </w:tc>
        <w:tc>
          <w:tcPr>
            <w:tcW w:w="3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tcPr>
          <w:p>
            <w:pPr>
              <w:ind w:left="180"/>
              <w:spacing w:after="0" w:line="196" w:lineRule="exact"/>
              <w:rPr>
                <w:sz w:val="20"/>
                <w:szCs w:val="20"/>
                <w:color w:val="auto"/>
              </w:rPr>
            </w:pPr>
            <w:r>
              <w:rPr>
                <w:rFonts w:ascii="Arial" w:cs="Arial" w:eastAsia="Arial" w:hAnsi="Arial"/>
                <w:sz w:val="18"/>
                <w:szCs w:val="18"/>
                <w:color w:val="auto"/>
              </w:rPr>
              <w:t>Total available-for-sale securities</w:t>
            </w:r>
          </w:p>
        </w:tc>
        <w:tc>
          <w:tcPr>
            <w:tcW w:w="330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3,851</w:t>
            </w:r>
          </w:p>
        </w:tc>
        <w:tc>
          <w:tcPr>
            <w:tcW w:w="3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3,883</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300" w:type="dxa"/>
            <w:vAlign w:val="bottom"/>
            <w:vMerge w:val="restart"/>
          </w:tcPr>
          <w:p>
            <w:pPr>
              <w:jc w:val="right"/>
              <w:ind w:right="1630"/>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8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type w:val="continuous"/>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Debt securities in an unrealized loss position as of September 30, 2019 were not deemed impaired at acquisition and subsequent declines in fair value are not deemed attributed to declines in credit quality. Management believes that it is more likely than not that the securities will receive a full recovery of par value, although there can be no assurance that such recovery will occur. The available-for-sale marketable securities with continuous gross unrealized loss position for less than 12 months and 12 months or greater and their related fair values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2360" w:type="dxa"/>
            <w:vAlign w:val="bottom"/>
            <w:gridSpan w:val="5"/>
          </w:tcPr>
          <w:p>
            <w:pPr>
              <w:ind w:left="280"/>
              <w:spacing w:after="0"/>
              <w:rPr>
                <w:sz w:val="20"/>
                <w:szCs w:val="20"/>
                <w:color w:val="auto"/>
              </w:rPr>
            </w:pPr>
            <w:r>
              <w:rPr>
                <w:rFonts w:ascii="Arial" w:cs="Arial" w:eastAsia="Arial" w:hAnsi="Arial"/>
                <w:sz w:val="18"/>
                <w:szCs w:val="18"/>
                <w:b w:val="1"/>
                <w:bCs w:val="1"/>
                <w:color w:val="auto"/>
              </w:rPr>
              <w:t>More than 12 months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unrealized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unrealized</w:t>
            </w: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Estimated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holding</w:t>
            </w: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Estimated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holding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Estimated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holding</w:t>
            </w: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fair value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78"/>
              </w:rPr>
              <w:t>losses</w:t>
            </w: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78"/>
              </w:rPr>
              <w:t>losses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78"/>
              </w:rPr>
              <w:t>losses</w:t>
            </w: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September 30, 2019</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Corporate bonds and 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September 30, 2019 and December 31, 2018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Estimated useful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5860" w:type="dxa"/>
            <w:vAlign w:val="bottom"/>
          </w:tcPr>
          <w:p>
            <w:pPr>
              <w:spacing w:after="0"/>
              <w:rPr>
                <w:sz w:val="20"/>
                <w:szCs w:val="20"/>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lives (years)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Tradename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 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Patents and technological know-how</w:t>
            </w:r>
          </w:p>
        </w:tc>
        <w:tc>
          <w:tcPr>
            <w:tcW w:w="580" w:type="dxa"/>
            <w:vAlign w:val="bottom"/>
          </w:tcPr>
          <w:p>
            <w:pPr>
              <w:spacing w:after="0"/>
              <w:rPr>
                <w:sz w:val="18"/>
                <w:szCs w:val="18"/>
                <w:color w:val="auto"/>
              </w:rPr>
            </w:pPr>
          </w:p>
        </w:tc>
        <w:tc>
          <w:tcPr>
            <w:tcW w:w="840" w:type="dxa"/>
            <w:vAlign w:val="bottom"/>
          </w:tcPr>
          <w:p>
            <w:pPr>
              <w:ind w:left="4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16,746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13,377</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Proprietary software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 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2,981</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Other</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840" w:type="dxa"/>
            <w:vAlign w:val="bottom"/>
          </w:tcPr>
          <w:p>
            <w:pPr>
              <w:ind w:left="60"/>
              <w:spacing w:after="0"/>
              <w:rPr>
                <w:sz w:val="20"/>
                <w:szCs w:val="20"/>
                <w:color w:val="auto"/>
              </w:rPr>
            </w:pPr>
            <w:r>
              <w:rPr>
                <w:rFonts w:ascii="Arial" w:cs="Arial" w:eastAsia="Arial" w:hAnsi="Arial"/>
                <w:sz w:val="18"/>
                <w:szCs w:val="18"/>
                <w:color w:val="auto"/>
              </w:rPr>
              <w:t>to 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r>
      <w:tr>
        <w:trPr>
          <w:trHeight w:val="20"/>
        </w:trPr>
        <w:tc>
          <w:tcPr>
            <w:tcW w:w="5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17,236</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(7,996)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(6,987)</w:t>
            </w:r>
          </w:p>
        </w:tc>
      </w:tr>
      <w:tr>
        <w:trPr>
          <w:trHeight w:val="20"/>
        </w:trPr>
        <w:tc>
          <w:tcPr>
            <w:tcW w:w="5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 net</w:t>
            </w: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12,609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10,249</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for the three and Nine months ended September 30, 2019 and 2018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9"/>
              </w:rPr>
              <w:t>Nine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9"/>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8"/>
                <w:szCs w:val="18"/>
                <w:b w:val="1"/>
                <w:bCs w:val="1"/>
                <w:color w:val="auto"/>
              </w:rPr>
              <w:t>September 30,</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354</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1,054</w:t>
            </w:r>
          </w:p>
        </w:tc>
        <w:tc>
          <w:tcPr>
            <w:tcW w:w="7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00" w:type="dxa"/>
            <w:vAlign w:val="bottom"/>
            <w:gridSpan w:val="5"/>
          </w:tcPr>
          <w:p>
            <w:pPr>
              <w:spacing w:after="0"/>
              <w:rPr>
                <w:sz w:val="20"/>
                <w:szCs w:val="20"/>
                <w:color w:val="auto"/>
              </w:rPr>
            </w:pPr>
            <w:r>
              <w:rPr>
                <w:rFonts w:ascii="Arial" w:cs="Arial" w:eastAsia="Arial" w:hAnsi="Arial"/>
                <w:sz w:val="18"/>
                <w:szCs w:val="18"/>
                <w:color w:val="auto"/>
                <w:w w:val="98"/>
              </w:rPr>
              <w:t>The estimated future amortization expense of intangible assets is as follows: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Amount</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2019 (Remainder)</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12,609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46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ind w:left="720"/>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6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as of September 30, 2019 and December 31, 2018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530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11,689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Long-term:</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5,190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Long-term inventory represents inventory held in excess of our current (next 12 months) requirements based on our recent sales and forecasted level of sales. We expect to sell the above inventory, net of reserves, at or above the stated cost and believe that no loss will be incurred on its sale, although there can be no assurance of the timing or amount of any sales.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Net loss incurred on valuation of inventory at lower of cost or market value and write-off of obsolete inventory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400" w:type="dxa"/>
            <w:vAlign w:val="bottom"/>
            <w:gridSpan w:val="5"/>
          </w:tcPr>
          <w:p>
            <w:pPr>
              <w:jc w:val="center"/>
              <w:ind w:left="21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w w:val="88"/>
              </w:rPr>
              <w:t>Nine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Borders>
              <w:bottom w:val="single" w:sz="8" w:color="auto"/>
            </w:tcBorders>
            <w:gridSpan w:val="5"/>
          </w:tcPr>
          <w:p>
            <w:pPr>
              <w:jc w:val="center"/>
              <w:ind w:left="27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46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Net loss incurred on valuation of inventory at lower of cost or</w:t>
            </w:r>
          </w:p>
        </w:tc>
        <w:tc>
          <w:tcPr>
            <w:tcW w:w="8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market value and write-off of obsolete inventory</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1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98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537</w:t>
            </w:r>
          </w:p>
        </w:tc>
        <w:tc>
          <w:tcPr>
            <w:tcW w:w="9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Rent expense is recognized on a straight-line basis over the period of the lease taking into account future rent escalation and holiday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the three and nine months ended September 30, 2019 and 2018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340" w:type="dxa"/>
            <w:vAlign w:val="bottom"/>
            <w:gridSpan w:val="5"/>
          </w:tcPr>
          <w:p>
            <w:pPr>
              <w:jc w:val="center"/>
              <w:ind w:left="270"/>
              <w:spacing w:after="0"/>
              <w:rPr>
                <w:sz w:val="20"/>
                <w:szCs w:val="20"/>
                <w:color w:val="auto"/>
              </w:rPr>
            </w:pPr>
            <w:r>
              <w:rPr>
                <w:rFonts w:ascii="Arial" w:cs="Arial" w:eastAsia="Arial" w:hAnsi="Arial"/>
                <w:sz w:val="18"/>
                <w:szCs w:val="18"/>
                <w:b w:val="1"/>
                <w:bCs w:val="1"/>
                <w:color w:val="auto"/>
                <w:w w:val="89"/>
              </w:rPr>
              <w:t>Three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w w:val="88"/>
              </w:rPr>
              <w:t>Nine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right="35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Borders>
              <w:bottom w:val="single" w:sz="8" w:color="auto"/>
            </w:tcBorders>
            <w:gridSpan w:val="5"/>
          </w:tcPr>
          <w:p>
            <w:pPr>
              <w:jc w:val="center"/>
              <w:ind w:left="27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Rent expense</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9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98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w:t>
            </w: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occupy a 5,000 square-foot facility in Gainesville, Florida under the terms of an operating lease that expires in February 2021 with the possibility of renewing the lease for 10 more years. The Gainesville facility is used primarily to support our research and development activities.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occupy a 21,443 square-foot facility in Salt Lake City, Utah under the terms of an operating lease expiring in March 2024, with an option to extend for additional five years. The facility supports our principal administrative, sales, marketing, customer support, and research and product development activities.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occupied a 10,700 square-foot warehouse in Shenzhen, China under the terms of an operating lease, that expired in September 2019, which served as manufacturing support center for Asia.</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occupy a 7,070 square-foot facility in Austin, Texas - under the terms of an operating lease that expired in October 2019. This facility supports our sales, marketing, customer support, and research and development activities.</w:t>
      </w:r>
    </w:p>
    <w:p>
      <w:pPr>
        <w:sectPr>
          <w:pgSz w:w="11900" w:h="16838" w:orient="portrait"/>
          <w:cols w:equalWidth="0" w:num="1">
            <w:col w:w="11420"/>
          </w:cols>
          <w:pgMar w:left="240" w:top="118"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occupy a 3,068 square-foot facility in Zaragoza, Spain under the terms of an operating lease expiring in March 2020. This office supports our research and development and customer support activities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occupy a 6,175 square-foot facility in Chennai, India - under the terms of an operating lease expiring in August 2021. This facility supports our administrative, marketing, customer support, and research and product development activities.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occupy a 40,000 square-foot warehouse in Salt Lake City, Utah under the terms of an operating lease expiring in April 2025, which serves as our primary inventory fulfillment and repair center.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88"/>
              </w:rPr>
              <w:t>Nine months ended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40" w:type="dxa"/>
            <w:vAlign w:val="bottom"/>
            <w:gridSpan w:val="4"/>
          </w:tcPr>
          <w:p>
            <w:pPr>
              <w:ind w:left="20"/>
              <w:spacing w:after="0"/>
              <w:rPr>
                <w:sz w:val="20"/>
                <w:szCs w:val="20"/>
                <w:color w:val="auto"/>
              </w:rPr>
            </w:pPr>
            <w:r>
              <w:rPr>
                <w:rFonts w:ascii="Arial" w:cs="Arial" w:eastAsia="Arial" w:hAnsi="Arial"/>
                <w:sz w:val="18"/>
                <w:szCs w:val="18"/>
                <w:b w:val="1"/>
                <w:bCs w:val="1"/>
                <w:color w:val="auto"/>
                <w:w w:val="95"/>
              </w:rPr>
              <w:t>September 30, 2019</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8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Operating cash flows from operating leases</w:t>
            </w:r>
          </w:p>
        </w:tc>
        <w:tc>
          <w:tcPr>
            <w:tcW w:w="16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0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Operating leases</w:t>
            </w:r>
          </w:p>
        </w:tc>
        <w:tc>
          <w:tcPr>
            <w:tcW w:w="16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56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5"/>
              </w:rPr>
              <w:t>September 30, 2019</w:t>
            </w:r>
          </w:p>
        </w:tc>
        <w:tc>
          <w:tcPr>
            <w:tcW w:w="18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6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2,547</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operating lease liabilities, included in accrued liabilities</w:t>
            </w:r>
          </w:p>
        </w:tc>
        <w:tc>
          <w:tcPr>
            <w:tcW w:w="16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lease liabilities</w:t>
            </w:r>
          </w:p>
        </w:tc>
        <w:tc>
          <w:tcPr>
            <w:tcW w:w="1080" w:type="dxa"/>
            <w:vAlign w:val="bottom"/>
            <w:tcBorders>
              <w:right w:val="single" w:sz="8" w:color="CCEEFF"/>
            </w:tcBorders>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2,685</w:t>
            </w:r>
          </w:p>
        </w:tc>
        <w:tc>
          <w:tcPr>
            <w:tcW w:w="10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4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for operating leases (in years)</w:t>
            </w:r>
          </w:p>
        </w:tc>
        <w:tc>
          <w:tcPr>
            <w:tcW w:w="10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Weighted average discount rate for operating leases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6.1%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560" w:type="dxa"/>
            <w:vAlign w:val="bottom"/>
            <w:gridSpan w:val="2"/>
          </w:tcPr>
          <w:p>
            <w:pPr>
              <w:spacing w:after="0"/>
              <w:rPr>
                <w:sz w:val="20"/>
                <w:szCs w:val="20"/>
                <w:color w:val="auto"/>
              </w:rPr>
            </w:pPr>
            <w:r>
              <w:rPr>
                <w:rFonts w:ascii="Arial" w:cs="Arial" w:eastAsia="Arial" w:hAnsi="Arial"/>
                <w:sz w:val="18"/>
                <w:szCs w:val="18"/>
                <w:color w:val="auto"/>
              </w:rPr>
              <w:t>The following represents maturities of operating lease liabilities as of September 30, 2019:</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10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2019 (Remainder)</w:t>
            </w:r>
          </w:p>
        </w:tc>
        <w:tc>
          <w:tcPr>
            <w:tcW w:w="16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178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10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2021</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646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10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2023</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606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Thereafter</w:t>
            </w:r>
          </w:p>
        </w:tc>
        <w:tc>
          <w:tcPr>
            <w:tcW w:w="1080" w:type="dxa"/>
            <w:vAlign w:val="bottom"/>
            <w:tcBorders>
              <w:bottom w:val="single" w:sz="8" w:color="CCEEFF"/>
              <w:right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ind w:left="640"/>
              <w:spacing w:after="0"/>
              <w:rPr>
                <w:sz w:val="20"/>
                <w:szCs w:val="20"/>
                <w:color w:val="auto"/>
              </w:rPr>
            </w:pPr>
            <w:r>
              <w:rPr>
                <w:rFonts w:ascii="Arial" w:cs="Arial" w:eastAsia="Arial" w:hAnsi="Arial"/>
                <w:sz w:val="18"/>
                <w:szCs w:val="18"/>
                <w:color w:val="auto"/>
              </w:rPr>
              <w:t>Total lease payments</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Imputed interest</w:t>
            </w:r>
          </w:p>
        </w:tc>
        <w:tc>
          <w:tcPr>
            <w:tcW w:w="10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ind w:left="640"/>
              <w:spacing w:after="0"/>
              <w:rPr>
                <w:sz w:val="20"/>
                <w:szCs w:val="20"/>
                <w:color w:val="auto"/>
              </w:rPr>
            </w:pPr>
            <w:r>
              <w:rPr>
                <w:rFonts w:ascii="Arial" w:cs="Arial" w:eastAsia="Arial" w:hAnsi="Arial"/>
                <w:sz w:val="18"/>
                <w:szCs w:val="18"/>
                <w:color w:val="auto"/>
              </w:rPr>
              <w:t>Total</w:t>
            </w:r>
          </w:p>
        </w:tc>
        <w:tc>
          <w:tcPr>
            <w:tcW w:w="16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2,685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jc w:val="right"/>
              <w:ind w:right="1670"/>
              <w:spacing w:after="0"/>
              <w:rPr>
                <w:sz w:val="20"/>
                <w:szCs w:val="20"/>
                <w:color w:val="auto"/>
              </w:rPr>
            </w:pPr>
            <w:r>
              <w:rPr>
                <w:rFonts w:ascii="Arial" w:cs="Arial" w:eastAsia="Arial" w:hAnsi="Arial"/>
                <w:sz w:val="18"/>
                <w:szCs w:val="18"/>
                <w:color w:val="auto"/>
              </w:rPr>
              <w:t>12</w:t>
            </w:r>
          </w:p>
        </w:tc>
        <w:tc>
          <w:tcPr>
            <w:tcW w:w="1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6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5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8. Shareholders' Equity</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 and additional paid-in capital</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58,002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47,758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57,857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Proceeds from employee stock purchase plan</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58,054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47,883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available-for-sale securities, net of tax</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Retained earnings (accumulated deficit)</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(9,922)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7,203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(5,475)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repurchased</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Cash dividends, $0.07 per share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w w:val="96"/>
              </w:rPr>
              <w:t>Impact on retained earnings for change in revenue recognition policy</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(10,142)</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(6,423)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(14,151)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(11,898)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(11,898)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45,984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45,984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44,736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Option Plans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share-based incentive plans offering stock options are offered under the Company’s 2007 Equity Incentive Plan (the “2007 Plan”), which was restated and approved by the shareholders on December 12, 2015. Provisions of the restated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 As of September 30, 2019, there were 549,011 options outstanding under the 2007 Plan. As of September 30, 2019, the 2007 Plan had 946,083 authorized unissued options.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under the Company’s plans for the Nine months ended September 30, 2019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7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exercise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7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of shares</w:t>
            </w:r>
          </w:p>
        </w:tc>
        <w:tc>
          <w:tcPr>
            <w:tcW w:w="24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beginning of year</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Canceled or expired</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(74,671)</w:t>
            </w: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September 30, 2019</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549,011</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Options exercisable at end of September 30, 2019</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520,286</w:t>
            </w:r>
          </w:p>
        </w:tc>
        <w:tc>
          <w:tcPr>
            <w:tcW w:w="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September 30, 2019, the total remaining unrecognized compensation cost related to non-vested stock options, net of forfeitures, was approximately $90, which will be recognized over a weighted average period of 0.6 year. The total intrinsic value of options outstanding as of September 30, 2019 was $0.</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color w:val="auto"/>
                <w:w w:val="99"/>
              </w:rPr>
              <w:t>Stock-based compensation expense has been recorded as follows:</w:t>
            </w: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14"/>
        </w:trPr>
        <w:tc>
          <w:tcPr>
            <w:tcW w:w="5320" w:type="dxa"/>
            <w:vAlign w:val="bottom"/>
          </w:tcPr>
          <w:p>
            <w:pPr>
              <w:spacing w:after="0"/>
              <w:rPr>
                <w:sz w:val="24"/>
                <w:szCs w:val="24"/>
                <w:color w:val="auto"/>
              </w:rPr>
            </w:pPr>
          </w:p>
        </w:tc>
        <w:tc>
          <w:tcPr>
            <w:tcW w:w="226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Nine months ended</w:t>
            </w:r>
          </w:p>
        </w:tc>
        <w:tc>
          <w:tcPr>
            <w:tcW w:w="580" w:type="dxa"/>
            <w:vAlign w:val="bottom"/>
          </w:tcPr>
          <w:p>
            <w:pPr>
              <w:spacing w:after="0"/>
              <w:rPr>
                <w:sz w:val="24"/>
                <w:szCs w:val="24"/>
                <w:color w:val="auto"/>
              </w:rPr>
            </w:pPr>
          </w:p>
        </w:tc>
      </w:tr>
      <w:tr>
        <w:trPr>
          <w:trHeight w:val="234"/>
        </w:trPr>
        <w:tc>
          <w:tcPr>
            <w:tcW w:w="5320" w:type="dxa"/>
            <w:vAlign w:val="bottom"/>
          </w:tcPr>
          <w:p>
            <w:pPr>
              <w:spacing w:after="0"/>
              <w:rPr>
                <w:sz w:val="20"/>
                <w:szCs w:val="20"/>
                <w:color w:val="auto"/>
              </w:rPr>
            </w:pPr>
          </w:p>
        </w:tc>
        <w:tc>
          <w:tcPr>
            <w:tcW w:w="226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58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Sales and marketing</w:t>
            </w:r>
          </w:p>
        </w:tc>
        <w:tc>
          <w:tcPr>
            <w:tcW w:w="9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9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58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58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53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580" w:type="dxa"/>
            <w:vAlign w:val="bottom"/>
          </w:tcPr>
          <w:p>
            <w:pPr>
              <w:spacing w:after="0"/>
              <w:rPr>
                <w:sz w:val="21"/>
                <w:szCs w:val="21"/>
                <w:color w:val="auto"/>
              </w:rPr>
            </w:pPr>
          </w:p>
        </w:tc>
      </w:tr>
      <w:tr>
        <w:trPr>
          <w:trHeight w:val="413"/>
        </w:trPr>
        <w:tc>
          <w:tcPr>
            <w:tcW w:w="532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14</w:t>
            </w: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3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substantial majority of the Company’s financial instruments are valued using observable inputs. The following table sets forth the fair value of the financial instruments re-measured by the Company as of September 30, 2019 and December 31,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2019</w:t>
            </w: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2,352</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2,352</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w:t>
            </w:r>
          </w:p>
        </w:tc>
      </w:tr>
      <w:tr>
        <w:trPr>
          <w:trHeight w:val="20"/>
        </w:trPr>
        <w:tc>
          <w:tcPr>
            <w:tcW w:w="60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180"/>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3,883</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3,883</w:t>
            </w:r>
          </w:p>
        </w:tc>
      </w:tr>
      <w:tr>
        <w:trPr>
          <w:trHeight w:val="20"/>
        </w:trPr>
        <w:tc>
          <w:tcPr>
            <w:tcW w:w="6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2018</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2,881</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2,881</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w:t>
            </w:r>
          </w:p>
        </w:tc>
      </w:tr>
      <w:tr>
        <w:trPr>
          <w:trHeight w:val="20"/>
        </w:trPr>
        <w:tc>
          <w:tcPr>
            <w:tcW w:w="60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180"/>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4,715</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4,715</w:t>
            </w:r>
          </w:p>
        </w:tc>
      </w:tr>
      <w:tr>
        <w:trPr>
          <w:trHeight w:val="20"/>
        </w:trPr>
        <w:tc>
          <w:tcPr>
            <w:tcW w:w="6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current year loss did not result in income tax benefit due to recording a full valuation allowance against expected benefits. The valuation allowance was recorded as we concluded that it was more likely than not that our deferred tax assets were not realizable primarily due to the Company's recent pre-tax losses. Income tax expense for the three and nine months ended 2019 represents income tax expense recorded for jurisdictions outside the United States.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reports filed with the SEC, including our Annual Report on Form 10-K for the year ended December 31, 2018.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December 31,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ClearOne is a global Company that designs, develops and sells conferencing, collaboration, and AV networking solutions for voice and visual communications. The performance and simplicity of our advanced, comprehensive solutions offer a high level of functionality, reliability and scalability. 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through strategic technological acquisitions as well as by internal product development.</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quarter of 2019, we began shipping our patented Beamforming Microphone Array Ceiling Tile (BMA CT) to our partners. All of the innovations developed for the BMA CT make the integrator’s job easier and more profitable. The BMA CT dramatically transforms how integrators can approach system design for ceiling tile installations, allowing for multi-array setups that can utilize a single, low-channel count digital-signal-processing (DSP) mixer while maintaining ClearOne’s high level of performance and reliability. Further simplification comes from the array’s built-in power amplifier, which allows each array to drive two 10-Watt, 8-Ohm loudspeakers. The BMA CT also features ClearOne’s proprietary adaptive steering technology (think of it as smart switching). This provides impeccable room coverage while eliminating the need to adjust individual beams. Integrators can daisy chain ceiling tiles via P-Link (ClearOne’s proprietary peripheral link) for larger conference setups – for simpler wiring and longer distances compared to networked home-run connections. P-Link also allows integrators to daisy chain additional peripherals such as wireless mics, USB Expanders, and GPIO Expanders. The system supports all of this functionality with zero consumption of analog I/O and signal processing in the DSP mixer leaving those resources available for other needs. The Company was awarded a Sound &amp; Video Contractor magazine “Best of Show Award” for BMA CT, showcased at InfoComm conference in Orlando, Florida in June 2019.</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2019, the United States Patent and Trademark Office issued patent number 10,397,697 to ClearOne. This patent, entitled “Band-Limited Beamforming Microphone Array,” describes a method, among other things, of making or using a band-limited beamforming microphone array by augmenting beamformed audio signals with additional audio signals that are not included in the beamforming process. The microphones that generate these additional signals are referred to as non-beamforming microphones. The invention significantly extends design flexibility because the augmented beamforming technology enables a broad range of design choices from larger, higher performance, higher cost beamforming arrays, to smaller beamforming arrays with good performance for less demanding environments at a lower cost.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ind w:left="2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33" w:lineRule="exact"/>
        <w:rPr>
          <w:sz w:val="20"/>
          <w:szCs w:val="20"/>
          <w:color w:val="auto"/>
        </w:rPr>
      </w:pPr>
    </w:p>
    <w:p>
      <w:pPr>
        <w:jc w:val="both"/>
        <w:ind w:left="20"/>
        <w:spacing w:after="0" w:line="273" w:lineRule="auto"/>
        <w:rPr>
          <w:sz w:val="20"/>
          <w:szCs w:val="20"/>
          <w:color w:val="auto"/>
        </w:rPr>
      </w:pPr>
      <w:r>
        <w:rPr>
          <w:rFonts w:ascii="Arial" w:cs="Arial" w:eastAsia="Arial" w:hAnsi="Arial"/>
          <w:sz w:val="16"/>
          <w:szCs w:val="16"/>
          <w:color w:val="auto"/>
        </w:rPr>
        <w:t>We also introduced COLLABORATE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Space to our growing family of collaboration solutions. It’s a suite that unifies messaging, calls and meetings and will energize workflows and increase productivity for everyone involved in the enterprise. Designed as a persistent, user-friendly collaboration suite, COLLABORATE Space contains many powerful UCC capabilities, as well as the seamless ability to make calls outside the network. We also added new features including classroom functionality, multiple screen support, and more. The new classroom functionality now found within COLLABORATE Space provides Q&amp;A participation, giving each user electronic “hand raise” capability. There’s also new moderator control over audio and video for all participants, which can number up to 100. If needed, additional participants can be added to any classroom in increments of 100. The moderator also has the ability to transfer the “presenter” role to any participant during the session. Additionally, COLLABORATE Space now includes multi-display support for the moderator host of any conference. Up to 3 displays can be used – one for local participants, one for remote participants, and one for content sharing.</w:t>
      </w:r>
    </w:p>
    <w:p>
      <w:pPr>
        <w:spacing w:after="0" w:line="176"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With COLLABORATE Space, users can work together one-on-one, or in groups of hundreds, with integrated file sharing, searchable archives, and user presence information. They can connect with colleagues and contacts, via audio and video, with the most intuitive collaboration tools. Users can meet immediately or schedule a meeting and access a full suite of collaboration features, including file sharing, whiteboarding, annotation, chat, and meeting minutes.</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During the first nine months of 2019, we continued our efforts, primarily through litigation, to stop the infringement of our strategic patents.</w:t>
      </w:r>
    </w:p>
    <w:p>
      <w:pPr>
        <w:spacing w:after="0" w:line="22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On August 5, 2019, the Honorable Edmond E. Chang of the Northern District of Illinois issued a preliminary injunction order in the Company’s ongoing litigation with Shure Incorporated, Case No. 17-cv-3087. In that litigation, ClearOne asserts that Shure’s MXA910 Ceiling Array Microphone, which competes with ClearOne’s beamforming microphone array products, infringes certain of ClearOne’s patents. The August 5 order held that ClearOne had "met its burden of demonstrating entitlement to the extraordinary relief of a preliminary injunction" on U.S. Patent No. 9,813,806 (the “Graham Patent”). The Court held that ClearOne established that "Shure is likely infringing the ’806 Patent and [that Shure] has not raised a substantial question of the patent’s validity.” The injunction order prohibits Shure from “manufacturing, marketing, and selling the MXA910 to be used in its drop-ceiling mounting configuration, including marketing and selling the MXA910 in a way that encourages or allows integrators to install it in a drop-ceiling mounting configuration."</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also continued our programs to cut costs and to speed up product development that we believe will enable us to get back to a growth path.</w:t>
      </w:r>
    </w:p>
    <w:p>
      <w:pPr>
        <w:spacing w:after="0" w:line="225"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Overall revenue declined in the third quarter of 2019 when compared to the third quarter of 2018, with declines seen in all product categories except microphones. We believe the on-going infringement of ClearOne’s patents is the major cause of our revenue decline in the audio conferencing and microphones categories. Our gross profit margin decreased from 45% in the third quarter of 2018 to 42% during the third quarter of 2019. Net loss decreased from $10.1 million in the third quarter of 2018 to $2.0 million in the third quarter of 2019. The net loss in the third quarter of 2018 included about $7.8 million in tax expenses due to recording of valuation allowance as we concluded that it was more likely than not that our deferred tax assets were not realizable primarily due to the Company's continuing pre-tax losses.</w:t>
      </w:r>
    </w:p>
    <w:p>
      <w:pPr>
        <w:spacing w:after="0" w:line="19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Overall revenue declined in the first nine months of 2019 when compared to same period in 2018, with declines seen in all product categories, except video. We believe the on-going infringement of ClearOne’s patents — which is improperly forcing the Company to compete against its own patented technology</w:t>
      </w:r>
    </w:p>
    <w:p>
      <w:pPr>
        <w:jc w:val="both"/>
        <w:ind w:right="140"/>
        <w:spacing w:after="0" w:line="269" w:lineRule="auto"/>
        <w:rPr>
          <w:sz w:val="20"/>
          <w:szCs w:val="20"/>
          <w:color w:val="auto"/>
        </w:rPr>
      </w:pPr>
      <w:r>
        <w:rPr>
          <w:rFonts w:ascii="Arial" w:cs="Arial" w:eastAsia="Arial" w:hAnsi="Arial"/>
          <w:sz w:val="17"/>
          <w:szCs w:val="17"/>
          <w:color w:val="auto"/>
        </w:rPr>
        <w:t>— is the major cause of our revenue decline in the audio conferencing and microphones categories. We believe the revenue decline in video products was caused partially by increased competition in the space as well as due to reduced attention from our partners caused by the alternatives made available through infringement of our patents. Our gross profit margin decreased to 44% during the first nine months of 2019 from 49% during the same nine months in 2018. Gross profit margin decreased primarily due to increased material costs and reduction of higher margin professional audio conferencing products in the revenue mix. Net loss during the first nine months of 2019 decreased to $6.4 million from $14.2 million during the same period in 2018. The net loss in 2018 included about $7.8 million in tax expenses due to recording of a valuation allowance as we concluded that it was more likely than not that our deferred tax assets were not realizable primarily due to the Company's continuing pre-tax losses.</w:t>
      </w:r>
    </w:p>
    <w:p>
      <w:pPr>
        <w:spacing w:after="0" w:line="181" w:lineRule="exact"/>
        <w:rPr>
          <w:sz w:val="20"/>
          <w:szCs w:val="20"/>
          <w:color w:val="auto"/>
        </w:rPr>
      </w:pPr>
    </w:p>
    <w:p>
      <w:pPr>
        <w:jc w:val="both"/>
        <w:ind w:left="20"/>
        <w:spacing w:after="0" w:line="297" w:lineRule="auto"/>
        <w:rPr>
          <w:sz w:val="20"/>
          <w:szCs w:val="20"/>
          <w:color w:val="auto"/>
        </w:rPr>
      </w:pPr>
      <w:r>
        <w:rPr>
          <w:rFonts w:ascii="Arial" w:cs="Arial" w:eastAsia="Arial" w:hAnsi="Arial"/>
          <w:sz w:val="16"/>
          <w:szCs w:val="16"/>
          <w:color w:val="auto"/>
        </w:rPr>
        <w:t>We believe the recent decision by the U.S. District Court in August granting our request for a preliminary injunction to prevent Shure from manufacturing, marketing, and selling its competing ceiling microphone array in an infringing configuration is an incredibly valuable ruling for ClearOne and its business. The decision validates the strength and importance of ClearOne’s intellectual property rights, recognizes ClearOne’s innovations in this space, and stops Shure from further infringing the Graham patent pending a full trial. Although there can be no assurance of any outcome of a full trial, we believe this ruling will help pave the way for ClearOne’s recovery from the immense harm inflicted by Shure's infringement of our valuable patents.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conditions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a very dynamic and highly competitive industry which is dominated on the one hand by a few players with respect to certain products like traditional video conferencing appliances while on the other influenced heavily by a fragmented reseller market consisting of numerous regional and local players. The industry is also characterized by venture capitalist funded start-ups and private companies willing to fund cumulative cash losses in order to gain market share and achieve certain non-financial goals.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conditions, challenges and risks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audio-visual products market is characterized by intense competition and rapidly evolving technology. Our competitors vary within each product category. Our installed professional audio conferencing products, which is our flagship product category, continue to be ahead of the competition despite the reduction in revenues. Our strength in this space is largely due to our fully integrated suite of products consisting of DSP mixers, wide range of professional microphone products and video collaboration products. Despite our strong leadership position in the installed professional audio conferencing market, we face challenges to revenue growth due to the limited size of the market and pricing pressures from new competitors attracted to the commercial market due to higher margins.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from our video products are critical to our long-term growth. We face intense competition in this market from well-established market leaders as well as emerging players rich with marketing funds. We expect our strategy of combining Spontania, our cloud-based video conferencing product, Collaborate, our appliance-based media collaboration product, our high-quality professional cameras, and our high-end audio conferencing technology will generate high growth in the near future. We believe we are also well positioned to capitalize on the continuing migration away from the traditional hardware-based video conferencing systems to software-based video conferencing applications.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derive a major portion of our revenue (approximately 47% for the year ended December 31, 2018) from international operations and expect this trend to continue in the future. Most of our revenue from outside the U.S. is billed in U.S. dollars and is not exposed to any significant currency risk. However, we are exposed to foreign exchange risk if the U.S. dollar is strong against other currencies as it will make U.S. Dollar denominated prices of our products less competitive.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and nine months ended September 30, 2019</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certain items from our unaudited condensed consolidated statements of operations (dollars in thousands) for the three and nine months ended September 30, 2019 (“2019 Q3”) ("2019 YTD") and 2018 (“2018-Q3”) ("2018-YTD"), respectively, together with the percentage of total revenue which each such item represents: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60" w:type="dxa"/>
            <w:vAlign w:val="bottom"/>
            <w:gridSpan w:val="7"/>
          </w:tcPr>
          <w:p>
            <w:pPr>
              <w:jc w:val="center"/>
              <w:ind w:right="500"/>
              <w:spacing w:after="0"/>
              <w:rPr>
                <w:sz w:val="20"/>
                <w:szCs w:val="20"/>
                <w:color w:val="auto"/>
              </w:rPr>
            </w:pPr>
            <w:r>
              <w:rPr>
                <w:rFonts w:ascii="Arial" w:cs="Arial" w:eastAsia="Arial" w:hAnsi="Arial"/>
                <w:sz w:val="18"/>
                <w:szCs w:val="18"/>
                <w:b w:val="1"/>
                <w:bCs w:val="1"/>
                <w:color w:val="auto"/>
                <w:w w:val="89"/>
              </w:rPr>
              <w:t>Three months ended September 30,</w:t>
            </w:r>
          </w:p>
        </w:tc>
        <w:tc>
          <w:tcPr>
            <w:tcW w:w="240" w:type="dxa"/>
            <w:vAlign w:val="bottom"/>
          </w:tcPr>
          <w:p>
            <w:pPr>
              <w:spacing w:after="0"/>
              <w:rPr>
                <w:sz w:val="20"/>
                <w:szCs w:val="20"/>
                <w:color w:val="auto"/>
              </w:rPr>
            </w:pPr>
          </w:p>
        </w:tc>
        <w:tc>
          <w:tcPr>
            <w:tcW w:w="376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89"/>
              </w:rPr>
              <w:t>Nine months ended September 30,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2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Percentage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Change 2019</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Change 2019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vs 2018</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vs 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5,992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6,683</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18,717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20,943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3,703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10,537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10,614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2,980</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10,329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2,168</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6,121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7,796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1,781</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1,341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4,330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5,290</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14,773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18,053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(2,098)</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(2,310)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(6,593)</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(7,724)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(1,956)</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(2,305)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(6,358)</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(7,646)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7,837</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(1,976)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(10,142)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(6,423)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(14,151)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revenue decreased to $6.0 million in 2019-Q3 compared to $6.7 million in 2018-Q3. The highest decline was seen in the video category with a 21.5% decline followed by audio conferencing with a 15% decline. Revenue from microphones grew by 3% due to modest growth in sales of ceiling mics and beamforming microphones. The decline in the audio conferencing category was due to a decline in the professional installed audio conferencing and personal conferencing. The decline in the video category was due to a decline in both network media streaming and video conferencing. We believe that the on-going infringement of ClearOne’s patents is the major cause of our revenue decline in audio conferencing and the microphone categories. The share of audio conferencing products in our product mix decreased from 51% in 2018-Q3 to 49% in 2019-Q3. The share of microphones increased from 32% to 37%. The share of video products in the revenue mix dropped slightly to 15% from 17%. During 2019-Q3 revenue declined in the USA, Canada, Australia, China, and Northern Europe offset by revenue increases in Japan, South Korea, Middle East, India, and Southern Europe. The Asia Pacific, including the Middle East, increased by 14%, Europe and Africa declined by 9% and the Americas declined by 21%.</w:t>
      </w:r>
    </w:p>
    <w:p>
      <w:pPr>
        <w:spacing w:after="0" w:line="18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revenue decreased to $18.7 million in 2019 YTD compared to $20.9 million in 2018 YTD. The highest decline was seen in the audio conferencing category with a 20% decline followed by microphones with a 2% decline. Revenue from video products grew by a modest 3% mainly due to growth in revenue from sales of videoconferencing appliances, cameras and cloud-based videoconferencing services. The decline in the audio conferencing category was due to a decline in all subcategories including professional installed audio conferencing, personal conferencing and tabletop conferencing. The decline in the microphones category was due to a decline in beamforming microphones and ceiling microphones offset by an increase in revenue from wireless mics. The on-going infringement of ClearOne’s patents is the major cause of our revenue decline in audio conferencing and microphone categories. The share of audio conferencing products in our product mix decreased from 51% in 2018 YTD to 46% in 2019 YTD. The share of microphones increased from 32% to 35%. The share of video products in the revenue mix increased from 17% to 20%. During 2019-YTD revenue declined in all regions except the Middle East, India, South Korea, and Southern Europe. The decline was more pronounced in Canada, China, Australia, and Northern Europe. The Asia Pacific, including the Middle East increased by 3%, Europe and Africa declined by 12% and the Americas declined by 16%.</w:t>
      </w:r>
    </w:p>
    <w:p>
      <w:pPr>
        <w:spacing w:after="0" w:line="16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although there can be no assurance, that we will return to a growth path if we are able to successfully implement our strategic initiatives focused on product innovation, cost reduction and defense of our intellectual property.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 and Gross Profit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goods sold includes expenses associated with finished goods purchased from outsourced manufacturers, the repackaging of our products, our manufacturing and operations organization, property and equipment depreciation, warranty expense, freight expense, royalty payments, and the allocation of overhead expenses.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gross profit for 2019-Q3 was approximately $2.5 million or 42% compared to approximately $3.0 million, or 45%, for 2018-Q3. Gross Profit margin decreased mainly due to an increase in inventory obsolescence costs.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gross profit margin decreased to 44% during 2019 YTD from 49% during 2018 YTD. The gross profit margin decreased primarily due to increased material costs and the reduction of higher-margin professional audio conferencing products in the revenue mix.</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profitability in the near-term continues to depend significantly on our revenues from professional installed audio-conferencing products. We hold long-term inventory and if we are unable to sell our long-term inventory, our profitability might be affected by inventory write-offs and price mark-downs. Our long-term inventory includes approximately $1.6 million of wireless microphone-related finished goods and assemblies, $1.8 million of Converge Pro and Beamforming microphone array products, $0.8 million of network media streaming products and about $1.9 million of raw materials that will be used for manufacturing professional audio conferencing products. Any business changes that are adverse to these product lines could potentially impact our ability to sell our long-term inventory in addition to our current inventory.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Operating expenses include sales and marketing (“S&amp;M”) expenses, research and product development (“R&amp;D”) expenses and general and administrative (“G&amp;A”) expenses. Total operating expenses were $4.6 million for 2019-Q3 compared to $5.3 million for 2018-Q3. Total operating expenses were $14.8 million for 2019 YTD compared to $18.1 million for 2018 YTD. The following contains a more detailed discussion of expenses related to sales and marketing, research and product development, general and administrative, and other items.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Sales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S&amp;M expenses include selling, customer service, and marketing expenses such as employee-related costs, allocations of overhead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trade shows, and other advertising and selling expenses.</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S&amp;M expenses for 2019-Q3 decreased to $1.9 million from $2.2 million for 2018-Q3. The decrease was mainly due to decreases in employee-related costs including benefits and commissions and allocations of overhead expenses partially offset by an increase in demonstration inventory costs.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S&amp;M expenses for 2019 YTD decreased to $6.1 million from $7.8 million for 2018 YTD. The decrease was mainly due to decreases in employee-related costs including benefits, commissions to employees and independent representatives, allocations of overhead expenses, and advertising costs partially offset by an increase in marketing expenses related to tradeshows and promotions.</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u w:val="single" w:color="auto"/>
          <w:color w:val="auto"/>
        </w:rPr>
        <w:t>Research and Product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R&amp;D expenses include research and development, product line management, engineering services, and test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 expenses, including employee-related costs, outside services, expensed materials, depreciation, and an allocation of overhead expenses.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R&amp;D expenses were approximately $1.4 million for 2019-Q3, as compared to $1.8 million for 2018-Q3. The decrease was primarily due to reductions in employee-related costs, and allocations of overhead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R&amp;D expenses were approximately $4.3 million for 2019 YTD, as compared to $5.8 million for 2018 YTD. The decrease was primarily due to reductions in employee-related costs, and allocations of overhead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General and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G&amp;A expenses include employee-related costs, professional service fees, allocations of overhead expenses, litigation costs,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administrative costs, including costs related to financing and human resources.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G&amp;A expenses remained almost the same at $1.30 million in 2019-Q3 compared to $1.34 million in 2018-Q3. G&amp;A expenses for 2019 YTD decreased marginally to $4.3 million compared to $4.5 million in 2018 YTD.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(expense), net, includes interest income, interest expense, and foreign currency changes. Other income increased to $142,000 in 2019-Q3 compared to $5,000 in 2018-Q3. The increase was mainly due to the recording of realized gain on sale of marketable securities of $83,000 in 2019-Q3. Other income increased to $0.2 million from $0.1 million in 2018 YTD. The increase was mainly due to the increase in realized gain on sale of marketable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2019 YTD, we did not recognize any benefit from the losses incurred due to setting up of full valuation allowance. Income tax expense for 2019-Q3 and 2019 YTD represents current income tax expense recorded for jurisdictions outside the United States. During 2018-Q3 the Company recorded discrete tax expense of $6.5 million, due primarily to the recording of a full valuation allowance on the Company’s net deferred tax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2019, our cash and cash equivalents were approximately $2.0 million compared to $11.2 million as of December 31, 2018. Our working capital was $22.5 million and $28.4 million as of September 30, 2019 and December 31, 2018, respectively.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used in operating activities was approximately $6.6 million in 2019 YTD, an increase of cash used of approximately $3.0 million from $3.6 million of cash used in operating activities in 2018 YTD. The increase in cash used was primarily due to a decrease in non-cash charges of $3.4 million and increase in cash outflows due to change in operating assets and liabilities of $7.3 million which includes $4.5 million towards payment of a bond for securing the preliminary injunction in our litigation to stop the infringement of our patents, partially offset by a decrease in net loss by $7.7 million.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investing activities was $2.6 million for 2019 YTD compared to net cash provided by investing activities of $1.3 million during the 2018 YTD, an increase in cash used of $3.9 million. The increase in cash used in investing activities was primarily due to a decrease in net cash inflows from marketable securities of approximately $4.3 million partially offset by a decrease in capitalized patent defense costs by $0.2 million.</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Capitalization of patent defense costs</w:t>
      </w:r>
      <w:r>
        <w:rPr>
          <w:rFonts w:ascii="Arial" w:cs="Arial" w:eastAsia="Arial" w:hAnsi="Arial"/>
          <w:sz w:val="18"/>
          <w:szCs w:val="18"/>
          <w:color w:val="auto"/>
        </w:rPr>
        <w:t>. We capitalize external legal costs incurred in the defense of our patents when we believe that a significant, discernible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value will result from the defense and a successful outcome of the legal action is probable. When we capitalize patent defense costs we amortize the costs over the remaining estimated useful life of the patent, which is 15 to 17 years. During 2019 YTD we spent $3.4 million on legal costs related to the defense of our patents and capitalized the entire amount.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currently pursuing all available legal remedies to defend our strategic patents from infringement. We have already spent approximately $11.9 million from 2016 through September 30, 2019 towards this litigation and may be required to spend more to continue our legal defense. We believe the recent decision by the U.S. District Court in August granting our request for a preliminary injunction to prevent our competitor from manufacturing, marketing, and selling its competing ceiling microphone array in an infringing configuration is an incredibly valuable ruling for ClearOne and its business. We believe that the decision validates the strength and importance of ClearOne’s intellectual property rights, recognizes ClearOne’s innovations in this space, and stops our competitor from further infringing our Graham patent (U.S. Patent No.9,813,806) pending a full trial. We believe this ruling will help pave way for ClearOne’s recovery from the immense harm inflicted by our competitor's infringement of our valuable patents.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been actively engaged in preserving cash by suspending our dividend program, allowing our share repurchase program to expire and implementing company-wide cost reduction measures. In addition, we expect to generate additional cash as our inventory levels are brought down to historical levels. We also believe that the measures taken by us will yield higher revenues in the future. We believe all of these and effective management of working capital will provide the liquidity needed to meet our short-term and long-term operating requirements and finance our growth plans. We also believe that our strong portfolio of intellectual property and our solid brand equity in the market will enable us to raise additional capital if and when needed to meet our short and long-term financing needs. In addition to capital expenditures, we may use cash in the near future for selective infusions of technology, sales and marketing, infrastructure, and other investments to fuel our growth.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2019, we had open purchase orders of approximately $1.0 million for purchase of inventory.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2019, we had inventory totaling $18.8 million, of which non-current inventory accounted for $7.1 million. This compares to total inventories of $22.2 million and non-current inventory of $9.0 million as of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ectPr>
          <w:pgSz w:w="11900" w:h="16838" w:orient="portrait"/>
          <w:cols w:equalWidth="0" w:num="1">
            <w:col w:w="11420"/>
          </w:cols>
          <w:pgMar w:left="240" w:top="118" w:right="23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discussion and analysis of our results of operations and financial position are based upon our unaudited consolidated financial statements included under Item 1 of this Form 10-Q, which have been prepared in conformity with accounting principles generally accepted in the United States. We review the accounting policies used in reporting our financial results on a regular basis. We believe certain of our accounting policies are critical to understanding our financial position and results of operations. Except with respect to our revenue recognition practices included in Note 1. “Business Description, Basis of Presentation and Significant Accounting Policies” under Item 1 of this Form 10-Q, there have been no changes to the critical accounting policies as explained in our Annual Report on Form 10-K for the year ended December 31,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discussion of recent accounting pronouncements, see Note 1: “Business Description, Basis of Presentation and Significant Accounting Policies” in the notes to our unaudited condensed consolidated financial statements included under Item 1 of this Form 10-Q.</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 evaluation of the effectiveness of our disclosure controls and procedures (as defined in Rules 13a-15(e) and 15d-15(e) of the Exchange Act) as of September 30, 2019 was performed under the supervision and with the participation of our management, including our Chief Executive Officer and our Principal Financial and Accounting Officer. Based upon this evaluation, our Chief Executive Officer and Senior Vice President of Finance concluded that, as of the end of the period covered by this Quarterly Report, our disclosure controls and procedures were not effective at a reasonable assurance level as of September 30, 2019 due to the material weakness in internal control over financial reporting as described below.</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identified a material weakness in the operating effectiveness of internal control over financial reporting relating to the accurate and timely reporting of its financial results and disclosures and its testing and assessment of the design and effectiveness of internal controls over financial reporting in a timely manner.</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address the material weakness, management is working with our third-party internal controls consultant to assist with the implementation of a remediation plan which will supplement the existing controls. The remediation plan will include an assessment of personnel levels and responsibilities, additional training of financial reporting personnel and ability to handle new requirements and projects on a timely basis with respect to the preparation of the consolidated financial statements and public company reporting requirements and timelines. The material weakness will be fully remediated when, in the opinion of management, the control processes have been operating for a sufficient period of time to provide reasonable assurance as to their effectiveness. The remediation and ultimate resolution of the material weakness will be reviewed with the Audit Committee of the Board of Directors.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noted above, there has been no change in the Company's internal control over financial reporting as of September 30, 2019, that has materially affected, or is reasonably likely to materially affect, the Company's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15, 2019, the Company filed a petition for inter partes review of Shure’s U.S. Patent No. 9,565,493 (“’493 Patent”), arguing that all claims of the ’493 Patent should be cancelled in light of several prior art references, including ClearOne’s U.S. Patent No. 9,813,806 (the “’806 Patent”). Shure has opposed the petition, and a decision by the Patent Trial and Appeal Board whether to institute inter partes review is expected by August 20, 2019.</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18, 2019, Shure, Inc. filed a lawsuit against the Company in the U.S. Court for the District of Delaware. The lawsuit alleges ClearOne’s BMA CT product, launched in February of 2019, infringes Shure’s '493 Patent. Furthermore, Shure alleged in the lawsuit that ClearOne engaged in unfair competition, tortious interference, deceptive trade practices and false advertising. Shure is seeking monetary damages and multiple injunctive reliefs. The Company believes that the lawsuit is a baseless retaliatory action by Shure and intends to vigorously defend it.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August 5, 2019, the Honorable Edmond E. Chang of the Northern District of Illinois issued a preliminary injunction order in the ongoing litigation in that district between the Company and Shure Incorporated, Case No. 11-cv-3087. In that litigation, ClearOne asserts that Shure’s MXA910 Ceiling Array Microphone, which competes with ClearOne’s beamforming microphone array products, infringes patents related to those products. The August 5 order held that ClearOne had "met its burden of demonstrating entitlement to the extraordinary relief of a preliminary injunction" on U.S. Patent No. 9,813,806. The Court held that "Shure is likely infringing the ’806 Patent and has not raised a substantial question of the patent’s validity.” The injunction order prohibits Shure from “manufacturing, marketing, and selling the MXA910 to be used in its drop-ceiling mounting configuration, including marketing and selling the MXA910 in a way that encourages or allows integrators to install it in a drop-ceiling mounting configuration."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to the risk factors included in our Annual Report on Form 10-K for the fiscal year ended December 31,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40" w:type="dxa"/>
            <w:vAlign w:val="bottom"/>
          </w:tcPr>
          <w:p>
            <w:pPr>
              <w:spacing w:after="0"/>
              <w:rPr>
                <w:sz w:val="20"/>
                <w:szCs w:val="20"/>
                <w:color w:val="auto"/>
              </w:rPr>
            </w:pPr>
          </w:p>
        </w:tc>
        <w:tc>
          <w:tcPr>
            <w:tcW w:w="103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Title of Document</w:t>
            </w:r>
          </w:p>
        </w:tc>
      </w:tr>
      <w:tr>
        <w:trPr>
          <w:trHeight w:val="385"/>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4"/>
                <w:szCs w:val="24"/>
                <w:color w:val="auto"/>
              </w:rPr>
            </w:pPr>
          </w:p>
        </w:tc>
        <w:tc>
          <w:tcPr>
            <w:tcW w:w="880" w:type="dxa"/>
            <w:vAlign w:val="bottom"/>
            <w:tcBorders>
              <w:bottom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Section 302</w:t>
              </w:r>
            </w:hyperlink>
          </w:p>
        </w:tc>
        <w:tc>
          <w:tcPr>
            <w:tcW w:w="4080" w:type="dxa"/>
            <w:vAlign w:val="bottom"/>
            <w:tcBorders>
              <w:bottom w:val="single" w:sz="8" w:color="0000EE"/>
            </w:tcBorders>
          </w:tcPr>
          <w:p>
            <w:pPr>
              <w:ind w:left="20"/>
              <w:spacing w:after="0"/>
              <w:rPr>
                <w:rFonts w:ascii="Arial" w:cs="Arial" w:eastAsia="Arial" w:hAnsi="Arial"/>
                <w:sz w:val="18"/>
                <w:szCs w:val="18"/>
                <w:color w:val="0000EE"/>
                <w:w w:val="94"/>
              </w:rPr>
            </w:pPr>
            <w:hyperlink w:anchor="page27">
              <w:r>
                <w:rPr>
                  <w:rFonts w:ascii="Arial" w:cs="Arial" w:eastAsia="Arial" w:hAnsi="Arial"/>
                  <w:sz w:val="18"/>
                  <w:szCs w:val="18"/>
                  <w:color w:val="0000EE"/>
                  <w:w w:val="94"/>
                </w:rPr>
                <w:t>Certification of Chief Executive Officer (filed herewith)</w:t>
              </w:r>
            </w:hyperlink>
          </w:p>
        </w:tc>
        <w:tc>
          <w:tcPr>
            <w:tcW w:w="5380" w:type="dxa"/>
            <w:vAlign w:val="bottom"/>
            <w:gridSpan w:val="2"/>
          </w:tcPr>
          <w:p>
            <w:pPr>
              <w:spacing w:after="0"/>
              <w:rPr>
                <w:sz w:val="24"/>
                <w:szCs w:val="24"/>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4"/>
                <w:szCs w:val="24"/>
                <w:color w:val="auto"/>
              </w:rPr>
            </w:pPr>
          </w:p>
        </w:tc>
        <w:tc>
          <w:tcPr>
            <w:tcW w:w="880" w:type="dxa"/>
            <w:vAlign w:val="bottom"/>
            <w:tcBorders>
              <w:bottom w:val="single" w:sz="8" w:color="0000EE"/>
            </w:tcBorders>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Section 302</w:t>
              </w:r>
            </w:hyperlink>
          </w:p>
        </w:tc>
        <w:tc>
          <w:tcPr>
            <w:tcW w:w="4280" w:type="dxa"/>
            <w:vAlign w:val="bottom"/>
            <w:tcBorders>
              <w:bottom w:val="single" w:sz="8" w:color="0000EE"/>
            </w:tcBorders>
            <w:gridSpan w:val="2"/>
          </w:tcPr>
          <w:p>
            <w:pPr>
              <w:ind w:left="20"/>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Certification of Principal Financial Officer (filed herewith)</w:t>
              </w:r>
            </w:hyperlink>
          </w:p>
        </w:tc>
        <w:tc>
          <w:tcPr>
            <w:tcW w:w="5180" w:type="dxa"/>
            <w:vAlign w:val="bottom"/>
          </w:tcPr>
          <w:p>
            <w:pPr>
              <w:spacing w:after="0"/>
              <w:rPr>
                <w:sz w:val="24"/>
                <w:szCs w:val="24"/>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4"/>
                <w:szCs w:val="24"/>
                <w:color w:val="auto"/>
              </w:rPr>
            </w:pPr>
          </w:p>
        </w:tc>
        <w:tc>
          <w:tcPr>
            <w:tcW w:w="880" w:type="dxa"/>
            <w:vAlign w:val="bottom"/>
            <w:tcBorders>
              <w:bottom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Section 906</w:t>
              </w:r>
            </w:hyperlink>
          </w:p>
        </w:tc>
        <w:tc>
          <w:tcPr>
            <w:tcW w:w="4080" w:type="dxa"/>
            <w:vAlign w:val="bottom"/>
            <w:tcBorders>
              <w:bottom w:val="single" w:sz="8" w:color="0000EE"/>
            </w:tcBorders>
          </w:tcPr>
          <w:p>
            <w:pPr>
              <w:ind w:left="20"/>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Certification of Chief Executive Officer (filed herewith)</w:t>
              </w:r>
            </w:hyperlink>
          </w:p>
        </w:tc>
        <w:tc>
          <w:tcPr>
            <w:tcW w:w="5380" w:type="dxa"/>
            <w:vAlign w:val="bottom"/>
            <w:gridSpan w:val="2"/>
          </w:tcPr>
          <w:p>
            <w:pPr>
              <w:spacing w:after="0"/>
              <w:rPr>
                <w:sz w:val="24"/>
                <w:szCs w:val="24"/>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40" w:type="dxa"/>
            <w:vAlign w:val="bottom"/>
          </w:tcPr>
          <w:p>
            <w:pPr>
              <w:spacing w:after="0"/>
              <w:rPr>
                <w:sz w:val="24"/>
                <w:szCs w:val="24"/>
                <w:color w:val="auto"/>
              </w:rPr>
            </w:pPr>
          </w:p>
        </w:tc>
        <w:tc>
          <w:tcPr>
            <w:tcW w:w="880" w:type="dxa"/>
            <w:vAlign w:val="bottom"/>
            <w:tcBorders>
              <w:bottom w:val="single" w:sz="8" w:color="0000EE"/>
            </w:tcBorders>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Section 906</w:t>
              </w:r>
            </w:hyperlink>
          </w:p>
        </w:tc>
        <w:tc>
          <w:tcPr>
            <w:tcW w:w="4280" w:type="dxa"/>
            <w:vAlign w:val="bottom"/>
            <w:tcBorders>
              <w:bottom w:val="single" w:sz="8" w:color="0000EE"/>
            </w:tcBorders>
            <w:gridSpan w:val="2"/>
          </w:tcPr>
          <w:p>
            <w:pPr>
              <w:ind w:left="20"/>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Certification of Principal Financial Officer (filed herewith)</w:t>
              </w:r>
            </w:hyperlink>
          </w:p>
        </w:tc>
        <w:tc>
          <w:tcPr>
            <w:tcW w:w="5180" w:type="dxa"/>
            <w:vAlign w:val="bottom"/>
          </w:tcPr>
          <w:p>
            <w:pPr>
              <w:spacing w:after="0"/>
              <w:rPr>
                <w:sz w:val="24"/>
                <w:szCs w:val="24"/>
                <w:color w:val="auto"/>
              </w:rPr>
            </w:pP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10340" w:type="dxa"/>
            <w:vAlign w:val="bottom"/>
            <w:gridSpan w:val="4"/>
          </w:tcPr>
          <w:p>
            <w:pPr>
              <w:spacing w:after="0"/>
              <w:rPr>
                <w:sz w:val="20"/>
                <w:szCs w:val="20"/>
                <w:color w:val="auto"/>
              </w:rPr>
            </w:pPr>
            <w:r>
              <w:rPr>
                <w:rFonts w:ascii="Arial" w:cs="Arial" w:eastAsia="Arial" w:hAnsi="Arial"/>
                <w:sz w:val="18"/>
                <w:szCs w:val="18"/>
                <w:color w:val="auto"/>
              </w:rPr>
              <w:t>XBRL Instance Document (filed herewith)</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10340" w:type="dxa"/>
            <w:vAlign w:val="bottom"/>
            <w:gridSpan w:val="4"/>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1034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10340" w:type="dxa"/>
            <w:vAlign w:val="bottom"/>
            <w:gridSpan w:val="4"/>
          </w:tcPr>
          <w:p>
            <w:pPr>
              <w:spacing w:after="0"/>
              <w:rPr>
                <w:sz w:val="20"/>
                <w:szCs w:val="20"/>
                <w:color w:val="auto"/>
              </w:rPr>
            </w:pPr>
            <w:r>
              <w:rPr>
                <w:rFonts w:ascii="Arial" w:cs="Arial" w:eastAsia="Arial" w:hAnsi="Arial"/>
                <w:sz w:val="18"/>
                <w:szCs w:val="18"/>
                <w:color w:val="auto"/>
              </w:rPr>
              <w:t>XBRL Taxonomy Extension Definitions Linkbase (filed herewith)</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1034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1034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648"/>
        </w:trPr>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80" w:type="dxa"/>
            <w:vAlign w:val="bottom"/>
          </w:tcPr>
          <w:p>
            <w:pPr>
              <w:ind w:left="366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115"/>
        </w:trPr>
        <w:tc>
          <w:tcPr>
            <w:tcW w:w="10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1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ind w:left="57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Zeynep Hakimoglu</w:t>
            </w:r>
          </w:p>
        </w:tc>
      </w:tr>
      <w:tr>
        <w:trPr>
          <w:trHeight w:val="195"/>
        </w:trPr>
        <w:tc>
          <w:tcPr>
            <w:tcW w:w="618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61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Chief Executive Officer and Chairman of the Board</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November 14, 2019</w:t>
            </w:r>
          </w:p>
        </w:tc>
        <w:tc>
          <w:tcPr>
            <w:tcW w:w="52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6180" w:type="dxa"/>
            <w:vAlign w:val="bottom"/>
          </w:tcPr>
          <w:p>
            <w:pPr>
              <w:ind w:left="57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Narsi Narayanan</w:t>
            </w:r>
          </w:p>
        </w:tc>
      </w:tr>
      <w:tr>
        <w:trPr>
          <w:trHeight w:val="195"/>
        </w:trPr>
        <w:tc>
          <w:tcPr>
            <w:tcW w:w="618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61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November 14, 2019</w:t>
            </w:r>
          </w:p>
        </w:tc>
        <w:tc>
          <w:tcPr>
            <w:tcW w:w="524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r>
        <w:trPr>
          <w:trHeight w:val="648"/>
        </w:trPr>
        <w:tc>
          <w:tcPr>
            <w:tcW w:w="6180" w:type="dxa"/>
            <w:vAlign w:val="bottom"/>
          </w:tcPr>
          <w:p>
            <w:pPr>
              <w:ind w:left="5620"/>
              <w:spacing w:after="0"/>
              <w:rPr>
                <w:sz w:val="20"/>
                <w:szCs w:val="20"/>
                <w:color w:val="auto"/>
              </w:rPr>
            </w:pPr>
            <w:r>
              <w:rPr>
                <w:rFonts w:ascii="Arial" w:cs="Arial" w:eastAsia="Arial" w:hAnsi="Arial"/>
                <w:sz w:val="18"/>
                <w:szCs w:val="18"/>
                <w:color w:val="auto"/>
              </w:rPr>
              <w:t>25</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25"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ind w:left="200" w:hanging="192"/>
        <w:spacing w:after="0" w:line="342" w:lineRule="auto"/>
        <w:tabs>
          <w:tab w:leader="none" w:pos="20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00" w:hanging="192"/>
        <w:spacing w:after="0" w:line="277"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00" w:hanging="192"/>
        <w:spacing w:after="0" w:line="264"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200" w:hanging="192"/>
        <w:spacing w:after="0" w:line="277"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820" w:type="dxa"/>
            <w:vAlign w:val="bottom"/>
            <w:gridSpan w:val="2"/>
          </w:tcPr>
          <w:p>
            <w:pPr>
              <w:ind w:left="21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6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6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November 14, 2019</w:t>
            </w:r>
          </w:p>
        </w:tc>
        <w:tc>
          <w:tcPr>
            <w:tcW w:w="24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25"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ind w:left="200" w:hanging="192"/>
        <w:spacing w:after="0" w:line="342" w:lineRule="auto"/>
        <w:tabs>
          <w:tab w:leader="none" w:pos="20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00" w:hanging="192"/>
        <w:spacing w:after="0" w:line="277"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00" w:hanging="192"/>
        <w:spacing w:after="0" w:line="264"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200" w:hanging="192"/>
        <w:spacing w:after="0" w:line="277"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820" w:type="dxa"/>
            <w:vAlign w:val="bottom"/>
            <w:gridSpan w:val="2"/>
          </w:tcPr>
          <w:p>
            <w:pPr>
              <w:ind w:left="21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6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6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November 14, 2019</w:t>
            </w:r>
          </w:p>
        </w:tc>
        <w:tc>
          <w:tcPr>
            <w:tcW w:w="24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September 30, 2019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820" w:type="dxa"/>
            <w:vAlign w:val="bottom"/>
            <w:gridSpan w:val="2"/>
          </w:tcPr>
          <w:p>
            <w:pPr>
              <w:ind w:left="21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6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6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November 14, 2019</w:t>
            </w:r>
          </w:p>
        </w:tc>
        <w:tc>
          <w:tcPr>
            <w:tcW w:w="24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September 30, 2019,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820" w:type="dxa"/>
            <w:vAlign w:val="bottom"/>
            <w:gridSpan w:val="2"/>
          </w:tcPr>
          <w:p>
            <w:pPr>
              <w:ind w:left="21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6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6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November 14, 2019</w:t>
            </w:r>
          </w:p>
        </w:tc>
        <w:tc>
          <w:tcPr>
            <w:tcW w:w="24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emdash "/>
      <w:numFmt w:val="bullet"/>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2019-12-28T01:36:30Z</dcterms:created>
  <dcterms:modified xsi:type="dcterms:W3CDTF">2019-12-28T01:36:30Z</dcterms:modified>
</cp:coreProperties>
</file>