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30, 2005</w:t>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48" w:lineRule="exact"/>
        <w:rPr>
          <w:sz w:val="24"/>
          <w:szCs w:val="24"/>
          <w:color w:val="auto"/>
        </w:rPr>
      </w:pPr>
    </w:p>
    <w:tbl>
      <w:tblPr>
        <w:tblLayout w:type="fixed"/>
        <w:tblInd w:w="1400" w:type="dxa"/>
        <w:tblCellMar>
          <w:top w:w="0" w:type="dxa"/>
          <w:left w:w="0" w:type="dxa"/>
          <w:bottom w:w="0" w:type="dxa"/>
          <w:right w:w="0" w:type="dxa"/>
        </w:tblCellMar>
      </w:tblPr>
      <w:tr>
        <w:trPr>
          <w:trHeight w:val="207"/>
        </w:trPr>
        <w:tc>
          <w:tcPr>
            <w:tcW w:w="1160" w:type="dxa"/>
            <w:vAlign w:val="bottom"/>
            <w:gridSpan w:val="2"/>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0"/>
              </w:rPr>
              <w:t>0-17219</w:t>
            </w:r>
          </w:p>
        </w:tc>
        <w:tc>
          <w:tcPr>
            <w:tcW w:w="4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9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87-0398877</w:t>
            </w:r>
          </w:p>
        </w:tc>
      </w:tr>
      <w:tr>
        <w:trPr>
          <w:trHeight w:val="20"/>
        </w:trPr>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440" w:type="dxa"/>
            <w:vAlign w:val="bottom"/>
            <w:gridSpan w:val="5"/>
          </w:tcPr>
          <w:p>
            <w:pPr>
              <w:jc w:val="center"/>
              <w:ind w:right="1520"/>
              <w:spacing w:after="0"/>
              <w:rPr>
                <w:sz w:val="20"/>
                <w:szCs w:val="20"/>
                <w:color w:val="auto"/>
              </w:rPr>
            </w:pPr>
            <w:r>
              <w:rPr>
                <w:rFonts w:ascii="Arial" w:cs="Arial" w:eastAsia="Arial" w:hAnsi="Arial"/>
                <w:sz w:val="18"/>
                <w:szCs w:val="18"/>
                <w:color w:val="auto"/>
                <w:w w:val="93"/>
              </w:rPr>
              <w:t>(Commission File Number)</w:t>
            </w:r>
          </w:p>
        </w:tc>
        <w:tc>
          <w:tcPr>
            <w:tcW w:w="3980" w:type="dxa"/>
            <w:vAlign w:val="bottom"/>
            <w:gridSpan w:val="5"/>
          </w:tcPr>
          <w:p>
            <w:pPr>
              <w:jc w:val="center"/>
              <w:ind w:left="1410"/>
              <w:spacing w:after="0"/>
              <w:rPr>
                <w:sz w:val="20"/>
                <w:szCs w:val="20"/>
                <w:color w:val="auto"/>
              </w:rPr>
            </w:pPr>
            <w:r>
              <w:rPr>
                <w:rFonts w:ascii="Arial" w:cs="Arial" w:eastAsia="Arial" w:hAnsi="Arial"/>
                <w:sz w:val="18"/>
                <w:szCs w:val="18"/>
                <w:color w:val="auto"/>
                <w:w w:val="94"/>
              </w:rPr>
              <w:t>(IRS Employer Identification No.)</w:t>
            </w:r>
          </w:p>
        </w:tc>
      </w:tr>
      <w:tr>
        <w:trPr>
          <w:trHeight w:val="702"/>
        </w:trPr>
        <w:tc>
          <w:tcPr>
            <w:tcW w:w="680" w:type="dxa"/>
            <w:vAlign w:val="bottom"/>
          </w:tcPr>
          <w:p>
            <w:pPr>
              <w:spacing w:after="0"/>
              <w:rPr>
                <w:sz w:val="24"/>
                <w:szCs w:val="24"/>
                <w:color w:val="auto"/>
              </w:rPr>
            </w:pPr>
          </w:p>
        </w:tc>
        <w:tc>
          <w:tcPr>
            <w:tcW w:w="376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88"/>
              </w:rPr>
              <w:t>1825 Research Way,</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4440" w:type="dxa"/>
            <w:vAlign w:val="bottom"/>
            <w:gridSpan w:val="5"/>
          </w:tcPr>
          <w:p>
            <w:pPr>
              <w:jc w:val="center"/>
              <w:ind w:right="1520"/>
              <w:spacing w:after="0" w:line="202" w:lineRule="exact"/>
              <w:rPr>
                <w:sz w:val="20"/>
                <w:szCs w:val="20"/>
                <w:color w:val="auto"/>
              </w:rPr>
            </w:pPr>
            <w:r>
              <w:rPr>
                <w:rFonts w:ascii="Arial" w:cs="Arial" w:eastAsia="Arial" w:hAnsi="Arial"/>
                <w:sz w:val="18"/>
                <w:szCs w:val="18"/>
                <w:b w:val="1"/>
                <w:bCs w:val="1"/>
                <w:color w:val="auto"/>
                <w:w w:val="92"/>
              </w:rPr>
              <w:t>Salt Lake City, Utah</w:t>
            </w:r>
          </w:p>
        </w:tc>
        <w:tc>
          <w:tcPr>
            <w:tcW w:w="3160" w:type="dxa"/>
            <w:vAlign w:val="bottom"/>
            <w:gridSpan w:val="4"/>
          </w:tcPr>
          <w:p>
            <w:pPr>
              <w:jc w:val="right"/>
              <w:ind w:right="200"/>
              <w:spacing w:after="0" w:line="202" w:lineRule="exact"/>
              <w:rPr>
                <w:sz w:val="20"/>
                <w:szCs w:val="20"/>
                <w:color w:val="auto"/>
              </w:rPr>
            </w:pPr>
            <w:r>
              <w:rPr>
                <w:rFonts w:ascii="Arial" w:cs="Arial" w:eastAsia="Arial" w:hAnsi="Arial"/>
                <w:sz w:val="18"/>
                <w:szCs w:val="18"/>
                <w:b w:val="1"/>
                <w:bCs w:val="1"/>
                <w:color w:val="auto"/>
              </w:rPr>
              <w:t>84119</w:t>
            </w:r>
          </w:p>
        </w:tc>
        <w:tc>
          <w:tcPr>
            <w:tcW w:w="8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440" w:type="dxa"/>
            <w:vAlign w:val="bottom"/>
            <w:gridSpan w:val="5"/>
          </w:tcPr>
          <w:p>
            <w:pPr>
              <w:jc w:val="center"/>
              <w:ind w:right="150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Pr>
          <w:p>
            <w:pPr>
              <w:spacing w:after="0"/>
              <w:rPr>
                <w:sz w:val="20"/>
                <w:szCs w:val="20"/>
                <w:color w:val="auto"/>
              </w:rPr>
            </w:pPr>
          </w:p>
        </w:tc>
        <w:tc>
          <w:tcPr>
            <w:tcW w:w="1680" w:type="dxa"/>
            <w:vAlign w:val="bottom"/>
            <w:gridSpan w:val="4"/>
          </w:tcPr>
          <w:p>
            <w:pPr>
              <w:jc w:val="center"/>
              <w:ind w:right="82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83"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As previously reported, on June 30, 2003, a consolidated complaint was filed against ClearOne Communications, Inc. (the “Company”), eight of its present or former officers and directors, and its former auditor by a class consisting of purchasers of the Company’s common stock during the period from April 17, 2001 through January 15, 2003. The Company entered into a court approved settlement agreement with the class pursuant to which it agreed to pay the plaintiff class $5.0 million and issue it 1.2 million shares of the Company’s common stock. The settlement agreement and court order were amended in May 2005 to provide that odd-lot numbers of shares (99 or fewer shares) would not be issued from the settlement fund and claimants who would otherwise be entitled to 99 or fewer shares would be paid cash in lieu of such odd-lot numbers of shares.</w:t>
      </w:r>
    </w:p>
    <w:p>
      <w:pPr>
        <w:spacing w:after="0" w:line="233"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September 29, 2005, the Company completed its obligations under the settlement agreement by issuing a total of 1,148,494 shares of its common stock to the plaintiff class (including 228,000 shares previously issued in November, 2004) and paying an aggregate of $126,704.76 in cash in lieu of shares to those members of the class who would otherwise have been entitled to receive an odd-lot number of shares or who resided in states in which there was no exemption available for the issuance of the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3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The shares were issued in reliance on the exemption from the registration requirements of the Securities Act of 1933, as amended (the “Securities Act”), provided by Section 3(a)(10) thereof and may be resold by the members of the plaintiff class without restriction under the Securities Act. In approving the settlement, the Court found that the settlement was in all respects fair, reasonable and adequate to and in the best interests of the lead plaintiffs, the settlement class and each of its members, the settlement was the result of arm’s length negotiations between experienced counsel, and the issuance of the shares should be without registration in reliance upon Section 3(a)(10) of the Securities Act.</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CLEARONE COMMUNICATIONS, INC.</w:t>
            </w:r>
          </w:p>
        </w:tc>
      </w:tr>
      <w:tr>
        <w:trPr>
          <w:trHeight w:val="689"/>
        </w:trPr>
        <w:tc>
          <w:tcPr>
            <w:tcW w:w="3800" w:type="dxa"/>
            <w:vAlign w:val="bottom"/>
          </w:tcPr>
          <w:p>
            <w:pPr>
              <w:spacing w:after="0"/>
              <w:rPr>
                <w:sz w:val="20"/>
                <w:szCs w:val="20"/>
                <w:color w:val="auto"/>
              </w:rPr>
            </w:pPr>
            <w:r>
              <w:rPr>
                <w:rFonts w:ascii="Arial" w:cs="Arial" w:eastAsia="Arial" w:hAnsi="Arial"/>
                <w:sz w:val="18"/>
                <w:szCs w:val="18"/>
                <w:color w:val="auto"/>
              </w:rPr>
              <w:t>Date: September 30, 2005</w:t>
            </w: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By:  /s/ Zeynep Hakimoglu</w:t>
            </w:r>
          </w:p>
        </w:tc>
      </w:tr>
      <w:tr>
        <w:trPr>
          <w:trHeight w:val="20"/>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3800" w:type="dxa"/>
            <w:vAlign w:val="bottom"/>
          </w:tcPr>
          <w:p>
            <w:pPr>
              <w:spacing w:after="0"/>
              <w:rPr>
                <w:sz w:val="20"/>
                <w:szCs w:val="20"/>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Zeynep Hakimoglu</w:t>
            </w:r>
          </w:p>
        </w:tc>
      </w:tr>
      <w:tr>
        <w:trPr>
          <w:trHeight w:val="243"/>
        </w:trPr>
        <w:tc>
          <w:tcPr>
            <w:tcW w:w="3800" w:type="dxa"/>
            <w:vAlign w:val="bottom"/>
          </w:tcPr>
          <w:p>
            <w:pPr>
              <w:spacing w:after="0"/>
              <w:rPr>
                <w:sz w:val="21"/>
                <w:szCs w:val="21"/>
                <w:color w:val="auto"/>
              </w:rPr>
            </w:pP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Chief Executive Officer and President</w:t>
            </w:r>
          </w:p>
        </w:tc>
      </w:tr>
      <w:tr>
        <w:trPr>
          <w:trHeight w:val="388"/>
        </w:trPr>
        <w:tc>
          <w:tcPr>
            <w:tcW w:w="38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2019-12-13T18:12:55Z</dcterms:created>
  <dcterms:modified xsi:type="dcterms:W3CDTF">2019-12-13T18:12:55Z</dcterms:modified>
</cp:coreProperties>
</file>