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90"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CURRENT REPORT PURSUANT</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TO SECTION 13 OR 15(D) OF</w:t>
      </w:r>
    </w:p>
    <w:p>
      <w:pPr>
        <w:spacing w:after="0" w:line="9"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u w:val="single" w:color="auto"/>
          <w:color w:val="auto"/>
        </w:rPr>
        <w:t>June 15, 2007</w:t>
      </w:r>
    </w:p>
    <w:p>
      <w:pPr>
        <w:spacing w:after="0" w:line="200" w:lineRule="exact"/>
        <w:rPr>
          <w:sz w:val="24"/>
          <w:szCs w:val="24"/>
          <w:color w:val="auto"/>
        </w:rPr>
      </w:pPr>
    </w:p>
    <w:p>
      <w:pPr>
        <w:spacing w:after="0" w:line="34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29"/>
          <w:szCs w:val="29"/>
          <w:b w:val="1"/>
          <w:bCs w:val="1"/>
          <w:u w:val="single" w:color="auto"/>
          <w:color w:val="auto"/>
        </w:rPr>
        <w:t>ClearOne Communications, Inc.</w:t>
      </w:r>
    </w:p>
    <w:p>
      <w:pPr>
        <w:spacing w:after="0" w:line="44"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55"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Utah</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(State or Other Jurisdiction of Incorporation)</w:t>
      </w:r>
    </w:p>
    <w:p>
      <w:pPr>
        <w:spacing w:after="0" w:line="257" w:lineRule="exact"/>
        <w:rPr>
          <w:sz w:val="24"/>
          <w:szCs w:val="24"/>
          <w:color w:val="auto"/>
        </w:rPr>
      </w:pPr>
    </w:p>
    <w:tbl>
      <w:tblPr>
        <w:tblLayout w:type="fixed"/>
        <w:tblInd w:w="2880" w:type="dxa"/>
        <w:tblCellMar>
          <w:top w:w="0" w:type="dxa"/>
          <w:left w:w="0" w:type="dxa"/>
          <w:bottom w:w="0" w:type="dxa"/>
          <w:right w:w="0" w:type="dxa"/>
        </w:tblCellMar>
      </w:tblPr>
      <w:tr>
        <w:trPr>
          <w:trHeight w:val="286"/>
        </w:trPr>
        <w:tc>
          <w:tcPr>
            <w:tcW w:w="2840" w:type="dxa"/>
            <w:vAlign w:val="bottom"/>
            <w:tcBorders>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b w:val="1"/>
                <w:bCs w:val="1"/>
                <w:color w:val="auto"/>
              </w:rPr>
              <w:t>000-17219</w:t>
            </w:r>
          </w:p>
        </w:tc>
        <w:tc>
          <w:tcPr>
            <w:tcW w:w="280" w:type="dxa"/>
            <w:vAlign w:val="bottom"/>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3"/>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87-0398877</w:t>
            </w:r>
          </w:p>
        </w:tc>
      </w:tr>
      <w:tr>
        <w:trPr>
          <w:trHeight w:val="198"/>
        </w:trPr>
        <w:tc>
          <w:tcPr>
            <w:tcW w:w="2840" w:type="dxa"/>
            <w:vAlign w:val="bottom"/>
          </w:tcPr>
          <w:p>
            <w:pPr>
              <w:jc w:val="right"/>
              <w:ind w:right="35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180" w:type="dxa"/>
            <w:vAlign w:val="bottom"/>
            <w:gridSpan w:val="3"/>
          </w:tcPr>
          <w:p>
            <w:pPr>
              <w:jc w:val="center"/>
              <w:ind w:right="330"/>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180" w:type="dxa"/>
            <w:vAlign w:val="bottom"/>
            <w:gridSpan w:val="3"/>
          </w:tcPr>
          <w:p>
            <w:pPr>
              <w:jc w:val="center"/>
              <w:ind w:right="350"/>
              <w:spacing w:after="0"/>
              <w:rPr>
                <w:sz w:val="20"/>
                <w:szCs w:val="20"/>
                <w:color w:val="auto"/>
              </w:rPr>
            </w:pPr>
            <w:r>
              <w:rPr>
                <w:rFonts w:ascii="Times New Roman" w:cs="Times New Roman" w:eastAsia="Times New Roman" w:hAnsi="Times New Roman"/>
                <w:sz w:val="18"/>
                <w:szCs w:val="18"/>
                <w:color w:val="auto"/>
              </w:rPr>
              <w:t>identification number)</w:t>
            </w:r>
          </w:p>
        </w:tc>
      </w:tr>
      <w:tr>
        <w:trPr>
          <w:trHeight w:val="464"/>
        </w:trPr>
        <w:tc>
          <w:tcPr>
            <w:tcW w:w="35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5225 Wiley Post Way, Suite 500</w:t>
            </w: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92"/>
        </w:trPr>
        <w:tc>
          <w:tcPr>
            <w:tcW w:w="352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b w:val="1"/>
                <w:bCs w:val="1"/>
                <w:color w:val="auto"/>
                <w:w w:val="98"/>
              </w:rPr>
              <w:t>Salt Lake City, Utah</w:t>
            </w:r>
          </w:p>
        </w:tc>
        <w:tc>
          <w:tcPr>
            <w:tcW w:w="2180" w:type="dxa"/>
            <w:vAlign w:val="bottom"/>
            <w:gridSpan w:val="3"/>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84116</w:t>
            </w:r>
          </w:p>
        </w:tc>
      </w:tr>
      <w:tr>
        <w:trPr>
          <w:trHeight w:val="228"/>
        </w:trPr>
        <w:tc>
          <w:tcPr>
            <w:tcW w:w="3520" w:type="dxa"/>
            <w:vAlign w:val="bottom"/>
            <w:tcBorders>
              <w:top w:val="single" w:sz="8" w:color="auto"/>
            </w:tcBorders>
            <w:gridSpan w:val="3"/>
          </w:tcPr>
          <w:p>
            <w:pPr>
              <w:jc w:val="center"/>
              <w:ind w:left="490"/>
              <w:spacing w:after="0"/>
              <w:rPr>
                <w:sz w:val="20"/>
                <w:szCs w:val="20"/>
                <w:color w:val="auto"/>
              </w:rPr>
            </w:pPr>
            <w:r>
              <w:rPr>
                <w:rFonts w:ascii="Times New Roman" w:cs="Times New Roman" w:eastAsia="Times New Roman" w:hAnsi="Times New Roman"/>
                <w:sz w:val="18"/>
                <w:szCs w:val="18"/>
                <w:color w:val="auto"/>
              </w:rPr>
              <w:t>(Address of principal executive offices)</w:t>
            </w:r>
          </w:p>
        </w:tc>
        <w:tc>
          <w:tcPr>
            <w:tcW w:w="60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256"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(801) 975-7200</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57"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Not applicable</w:t>
      </w:r>
    </w:p>
    <w:p>
      <w:pPr>
        <w:spacing w:after="0" w:line="31" w:lineRule="exact"/>
        <w:rPr>
          <w:sz w:val="24"/>
          <w:szCs w:val="24"/>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6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16" w:lineRule="exact"/>
        <w:rPr>
          <w:sz w:val="24"/>
          <w:szCs w:val="24"/>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Written communications pursuant to Rule 425 under the Securities Act (17 CFR 30.425)</w:t>
      </w:r>
    </w:p>
    <w:p>
      <w:pPr>
        <w:spacing w:after="0" w:line="27"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Soliciting material pursuant to Rule 14a-12 under the Exchange Act (17 CFR 40.14a-12)</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communications pursuant to Rule 14d-2(b) under the Exchange Act (17 CFR 240.14d-2(b))</w:t>
      </w:r>
    </w:p>
    <w:p>
      <w:pPr>
        <w:spacing w:after="0" w:line="9" w:lineRule="exact"/>
        <w:rPr>
          <w:rFonts w:ascii="Times New Roman" w:cs="Times New Roman" w:eastAsia="Times New Roman" w:hAnsi="Times New Roman"/>
          <w:sz w:val="18"/>
          <w:szCs w:val="18"/>
          <w:color w:val="auto"/>
        </w:rPr>
      </w:pPr>
    </w:p>
    <w:p>
      <w:pPr>
        <w:ind w:left="120" w:hanging="112"/>
        <w:spacing w:after="0"/>
        <w:tabs>
          <w:tab w:leader="none" w:pos="1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Pre-commencement communication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535305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68" w:right="3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response to ClearOne Communications, Inc.’s (“CLRO”) December 2006 application for listing on NASDAQ, CLRO was notified on June 12, 2007 that its application was denied. NASDAQ has relied on its Marketplace Rule 4300 which states that its staff has “broad discretionary authority over the initial and continued listing of securities in NASDAQ in order to maintain the quality of and public confidence in its market .… even though the securities meet all enumerated criteria for initial or continued listing on NASDAQ.”</w:t>
      </w:r>
    </w:p>
    <w:p>
      <w:pPr>
        <w:spacing w:after="0" w:line="2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According to the NASDAQ notification letter, its denial is based primarily upon its conclusion regarding the nature and extent of the Company’s relationship with Edward D. Bagley who is CLRO’s Chairman of the Board and owns approximately 17% of the Company’s outstanding shares. Mr. Bagley previously acted as a principal and owner of Bagley Securities, Inc. from 1986 to 1990. The notification letter indicated that between 1989 and 1992 the Securities and Exchange Commission, the National Association of Securities Dealers and five state regulatory authorities filed or initiated a number of individual and joint complaints or proceedings against Mr. Bagley and Bagley Securities, Inc. which had outcomes that were adverse to Mr. Bagley and Bagley Securities, Inc. As a result, the staff indicated that Mr. Bagley’s “relationship with the Company raises significant public interest concerns under Marketplace Rule 4300.” Mr. Bagley has acted as a director of CLRO since 1994. The board of directors believes that Mr. Bagley has provided valuable leadership to CLRO during this time.</w:t>
      </w:r>
    </w:p>
    <w:p>
      <w:pPr>
        <w:spacing w:after="0" w:line="23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CLRO is currently contemplating the NASDAQ letter and evaluating its options regarding its NASDAQ application. In the meantime, CLRO will continue to trade on the OTC Bulletin Board.</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8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16" w:lineRule="exact"/>
        <w:rPr>
          <w:sz w:val="20"/>
          <w:szCs w:val="20"/>
          <w:color w:val="auto"/>
        </w:rPr>
      </w:pPr>
    </w:p>
    <w:p>
      <w:pPr>
        <w:jc w:val="center"/>
        <w:ind w:left="320"/>
        <w:spacing w:after="0"/>
        <w:rPr>
          <w:sz w:val="20"/>
          <w:szCs w:val="20"/>
          <w:color w:val="auto"/>
        </w:rPr>
      </w:pPr>
      <w:r>
        <w:rPr>
          <w:rFonts w:ascii="Times New Roman" w:cs="Times New Roman" w:eastAsia="Times New Roman" w:hAnsi="Times New Roman"/>
          <w:sz w:val="18"/>
          <w:szCs w:val="18"/>
          <w:color w:val="auto"/>
        </w:rPr>
        <w:t>CLEARONE COMMUNICATIONS, INC.</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Date: June 15, 2007</w:t>
            </w:r>
          </w:p>
        </w:tc>
        <w:tc>
          <w:tcPr>
            <w:tcW w:w="2200" w:type="dxa"/>
            <w:vAlign w:val="bottom"/>
          </w:tcPr>
          <w:p>
            <w:pPr>
              <w:ind w:left="1440"/>
              <w:spacing w:after="0"/>
              <w:rPr>
                <w:sz w:val="20"/>
                <w:szCs w:val="20"/>
                <w:color w:val="auto"/>
              </w:rPr>
            </w:pPr>
            <w:r>
              <w:rPr>
                <w:rFonts w:ascii="Times New Roman" w:cs="Times New Roman" w:eastAsia="Times New Roman" w:hAnsi="Times New Roman"/>
                <w:sz w:val="18"/>
                <w:szCs w:val="18"/>
                <w:color w:val="auto"/>
              </w:rPr>
              <w:t>By:</w:t>
            </w:r>
          </w:p>
        </w:tc>
        <w:tc>
          <w:tcPr>
            <w:tcW w:w="63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Greg LeClaire</w:t>
            </w:r>
          </w:p>
        </w:tc>
      </w:tr>
      <w:tr>
        <w:trPr>
          <w:trHeight w:val="218"/>
        </w:trPr>
        <w:tc>
          <w:tcPr>
            <w:tcW w:w="2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Greg LeClaire</w:t>
            </w:r>
          </w:p>
        </w:tc>
      </w:tr>
      <w:tr>
        <w:trPr>
          <w:trHeight w:val="234"/>
        </w:trPr>
        <w:tc>
          <w:tcPr>
            <w:tcW w:w="288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60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2019-12-13T18:06:59Z</dcterms:created>
  <dcterms:modified xsi:type="dcterms:W3CDTF">2019-12-13T18:06:59Z</dcterms:modified>
</cp:coreProperties>
</file>