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6"/>
          <w:szCs w:val="16"/>
          <w:b w:val="1"/>
          <w:bCs w:val="1"/>
          <w:color w:val="auto"/>
        </w:rPr>
        <w:t>UNITED STATES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18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190" w:lineRule="exact"/>
        <w:rPr>
          <w:sz w:val="24"/>
          <w:szCs w:val="24"/>
          <w:color w:val="auto"/>
        </w:rPr>
      </w:pPr>
    </w:p>
    <w:p>
      <w:pPr>
        <w:ind w:left="660" w:right="2780" w:hanging="652"/>
        <w:spacing w:after="0" w:line="258" w:lineRule="auto"/>
        <w:tabs>
          <w:tab w:leader="none" w:pos="363"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 xml:space="preserve">QUARTERLY REPORT PURSUANT TO SECTION 13 OR 15(D) OF THE SECURITIES EXCHANGE ACT OF 1934 </w:t>
      </w:r>
      <w:r>
        <w:rPr>
          <w:rFonts w:ascii="Arial" w:cs="Arial" w:eastAsia="Arial" w:hAnsi="Arial"/>
          <w:sz w:val="16"/>
          <w:szCs w:val="16"/>
          <w:color w:val="auto"/>
        </w:rPr>
        <w:t xml:space="preserve">For the quarterly period ended </w:t>
      </w:r>
      <w:r>
        <w:rPr>
          <w:rFonts w:ascii="Arial" w:cs="Arial" w:eastAsia="Arial" w:hAnsi="Arial"/>
          <w:sz w:val="16"/>
          <w:szCs w:val="16"/>
          <w:u w:val="single" w:color="auto"/>
          <w:color w:val="auto"/>
        </w:rPr>
        <w:t>June 30, 2014</w:t>
      </w:r>
    </w:p>
    <w:p>
      <w:pPr>
        <w:spacing w:after="0" w:line="1" w:lineRule="exact"/>
        <w:rPr>
          <w:sz w:val="24"/>
          <w:szCs w:val="24"/>
          <w:color w:val="auto"/>
        </w:rPr>
      </w:pPr>
    </w:p>
    <w:p>
      <w:pPr>
        <w:ind w:left="1300"/>
        <w:spacing w:after="0"/>
        <w:rPr>
          <w:sz w:val="20"/>
          <w:szCs w:val="20"/>
          <w:color w:val="auto"/>
        </w:rPr>
      </w:pPr>
      <w:r>
        <w:rPr>
          <w:rFonts w:ascii="Arial" w:cs="Arial" w:eastAsia="Arial" w:hAnsi="Arial"/>
          <w:sz w:val="16"/>
          <w:szCs w:val="16"/>
          <w:color w:val="auto"/>
        </w:rPr>
        <w:t>or</w:t>
      </w:r>
    </w:p>
    <w:p>
      <w:pPr>
        <w:spacing w:after="0" w:line="5" w:lineRule="exact"/>
        <w:rPr>
          <w:sz w:val="24"/>
          <w:szCs w:val="24"/>
          <w:color w:val="auto"/>
        </w:rPr>
      </w:pPr>
    </w:p>
    <w:p>
      <w:pPr>
        <w:ind w:left="660" w:right="2840" w:hanging="652"/>
        <w:spacing w:after="0" w:line="257" w:lineRule="auto"/>
        <w:tabs>
          <w:tab w:leader="none" w:pos="106"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TRANSITION REPORT PURSUANT TO SECTION 13 OR 15(d) OF THE SECURITIES EXCHANGE ACT OF 1934</w:t>
      </w:r>
      <w:r>
        <w:rPr>
          <w:rFonts w:ascii="Arial" w:cs="Arial" w:eastAsia="Arial" w:hAnsi="Arial"/>
          <w:sz w:val="16"/>
          <w:szCs w:val="16"/>
          <w:color w:val="auto"/>
        </w:rPr>
        <w:t xml:space="preserve"> For the transition period _______ to _______</w:t>
      </w:r>
    </w:p>
    <w:p>
      <w:pPr>
        <w:spacing w:after="0" w:line="155"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u w:val="single" w:color="auto"/>
          <w:color w:val="auto"/>
        </w:rPr>
        <w:t>001-33660</w:t>
      </w:r>
    </w:p>
    <w:p>
      <w:pPr>
        <w:spacing w:after="0" w:line="200" w:lineRule="exact"/>
        <w:rPr>
          <w:sz w:val="24"/>
          <w:szCs w:val="24"/>
          <w:color w:val="auto"/>
        </w:rPr>
      </w:pPr>
    </w:p>
    <w:p>
      <w:pPr>
        <w:spacing w:after="0" w:line="26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CLEARONE, INC.</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149" w:lineRule="exact"/>
        <w:rPr>
          <w:sz w:val="24"/>
          <w:szCs w:val="24"/>
          <w:color w:val="auto"/>
        </w:rPr>
      </w:pPr>
    </w:p>
    <w:tbl>
      <w:tblPr>
        <w:tblLayout w:type="fixed"/>
        <w:tblInd w:w="520" w:type="dxa"/>
        <w:tblCellMar>
          <w:top w:w="0" w:type="dxa"/>
          <w:left w:w="0" w:type="dxa"/>
          <w:bottom w:w="0" w:type="dxa"/>
          <w:right w:w="0" w:type="dxa"/>
        </w:tblCellMar>
      </w:tblPr>
      <w:tr>
        <w:trPr>
          <w:trHeight w:val="210"/>
        </w:trPr>
        <w:tc>
          <w:tcPr>
            <w:tcW w:w="4620" w:type="dxa"/>
            <w:vAlign w:val="bottom"/>
          </w:tcPr>
          <w:p>
            <w:pPr>
              <w:jc w:val="center"/>
              <w:ind w:left="719"/>
              <w:spacing w:after="0"/>
              <w:rPr>
                <w:sz w:val="20"/>
                <w:szCs w:val="20"/>
                <w:color w:val="auto"/>
              </w:rPr>
            </w:pPr>
            <w:r>
              <w:rPr>
                <w:rFonts w:ascii="Arial" w:cs="Arial" w:eastAsia="Arial" w:hAnsi="Arial"/>
                <w:sz w:val="16"/>
                <w:szCs w:val="16"/>
                <w:b w:val="1"/>
                <w:bCs w:val="1"/>
                <w:color w:val="auto"/>
                <w:w w:val="95"/>
              </w:rPr>
              <w:t>Utah</w:t>
            </w:r>
          </w:p>
        </w:tc>
        <w:tc>
          <w:tcPr>
            <w:tcW w:w="5780" w:type="dxa"/>
            <w:vAlign w:val="bottom"/>
            <w:gridSpan w:val="3"/>
          </w:tcPr>
          <w:p>
            <w:pPr>
              <w:jc w:val="right"/>
              <w:ind w:right="1559"/>
              <w:spacing w:after="0"/>
              <w:rPr>
                <w:sz w:val="20"/>
                <w:szCs w:val="20"/>
                <w:color w:val="auto"/>
              </w:rPr>
            </w:pPr>
            <w:r>
              <w:rPr>
                <w:rFonts w:ascii="Arial" w:cs="Arial" w:eastAsia="Arial" w:hAnsi="Arial"/>
                <w:sz w:val="16"/>
                <w:szCs w:val="16"/>
                <w:b w:val="1"/>
                <w:bCs w:val="1"/>
                <w:color w:val="auto"/>
              </w:rPr>
              <w:t>87-0398877</w:t>
            </w:r>
          </w:p>
        </w:tc>
      </w:tr>
      <w:tr>
        <w:trPr>
          <w:trHeight w:val="47"/>
        </w:trPr>
        <w:tc>
          <w:tcPr>
            <w:tcW w:w="46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4060" w:type="dxa"/>
            <w:vAlign w:val="bottom"/>
            <w:tcBorders>
              <w:bottom w:val="single" w:sz="8" w:color="auto"/>
            </w:tcBorders>
          </w:tcPr>
          <w:p>
            <w:pPr>
              <w:spacing w:after="0"/>
              <w:rPr>
                <w:sz w:val="4"/>
                <w:szCs w:val="4"/>
                <w:color w:val="auto"/>
              </w:rPr>
            </w:pPr>
          </w:p>
        </w:tc>
      </w:tr>
      <w:tr>
        <w:trPr>
          <w:trHeight w:val="217"/>
        </w:trPr>
        <w:tc>
          <w:tcPr>
            <w:tcW w:w="4620" w:type="dxa"/>
            <w:vAlign w:val="bottom"/>
          </w:tcPr>
          <w:p>
            <w:pPr>
              <w:ind w:left="20"/>
              <w:spacing w:after="0"/>
              <w:rPr>
                <w:sz w:val="20"/>
                <w:szCs w:val="20"/>
                <w:color w:val="auto"/>
              </w:rPr>
            </w:pPr>
            <w:r>
              <w:rPr>
                <w:rFonts w:ascii="Arial" w:cs="Arial" w:eastAsia="Arial" w:hAnsi="Arial"/>
                <w:sz w:val="16"/>
                <w:szCs w:val="16"/>
                <w:color w:val="auto"/>
              </w:rPr>
              <w:t>(State or other jurisdiction of incorporation or organization)</w:t>
            </w: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60" w:type="dxa"/>
            <w:vAlign w:val="bottom"/>
          </w:tcPr>
          <w:p>
            <w:pPr>
              <w:ind w:left="20"/>
              <w:spacing w:after="0"/>
              <w:rPr>
                <w:sz w:val="20"/>
                <w:szCs w:val="20"/>
                <w:color w:val="auto"/>
              </w:rPr>
            </w:pPr>
            <w:r>
              <w:rPr>
                <w:rFonts w:ascii="Arial" w:cs="Arial" w:eastAsia="Arial" w:hAnsi="Arial"/>
                <w:sz w:val="16"/>
                <w:szCs w:val="16"/>
                <w:color w:val="auto"/>
              </w:rPr>
              <w:t>(I.R.S. employer identification number)</w:t>
            </w:r>
          </w:p>
        </w:tc>
      </w:tr>
      <w:tr>
        <w:trPr>
          <w:trHeight w:val="257"/>
        </w:trPr>
        <w:tc>
          <w:tcPr>
            <w:tcW w:w="4620" w:type="dxa"/>
            <w:vAlign w:val="bottom"/>
          </w:tcPr>
          <w:p>
            <w:pPr>
              <w:jc w:val="center"/>
              <w:ind w:left="719"/>
              <w:spacing w:after="0"/>
              <w:rPr>
                <w:sz w:val="20"/>
                <w:szCs w:val="20"/>
                <w:color w:val="auto"/>
              </w:rPr>
            </w:pPr>
            <w:r>
              <w:rPr>
                <w:rFonts w:ascii="Arial" w:cs="Arial" w:eastAsia="Arial" w:hAnsi="Arial"/>
                <w:sz w:val="16"/>
                <w:szCs w:val="16"/>
                <w:b w:val="1"/>
                <w:bCs w:val="1"/>
                <w:color w:val="auto"/>
                <w:w w:val="92"/>
              </w:rPr>
              <w:t>5225 Wiley Post Way, Suite 500, Salt Lake City, Utah</w:t>
            </w:r>
          </w:p>
        </w:tc>
        <w:tc>
          <w:tcPr>
            <w:tcW w:w="5780" w:type="dxa"/>
            <w:vAlign w:val="bottom"/>
            <w:gridSpan w:val="3"/>
          </w:tcPr>
          <w:p>
            <w:pPr>
              <w:jc w:val="right"/>
              <w:ind w:right="1759"/>
              <w:spacing w:after="0"/>
              <w:rPr>
                <w:sz w:val="20"/>
                <w:szCs w:val="20"/>
                <w:color w:val="auto"/>
              </w:rPr>
            </w:pPr>
            <w:r>
              <w:rPr>
                <w:rFonts w:ascii="Arial" w:cs="Arial" w:eastAsia="Arial" w:hAnsi="Arial"/>
                <w:sz w:val="16"/>
                <w:szCs w:val="16"/>
                <w:b w:val="1"/>
                <w:bCs w:val="1"/>
                <w:color w:val="auto"/>
              </w:rPr>
              <w:t>84116</w:t>
            </w:r>
          </w:p>
        </w:tc>
      </w:tr>
      <w:tr>
        <w:trPr>
          <w:trHeight w:val="47"/>
        </w:trPr>
        <w:tc>
          <w:tcPr>
            <w:tcW w:w="46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4060" w:type="dxa"/>
            <w:vAlign w:val="bottom"/>
            <w:tcBorders>
              <w:bottom w:val="single" w:sz="8" w:color="auto"/>
            </w:tcBorders>
          </w:tcPr>
          <w:p>
            <w:pPr>
              <w:spacing w:after="0"/>
              <w:rPr>
                <w:sz w:val="4"/>
                <w:szCs w:val="4"/>
                <w:color w:val="auto"/>
              </w:rPr>
            </w:pPr>
          </w:p>
        </w:tc>
      </w:tr>
      <w:tr>
        <w:trPr>
          <w:trHeight w:val="217"/>
        </w:trPr>
        <w:tc>
          <w:tcPr>
            <w:tcW w:w="4620" w:type="dxa"/>
            <w:vAlign w:val="bottom"/>
          </w:tcPr>
          <w:p>
            <w:pPr>
              <w:jc w:val="center"/>
              <w:ind w:left="699"/>
              <w:spacing w:after="0"/>
              <w:rPr>
                <w:sz w:val="20"/>
                <w:szCs w:val="20"/>
                <w:color w:val="auto"/>
              </w:rPr>
            </w:pPr>
            <w:r>
              <w:rPr>
                <w:rFonts w:ascii="Arial" w:cs="Arial" w:eastAsia="Arial" w:hAnsi="Arial"/>
                <w:sz w:val="16"/>
                <w:szCs w:val="16"/>
                <w:color w:val="auto"/>
                <w:w w:val="93"/>
              </w:rPr>
              <w:t>(Address of principal executive offices)</w:t>
            </w: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60" w:type="dxa"/>
            <w:vAlign w:val="bottom"/>
          </w:tcPr>
          <w:p>
            <w:pPr>
              <w:ind w:left="1660"/>
              <w:spacing w:after="0"/>
              <w:rPr>
                <w:sz w:val="20"/>
                <w:szCs w:val="20"/>
                <w:color w:val="auto"/>
              </w:rPr>
            </w:pPr>
            <w:r>
              <w:rPr>
                <w:rFonts w:ascii="Arial" w:cs="Arial" w:eastAsia="Arial" w:hAnsi="Arial"/>
                <w:sz w:val="16"/>
                <w:szCs w:val="16"/>
                <w:color w:val="auto"/>
              </w:rPr>
              <w:t>(Zip Code)</w:t>
            </w:r>
          </w:p>
        </w:tc>
      </w:tr>
      <w:tr>
        <w:trPr>
          <w:trHeight w:val="257"/>
        </w:trPr>
        <w:tc>
          <w:tcPr>
            <w:tcW w:w="4620" w:type="dxa"/>
            <w:vAlign w:val="bottom"/>
          </w:tcPr>
          <w:p>
            <w:pPr>
              <w:spacing w:after="0"/>
              <w:rPr>
                <w:sz w:val="22"/>
                <w:szCs w:val="22"/>
                <w:color w:val="auto"/>
              </w:rPr>
            </w:pPr>
          </w:p>
        </w:tc>
        <w:tc>
          <w:tcPr>
            <w:tcW w:w="1720" w:type="dxa"/>
            <w:vAlign w:val="bottom"/>
            <w:gridSpan w:val="2"/>
          </w:tcPr>
          <w:p>
            <w:pPr>
              <w:jc w:val="right"/>
              <w:ind w:right="640"/>
              <w:spacing w:after="0"/>
              <w:rPr>
                <w:sz w:val="20"/>
                <w:szCs w:val="20"/>
                <w:color w:val="auto"/>
              </w:rPr>
            </w:pPr>
            <w:r>
              <w:rPr>
                <w:rFonts w:ascii="Arial" w:cs="Arial" w:eastAsia="Arial" w:hAnsi="Arial"/>
                <w:sz w:val="16"/>
                <w:szCs w:val="16"/>
                <w:b w:val="1"/>
                <w:bCs w:val="1"/>
                <w:color w:val="auto"/>
                <w:w w:val="96"/>
              </w:rPr>
              <w:t>(801) 975-7200</w:t>
            </w:r>
          </w:p>
        </w:tc>
        <w:tc>
          <w:tcPr>
            <w:tcW w:w="4060" w:type="dxa"/>
            <w:vAlign w:val="bottom"/>
          </w:tcPr>
          <w:p>
            <w:pPr>
              <w:spacing w:after="0"/>
              <w:rPr>
                <w:sz w:val="22"/>
                <w:szCs w:val="2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330835</wp:posOffset>
            </wp:positionH>
            <wp:positionV relativeFrom="paragraph">
              <wp:posOffset>20955</wp:posOffset>
            </wp:positionV>
            <wp:extent cx="66033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03365" cy="8890"/>
                    </a:xfrm>
                    <a:prstGeom prst="rect">
                      <a:avLst/>
                    </a:prstGeom>
                    <a:noFill/>
                  </pic:spPr>
                </pic:pic>
              </a:graphicData>
            </a:graphic>
          </wp:anchor>
        </w:drawing>
      </w:r>
    </w:p>
    <w:p>
      <w:pPr>
        <w:spacing w:after="0" w:line="44"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(Registrant’s telephone number, including area code)</w:t>
      </w:r>
    </w:p>
    <w:p>
      <w:pPr>
        <w:spacing w:after="0" w:line="262" w:lineRule="exact"/>
        <w:rPr>
          <w:sz w:val="24"/>
          <w:szCs w:val="24"/>
          <w:color w:val="auto"/>
        </w:rPr>
      </w:pPr>
    </w:p>
    <w:p>
      <w:pPr>
        <w:spacing w:after="0" w:line="349" w:lineRule="auto"/>
        <w:rPr>
          <w:sz w:val="20"/>
          <w:szCs w:val="20"/>
          <w:color w:val="auto"/>
        </w:rPr>
      </w:pPr>
      <w:r>
        <w:rPr>
          <w:rFonts w:ascii="Arial" w:cs="Arial" w:eastAsia="Arial" w:hAnsi="Arial"/>
          <w:sz w:val="14"/>
          <w:szCs w:val="14"/>
          <w:color w:val="auto"/>
        </w:rPr>
        <w:t>Indicate by check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99" w:lineRule="exact"/>
        <w:rPr>
          <w:sz w:val="24"/>
          <w:szCs w:val="24"/>
          <w:color w:val="auto"/>
        </w:rPr>
      </w:pPr>
    </w:p>
    <w:p>
      <w:pPr>
        <w:jc w:val="both"/>
        <w:ind w:right="20"/>
        <w:spacing w:after="0" w:line="261"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 ]</w:t>
      </w:r>
    </w:p>
    <w:p>
      <w:pPr>
        <w:spacing w:after="0" w:line="156" w:lineRule="exact"/>
        <w:rPr>
          <w:sz w:val="24"/>
          <w:szCs w:val="24"/>
          <w:color w:val="auto"/>
        </w:rPr>
      </w:pPr>
    </w:p>
    <w:p>
      <w:pPr>
        <w:spacing w:after="0"/>
        <w:rPr>
          <w:sz w:val="20"/>
          <w:szCs w:val="20"/>
          <w:color w:val="auto"/>
        </w:rPr>
      </w:pPr>
      <w:r>
        <w:rPr>
          <w:rFonts w:ascii="Arial" w:cs="Arial" w:eastAsia="Arial" w:hAnsi="Arial"/>
          <w:sz w:val="16"/>
          <w:szCs w:val="16"/>
          <w:color w:val="auto"/>
        </w:rPr>
        <w:t>See the definition of “large accelerated filer, “accelerated filer” and “smaller reporting company” in Rule 12b-2 of the Exchange Act. (Check one):</w:t>
      </w:r>
    </w:p>
    <w:p>
      <w:pPr>
        <w:sectPr>
          <w:pgSz w:w="11900" w:h="16838" w:orient="portrait"/>
          <w:cols w:equalWidth="0" w:num="1">
            <w:col w:w="11400"/>
          </w:cols>
          <w:pgMar w:left="240" w:top="477" w:right="259" w:bottom="1440" w:gutter="0" w:footer="0" w:header="0"/>
        </w:sectPr>
      </w:pPr>
    </w:p>
    <w:p>
      <w:pPr>
        <w:spacing w:after="0" w:line="167" w:lineRule="exact"/>
        <w:rPr>
          <w:sz w:val="24"/>
          <w:szCs w:val="24"/>
          <w:color w:val="auto"/>
        </w:rPr>
      </w:pPr>
    </w:p>
    <w:p>
      <w:pPr>
        <w:ind w:left="40"/>
        <w:spacing w:after="0"/>
        <w:rPr>
          <w:sz w:val="20"/>
          <w:szCs w:val="20"/>
          <w:color w:val="auto"/>
        </w:rPr>
      </w:pPr>
      <w:r>
        <w:rPr>
          <w:rFonts w:ascii="Arial" w:cs="Arial" w:eastAsia="Arial" w:hAnsi="Arial"/>
          <w:sz w:val="15"/>
          <w:szCs w:val="15"/>
          <w:color w:val="auto"/>
        </w:rPr>
        <w:t>Larger Accelerated Filer [ ]</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 [ ]</w:t>
      </w:r>
    </w:p>
    <w:p>
      <w:pPr>
        <w:spacing w:after="0" w:line="165" w:lineRule="exact"/>
        <w:rPr>
          <w:sz w:val="24"/>
          <w:szCs w:val="24"/>
          <w:color w:val="auto"/>
        </w:rPr>
      </w:pPr>
    </w:p>
    <w:p>
      <w:pPr>
        <w:sectPr>
          <w:pgSz w:w="11900" w:h="16838" w:orient="portrait"/>
          <w:cols w:equalWidth="0" w:num="2">
            <w:col w:w="6080" w:space="720"/>
            <w:col w:w="4600"/>
          </w:cols>
          <w:pgMar w:left="240" w:top="477" w:right="259" w:bottom="1440" w:gutter="0" w:footer="0" w:header="0"/>
          <w:type w:val="continuous"/>
        </w:sectPr>
      </w:pPr>
    </w:p>
    <w:p>
      <w:pPr>
        <w:ind w:left="40"/>
        <w:spacing w:after="0"/>
        <w:rPr>
          <w:sz w:val="20"/>
          <w:szCs w:val="20"/>
          <w:color w:val="auto"/>
        </w:rPr>
      </w:pPr>
      <w:r>
        <w:rPr>
          <w:rFonts w:ascii="Arial" w:cs="Arial" w:eastAsia="Arial" w:hAnsi="Arial"/>
          <w:sz w:val="15"/>
          <w:szCs w:val="15"/>
          <w:color w:val="auto"/>
        </w:rPr>
        <w:t>Non-Accelerated Filer [ ]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[x]</w:t>
      </w:r>
    </w:p>
    <w:p>
      <w:pPr>
        <w:spacing w:after="0" w:line="200" w:lineRule="exact"/>
        <w:rPr>
          <w:sz w:val="24"/>
          <w:szCs w:val="24"/>
          <w:color w:val="auto"/>
        </w:rPr>
      </w:pPr>
    </w:p>
    <w:p>
      <w:pPr>
        <w:sectPr>
          <w:pgSz w:w="11900" w:h="16838" w:orient="portrait"/>
          <w:cols w:equalWidth="0" w:num="3">
            <w:col w:w="6080" w:space="720"/>
            <w:col w:w="1860" w:space="120"/>
            <w:col w:w="2620"/>
          </w:cols>
          <w:pgMar w:left="240" w:top="477" w:right="259" w:bottom="1440" w:gutter="0" w:footer="0" w:header="0"/>
          <w:type w:val="continuous"/>
        </w:sectPr>
      </w:pPr>
    </w:p>
    <w:p>
      <w:pPr>
        <w:spacing w:after="0" w:line="116"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 ] No [x]</w:t>
      </w:r>
    </w:p>
    <w:p>
      <w:pPr>
        <w:spacing w:after="0" w:line="194"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APPLICABLE ONLY TO CORPORATE ISSUERS:</w:t>
      </w:r>
    </w:p>
    <w:p>
      <w:pPr>
        <w:spacing w:after="0" w:line="194" w:lineRule="exact"/>
        <w:rPr>
          <w:sz w:val="24"/>
          <w:szCs w:val="24"/>
          <w:color w:val="auto"/>
        </w:rPr>
      </w:pPr>
    </w:p>
    <w:p>
      <w:pPr>
        <w:ind w:right="440"/>
        <w:spacing w:after="0" w:line="275" w:lineRule="auto"/>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 9,204,894 shares issued and outstanding as of August 8, 2014.</w:t>
      </w:r>
    </w:p>
    <w:p>
      <w:pPr>
        <w:sectPr>
          <w:pgSz w:w="11900" w:h="16838" w:orient="portrait"/>
          <w:cols w:equalWidth="0" w:num="1">
            <w:col w:w="11400"/>
          </w:cols>
          <w:pgMar w:left="240" w:top="477" w:right="259" w:bottom="1440" w:gutter="0" w:footer="0" w:header="0"/>
          <w:type w:val="continuous"/>
        </w:sectPr>
      </w:pPr>
    </w:p>
    <w:bookmarkStart w:id="1" w:name="page2"/>
    <w:bookmarkEnd w:id="1"/>
    <w:p>
      <w:pPr>
        <w:jc w:val="center"/>
        <w:ind w:right="-379"/>
        <w:spacing w:after="0"/>
        <w:rPr>
          <w:sz w:val="20"/>
          <w:szCs w:val="20"/>
          <w:color w:val="auto"/>
        </w:rPr>
      </w:pPr>
      <w:r>
        <w:rPr>
          <w:rFonts w:ascii="Arial" w:cs="Arial" w:eastAsia="Arial" w:hAnsi="Arial"/>
          <w:sz w:val="18"/>
          <w:szCs w:val="18"/>
          <w:b w:val="1"/>
          <w:bCs w:val="1"/>
          <w:color w:val="auto"/>
        </w:rPr>
        <w:t>CLEARONE, INC.</w:t>
      </w:r>
    </w:p>
    <w:p>
      <w:pPr>
        <w:spacing w:after="0" w:line="225"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QUARTERLY REPORT ON FORM 10-Q FOR THE QUARTER ENDED JUNE 30, 2014</w:t>
      </w:r>
    </w:p>
    <w:p>
      <w:pPr>
        <w:spacing w:after="0" w:line="225"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INDEX</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280" w:type="dxa"/>
            <w:vAlign w:val="bottom"/>
            <w:gridSpan w:val="8"/>
          </w:tcPr>
          <w:p>
            <w:pPr>
              <w:jc w:val="center"/>
              <w:ind w:right="2520"/>
              <w:spacing w:after="0"/>
              <w:rPr>
                <w:sz w:val="20"/>
                <w:szCs w:val="20"/>
                <w:color w:val="auto"/>
              </w:rPr>
            </w:pPr>
            <w:r>
              <w:rPr>
                <w:rFonts w:ascii="Arial" w:cs="Arial" w:eastAsia="Arial" w:hAnsi="Arial"/>
                <w:sz w:val="18"/>
                <w:szCs w:val="18"/>
                <w:b w:val="1"/>
                <w:bCs w:val="1"/>
                <w:color w:val="auto"/>
              </w:rPr>
              <w:t>PART I – FINANCIAL INFORMATION</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38"/>
        </w:trPr>
        <w:tc>
          <w:tcPr>
            <w:tcW w:w="920" w:type="dxa"/>
            <w:vAlign w:val="bottom"/>
            <w:gridSpan w:val="3"/>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w:t>
              </w:r>
            </w:hyperlink>
          </w:p>
        </w:tc>
        <w:tc>
          <w:tcPr>
            <w:tcW w:w="9600" w:type="dxa"/>
            <w:vAlign w:val="bottom"/>
            <w:gridSpan w:val="16"/>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Financial Statements</w:t>
              </w:r>
            </w:hyperlink>
          </w:p>
        </w:tc>
        <w:tc>
          <w:tcPr>
            <w:tcW w:w="440" w:type="dxa"/>
            <w:vAlign w:val="bottom"/>
            <w:gridSpan w:val="3"/>
          </w:tcPr>
          <w:p>
            <w:pPr>
              <w:jc w:val="center"/>
              <w:ind w:left="170"/>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1</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0" w:type="dxa"/>
            <w:vAlign w:val="bottom"/>
            <w:gridSpan w:val="16"/>
          </w:tcPr>
          <w:p>
            <w:pPr>
              <w:spacing w:after="0"/>
              <w:rPr>
                <w:sz w:val="20"/>
                <w:szCs w:val="20"/>
                <w:color w:val="auto"/>
              </w:rPr>
            </w:pPr>
            <w:r>
              <w:rPr>
                <w:rFonts w:ascii="Arial" w:cs="Arial" w:eastAsia="Arial" w:hAnsi="Arial"/>
                <w:sz w:val="18"/>
                <w:szCs w:val="18"/>
                <w:color w:val="0000FF"/>
              </w:rPr>
              <w:t>Condensed Consolidated Balance Sheets as of June 30, 2014 (Unaudited) and December 31, 2013</w:t>
            </w:r>
          </w:p>
        </w:tc>
        <w:tc>
          <w:tcPr>
            <w:tcW w:w="440" w:type="dxa"/>
            <w:vAlign w:val="bottom"/>
            <w:gridSpan w:val="3"/>
          </w:tcPr>
          <w:p>
            <w:pPr>
              <w:jc w:val="center"/>
              <w:ind w:left="170"/>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1</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36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88"/>
              </w:rPr>
              <w:t>Condensed Consolidated Statements of Income and Comprehensive Income for the three and six months ended June 30, 2014 and</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2</w:t>
              </w:r>
            </w:hyperlink>
          </w:p>
        </w:tc>
        <w:tc>
          <w:tcPr>
            <w:tcW w:w="40" w:type="dxa"/>
            <w:vAlign w:val="bottom"/>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0" w:type="dxa"/>
            <w:vAlign w:val="bottom"/>
            <w:gridSpan w:val="16"/>
          </w:tcPr>
          <w:p>
            <w:pPr>
              <w:spacing w:after="0" w:line="196" w:lineRule="exact"/>
              <w:rPr>
                <w:rFonts w:ascii="Arial" w:cs="Arial" w:eastAsia="Arial" w:hAnsi="Arial"/>
                <w:sz w:val="18"/>
                <w:szCs w:val="18"/>
                <w:color w:val="0000FF"/>
              </w:rPr>
            </w:pPr>
            <w:r>
              <w:rPr>
                <w:rFonts w:ascii="Arial" w:cs="Arial" w:eastAsia="Arial" w:hAnsi="Arial"/>
                <w:sz w:val="18"/>
                <w:szCs w:val="18"/>
                <w:color w:val="0000FF"/>
              </w:rPr>
              <w:t xml:space="preserve">2013 </w:t>
            </w:r>
            <w:hyperlink w:anchor="page3">
              <w:r>
                <w:rPr>
                  <w:rFonts w:ascii="Arial" w:cs="Arial" w:eastAsia="Arial" w:hAnsi="Arial"/>
                  <w:sz w:val="18"/>
                  <w:szCs w:val="18"/>
                  <w:color w:val="0000FF"/>
                </w:rPr>
                <w:t>(Unaudited)</w:t>
              </w:r>
            </w:hyperlink>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358"/>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0" w:type="dxa"/>
            <w:vAlign w:val="bottom"/>
            <w:gridSpan w:val="16"/>
          </w:tcPr>
          <w:p>
            <w:pPr>
              <w:spacing w:after="0"/>
              <w:rPr>
                <w:sz w:val="20"/>
                <w:szCs w:val="20"/>
                <w:color w:val="auto"/>
              </w:rPr>
            </w:pPr>
            <w:r>
              <w:rPr>
                <w:rFonts w:ascii="Arial" w:cs="Arial" w:eastAsia="Arial" w:hAnsi="Arial"/>
                <w:sz w:val="18"/>
                <w:szCs w:val="18"/>
                <w:color w:val="0000FF"/>
              </w:rPr>
              <w:t>Condensed Consolidated Statements of Cash Flows for the six months ended June 30, 2014 and 2013 (Unaudited)</w:t>
            </w:r>
          </w:p>
        </w:tc>
        <w:tc>
          <w:tcPr>
            <w:tcW w:w="440" w:type="dxa"/>
            <w:vAlign w:val="bottom"/>
            <w:gridSpan w:val="3"/>
          </w:tcPr>
          <w:p>
            <w:pPr>
              <w:jc w:val="center"/>
              <w:ind w:left="170"/>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3</w:t>
              </w:r>
            </w:hyperlink>
          </w:p>
        </w:tc>
      </w:tr>
      <w:tr>
        <w:trPr>
          <w:trHeight w:val="439"/>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0" w:type="dxa"/>
            <w:vAlign w:val="bottom"/>
            <w:tcBorders>
              <w:top w:val="single" w:sz="8" w:color="0000FF"/>
            </w:tcBorders>
            <w:gridSpan w:val="14"/>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Notes to Condensed Consolidated Financial Statements (Unaudited)</w:t>
              </w:r>
            </w:hyperlink>
          </w:p>
        </w:tc>
        <w:tc>
          <w:tcPr>
            <w:tcW w:w="1400" w:type="dxa"/>
            <w:vAlign w:val="bottom"/>
            <w:gridSpan w:val="2"/>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0000FF"/>
            </w:tcBorders>
          </w:tcPr>
          <w:p>
            <w:pPr>
              <w:jc w:val="center"/>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5</w:t>
              </w:r>
            </w:hyperlink>
          </w:p>
        </w:tc>
        <w:tc>
          <w:tcPr>
            <w:tcW w:w="40" w:type="dxa"/>
            <w:vAlign w:val="bottom"/>
          </w:tcPr>
          <w:p>
            <w:pPr>
              <w:spacing w:after="0"/>
              <w:rPr>
                <w:sz w:val="24"/>
                <w:szCs w:val="24"/>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18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920" w:type="dxa"/>
            <w:vAlign w:val="bottom"/>
            <w:gridSpan w:val="3"/>
          </w:tcPr>
          <w:p>
            <w:pPr>
              <w:spacing w:after="0"/>
              <w:rPr>
                <w:rFonts w:ascii="Arial" w:cs="Arial" w:eastAsia="Arial" w:hAnsi="Arial"/>
                <w:sz w:val="18"/>
                <w:szCs w:val="18"/>
                <w:color w:val="0000FF"/>
              </w:rPr>
            </w:pPr>
            <w:hyperlink w:anchor="page14">
              <w:r>
                <w:rPr>
                  <w:rFonts w:ascii="Arial" w:cs="Arial" w:eastAsia="Arial" w:hAnsi="Arial"/>
                  <w:sz w:val="18"/>
                  <w:szCs w:val="18"/>
                  <w:color w:val="0000FF"/>
                </w:rPr>
                <w:t>Item 2.</w:t>
              </w:r>
            </w:hyperlink>
          </w:p>
        </w:tc>
        <w:tc>
          <w:tcPr>
            <w:tcW w:w="9600" w:type="dxa"/>
            <w:vAlign w:val="bottom"/>
            <w:gridSpan w:val="16"/>
          </w:tcPr>
          <w:p>
            <w:pPr>
              <w:spacing w:after="0"/>
              <w:rPr>
                <w:rFonts w:ascii="Arial" w:cs="Arial" w:eastAsia="Arial" w:hAnsi="Arial"/>
                <w:sz w:val="18"/>
                <w:szCs w:val="18"/>
                <w:color w:val="0000FF"/>
              </w:rPr>
            </w:pPr>
            <w:hyperlink w:anchor="page14">
              <w:r>
                <w:rPr>
                  <w:rFonts w:ascii="Arial" w:cs="Arial" w:eastAsia="Arial" w:hAnsi="Arial"/>
                  <w:sz w:val="18"/>
                  <w:szCs w:val="18"/>
                  <w:color w:val="0000FF"/>
                </w:rPr>
                <w:t>Management’s Discussion and Analysis of Financial Condition and Results of Operations</w:t>
              </w:r>
            </w:hyperlink>
          </w:p>
        </w:tc>
        <w:tc>
          <w:tcPr>
            <w:tcW w:w="440" w:type="dxa"/>
            <w:vAlign w:val="bottom"/>
            <w:gridSpan w:val="3"/>
          </w:tcPr>
          <w:p>
            <w:pPr>
              <w:jc w:val="center"/>
              <w:ind w:left="170"/>
              <w:spacing w:after="0"/>
              <w:rPr>
                <w:rFonts w:ascii="Arial" w:cs="Arial" w:eastAsia="Arial" w:hAnsi="Arial"/>
                <w:sz w:val="18"/>
                <w:szCs w:val="18"/>
                <w:color w:val="0000FF"/>
                <w:w w:val="89"/>
              </w:rPr>
            </w:pPr>
            <w:hyperlink w:anchor="page14">
              <w:r>
                <w:rPr>
                  <w:rFonts w:ascii="Arial" w:cs="Arial" w:eastAsia="Arial" w:hAnsi="Arial"/>
                  <w:sz w:val="18"/>
                  <w:szCs w:val="18"/>
                  <w:color w:val="0000FF"/>
                  <w:w w:val="89"/>
                </w:rPr>
                <w:t>13</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3180" w:type="dxa"/>
            <w:vAlign w:val="bottom"/>
            <w:gridSpan w:val="4"/>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439"/>
        </w:trPr>
        <w:tc>
          <w:tcPr>
            <w:tcW w:w="640" w:type="dxa"/>
            <w:vAlign w:val="bottom"/>
            <w:tcBorders>
              <w:bottom w:val="single" w:sz="8" w:color="0000FF"/>
            </w:tcBorders>
            <w:gridSpan w:val="2"/>
          </w:tcPr>
          <w:p>
            <w:pPr>
              <w:spacing w:after="0"/>
              <w:rPr>
                <w:rFonts w:ascii="Arial" w:cs="Arial" w:eastAsia="Arial" w:hAnsi="Arial"/>
                <w:sz w:val="18"/>
                <w:szCs w:val="18"/>
                <w:color w:val="0000FF"/>
              </w:rPr>
            </w:pPr>
            <w:hyperlink w:anchor="page21">
              <w:r>
                <w:rPr>
                  <w:rFonts w:ascii="Arial" w:cs="Arial" w:eastAsia="Arial" w:hAnsi="Arial"/>
                  <w:sz w:val="18"/>
                  <w:szCs w:val="18"/>
                  <w:color w:val="0000FF"/>
                </w:rPr>
                <w:t>Item 3.</w:t>
              </w:r>
            </w:hyperlink>
          </w:p>
        </w:tc>
        <w:tc>
          <w:tcPr>
            <w:tcW w:w="280" w:type="dxa"/>
            <w:vAlign w:val="bottom"/>
          </w:tcPr>
          <w:p>
            <w:pPr>
              <w:spacing w:after="0"/>
              <w:rPr>
                <w:sz w:val="24"/>
                <w:szCs w:val="24"/>
                <w:color w:val="auto"/>
              </w:rPr>
            </w:pPr>
          </w:p>
        </w:tc>
        <w:tc>
          <w:tcPr>
            <w:tcW w:w="4360" w:type="dxa"/>
            <w:vAlign w:val="bottom"/>
            <w:tcBorders>
              <w:bottom w:val="single" w:sz="8" w:color="0000FF"/>
            </w:tcBorders>
            <w:gridSpan w:val="10"/>
          </w:tcPr>
          <w:p>
            <w:pPr>
              <w:spacing w:after="0"/>
              <w:rPr>
                <w:rFonts w:ascii="Arial" w:cs="Arial" w:eastAsia="Arial" w:hAnsi="Arial"/>
                <w:sz w:val="18"/>
                <w:szCs w:val="18"/>
                <w:color w:val="0000FF"/>
                <w:w w:val="92"/>
              </w:rPr>
            </w:pPr>
            <w:hyperlink w:anchor="page21">
              <w:r>
                <w:rPr>
                  <w:rFonts w:ascii="Arial" w:cs="Arial" w:eastAsia="Arial" w:hAnsi="Arial"/>
                  <w:sz w:val="18"/>
                  <w:szCs w:val="18"/>
                  <w:color w:val="0000FF"/>
                  <w:w w:val="92"/>
                </w:rPr>
                <w:t>Quantitative and Qualitative Disclosures About Market Risk</w:t>
              </w:r>
            </w:hyperlink>
          </w:p>
        </w:tc>
        <w:tc>
          <w:tcPr>
            <w:tcW w:w="5240" w:type="dxa"/>
            <w:vAlign w:val="bottom"/>
            <w:gridSpan w:val="6"/>
          </w:tcPr>
          <w:p>
            <w:pPr>
              <w:spacing w:after="0"/>
              <w:rPr>
                <w:sz w:val="24"/>
                <w:szCs w:val="24"/>
                <w:color w:val="auto"/>
              </w:rPr>
            </w:pPr>
          </w:p>
        </w:tc>
        <w:tc>
          <w:tcPr>
            <w:tcW w:w="440" w:type="dxa"/>
            <w:vAlign w:val="bottom"/>
            <w:gridSpan w:val="3"/>
          </w:tcPr>
          <w:p>
            <w:pPr>
              <w:jc w:val="center"/>
              <w:ind w:left="170"/>
              <w:spacing w:after="0"/>
              <w:rPr>
                <w:rFonts w:ascii="Arial" w:cs="Arial" w:eastAsia="Arial" w:hAnsi="Arial"/>
                <w:sz w:val="18"/>
                <w:szCs w:val="18"/>
                <w:color w:val="0000FF"/>
                <w:w w:val="89"/>
              </w:rPr>
            </w:pPr>
            <w:hyperlink w:anchor="page21">
              <w:r>
                <w:rPr>
                  <w:rFonts w:ascii="Arial" w:cs="Arial" w:eastAsia="Arial" w:hAnsi="Arial"/>
                  <w:sz w:val="18"/>
                  <w:szCs w:val="18"/>
                  <w:color w:val="0000FF"/>
                  <w:w w:val="89"/>
                </w:rPr>
                <w:t>19</w:t>
              </w:r>
            </w:hyperlink>
          </w:p>
        </w:tc>
      </w:tr>
      <w:tr>
        <w:trPr>
          <w:trHeight w:val="439"/>
        </w:trPr>
        <w:tc>
          <w:tcPr>
            <w:tcW w:w="920" w:type="dxa"/>
            <w:vAlign w:val="bottom"/>
            <w:gridSpan w:val="3"/>
          </w:tcPr>
          <w:p>
            <w:pPr>
              <w:spacing w:after="0"/>
              <w:rPr>
                <w:rFonts w:ascii="Arial" w:cs="Arial" w:eastAsia="Arial" w:hAnsi="Arial"/>
                <w:sz w:val="18"/>
                <w:szCs w:val="18"/>
                <w:color w:val="0000FF"/>
              </w:rPr>
            </w:pPr>
            <w:hyperlink w:anchor="page21">
              <w:r>
                <w:rPr>
                  <w:rFonts w:ascii="Arial" w:cs="Arial" w:eastAsia="Arial" w:hAnsi="Arial"/>
                  <w:sz w:val="18"/>
                  <w:szCs w:val="18"/>
                  <w:color w:val="0000FF"/>
                </w:rPr>
                <w:t>Item 4.</w:t>
              </w:r>
            </w:hyperlink>
          </w:p>
        </w:tc>
        <w:tc>
          <w:tcPr>
            <w:tcW w:w="9600" w:type="dxa"/>
            <w:vAlign w:val="bottom"/>
            <w:gridSpan w:val="16"/>
          </w:tcPr>
          <w:p>
            <w:pPr>
              <w:spacing w:after="0"/>
              <w:rPr>
                <w:rFonts w:ascii="Arial" w:cs="Arial" w:eastAsia="Arial" w:hAnsi="Arial"/>
                <w:sz w:val="18"/>
                <w:szCs w:val="18"/>
                <w:color w:val="0000FF"/>
              </w:rPr>
            </w:pPr>
            <w:hyperlink w:anchor="page21">
              <w:r>
                <w:rPr>
                  <w:rFonts w:ascii="Arial" w:cs="Arial" w:eastAsia="Arial" w:hAnsi="Arial"/>
                  <w:sz w:val="18"/>
                  <w:szCs w:val="18"/>
                  <w:color w:val="0000FF"/>
                </w:rPr>
                <w:t>Controls and Procedures</w:t>
              </w:r>
            </w:hyperlink>
          </w:p>
        </w:tc>
        <w:tc>
          <w:tcPr>
            <w:tcW w:w="440" w:type="dxa"/>
            <w:vAlign w:val="bottom"/>
            <w:gridSpan w:val="3"/>
          </w:tcPr>
          <w:p>
            <w:pPr>
              <w:jc w:val="center"/>
              <w:ind w:left="170"/>
              <w:spacing w:after="0"/>
              <w:rPr>
                <w:rFonts w:ascii="Arial" w:cs="Arial" w:eastAsia="Arial" w:hAnsi="Arial"/>
                <w:sz w:val="18"/>
                <w:szCs w:val="18"/>
                <w:color w:val="0000FF"/>
                <w:w w:val="89"/>
              </w:rPr>
            </w:pPr>
            <w:hyperlink w:anchor="page21">
              <w:r>
                <w:rPr>
                  <w:rFonts w:ascii="Arial" w:cs="Arial" w:eastAsia="Arial" w:hAnsi="Arial"/>
                  <w:sz w:val="18"/>
                  <w:szCs w:val="18"/>
                  <w:color w:val="0000FF"/>
                  <w:w w:val="89"/>
                </w:rPr>
                <w:t>19</w:t>
              </w:r>
            </w:hyperlink>
          </w:p>
        </w:tc>
      </w:tr>
      <w:tr>
        <w:trPr>
          <w:trHeight w:val="480"/>
        </w:trPr>
        <w:tc>
          <w:tcPr>
            <w:tcW w:w="50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7280" w:type="dxa"/>
            <w:vAlign w:val="bottom"/>
            <w:gridSpan w:val="8"/>
          </w:tcPr>
          <w:p>
            <w:pPr>
              <w:jc w:val="center"/>
              <w:ind w:right="2520"/>
              <w:spacing w:after="0"/>
              <w:rPr>
                <w:sz w:val="20"/>
                <w:szCs w:val="20"/>
                <w:color w:val="auto"/>
              </w:rPr>
            </w:pPr>
            <w:r>
              <w:rPr>
                <w:rFonts w:ascii="Arial" w:cs="Arial" w:eastAsia="Arial" w:hAnsi="Arial"/>
                <w:sz w:val="18"/>
                <w:szCs w:val="18"/>
                <w:b w:val="1"/>
                <w:bCs w:val="1"/>
                <w:color w:val="auto"/>
              </w:rPr>
              <w:t>PART II – OTHER INFORMATION</w:t>
            </w:r>
          </w:p>
        </w:tc>
        <w:tc>
          <w:tcPr>
            <w:tcW w:w="3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r>
      <w:tr>
        <w:trPr>
          <w:trHeight w:val="338"/>
        </w:trPr>
        <w:tc>
          <w:tcPr>
            <w:tcW w:w="640" w:type="dxa"/>
            <w:vAlign w:val="bottom"/>
            <w:gridSpan w:val="2"/>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Item 1.</w:t>
              </w:r>
            </w:hyperlink>
          </w:p>
        </w:tc>
        <w:tc>
          <w:tcPr>
            <w:tcW w:w="280" w:type="dxa"/>
            <w:vAlign w:val="bottom"/>
          </w:tcPr>
          <w:p>
            <w:pPr>
              <w:spacing w:after="0"/>
              <w:rPr>
                <w:sz w:val="24"/>
                <w:szCs w:val="24"/>
                <w:color w:val="auto"/>
              </w:rPr>
            </w:pPr>
          </w:p>
        </w:tc>
        <w:tc>
          <w:tcPr>
            <w:tcW w:w="9600" w:type="dxa"/>
            <w:vAlign w:val="bottom"/>
            <w:gridSpan w:val="16"/>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Legal Proceedings</w:t>
              </w:r>
            </w:hyperlink>
          </w:p>
        </w:tc>
        <w:tc>
          <w:tcPr>
            <w:tcW w:w="440" w:type="dxa"/>
            <w:vAlign w:val="bottom"/>
            <w:gridSpan w:val="3"/>
          </w:tcPr>
          <w:p>
            <w:pPr>
              <w:jc w:val="center"/>
              <w:ind w:left="170"/>
              <w:spacing w:after="0"/>
              <w:rPr>
                <w:rFonts w:ascii="Arial" w:cs="Arial" w:eastAsia="Arial" w:hAnsi="Arial"/>
                <w:sz w:val="18"/>
                <w:szCs w:val="18"/>
                <w:color w:val="0000FF"/>
                <w:w w:val="89"/>
              </w:rPr>
            </w:pPr>
            <w:hyperlink w:anchor="page23">
              <w:r>
                <w:rPr>
                  <w:rFonts w:ascii="Arial" w:cs="Arial" w:eastAsia="Arial" w:hAnsi="Arial"/>
                  <w:sz w:val="18"/>
                  <w:szCs w:val="18"/>
                  <w:color w:val="0000FF"/>
                  <w:w w:val="89"/>
                </w:rPr>
                <w:t>21</w:t>
              </w:r>
            </w:hyperlink>
          </w:p>
        </w:tc>
      </w:tr>
      <w:tr>
        <w:trPr>
          <w:trHeight w:val="439"/>
        </w:trPr>
        <w:tc>
          <w:tcPr>
            <w:tcW w:w="640" w:type="dxa"/>
            <w:vAlign w:val="bottom"/>
            <w:tcBorders>
              <w:top w:val="single" w:sz="8" w:color="0000FF"/>
            </w:tcBorders>
            <w:gridSpan w:val="2"/>
          </w:tcPr>
          <w:p>
            <w:pPr>
              <w:spacing w:after="0"/>
              <w:rPr>
                <w:rFonts w:ascii="Arial" w:cs="Arial" w:eastAsia="Arial" w:hAnsi="Arial"/>
                <w:sz w:val="18"/>
                <w:szCs w:val="18"/>
                <w:color w:val="0000FF"/>
                <w:w w:val="92"/>
              </w:rPr>
            </w:pPr>
            <w:hyperlink w:anchor="page23">
              <w:r>
                <w:rPr>
                  <w:rFonts w:ascii="Arial" w:cs="Arial" w:eastAsia="Arial" w:hAnsi="Arial"/>
                  <w:sz w:val="18"/>
                  <w:szCs w:val="18"/>
                  <w:color w:val="0000FF"/>
                  <w:w w:val="92"/>
                </w:rPr>
                <w:t>Item 1A.</w:t>
              </w:r>
            </w:hyperlink>
          </w:p>
        </w:tc>
        <w:tc>
          <w:tcPr>
            <w:tcW w:w="280" w:type="dxa"/>
            <w:vAlign w:val="bottom"/>
          </w:tcPr>
          <w:p>
            <w:pPr>
              <w:spacing w:after="0"/>
              <w:rPr>
                <w:sz w:val="24"/>
                <w:szCs w:val="24"/>
                <w:color w:val="auto"/>
              </w:rPr>
            </w:pPr>
          </w:p>
        </w:tc>
        <w:tc>
          <w:tcPr>
            <w:tcW w:w="900" w:type="dxa"/>
            <w:vAlign w:val="bottom"/>
            <w:tcBorders>
              <w:top w:val="single" w:sz="8" w:color="0000FF"/>
            </w:tcBorders>
            <w:gridSpan w:val="2"/>
          </w:tcPr>
          <w:p>
            <w:pPr>
              <w:spacing w:after="0"/>
              <w:rPr>
                <w:rFonts w:ascii="Arial" w:cs="Arial" w:eastAsia="Arial" w:hAnsi="Arial"/>
                <w:sz w:val="18"/>
                <w:szCs w:val="18"/>
                <w:color w:val="0000FF"/>
                <w:w w:val="87"/>
              </w:rPr>
            </w:pPr>
            <w:hyperlink w:anchor="page23">
              <w:r>
                <w:rPr>
                  <w:rFonts w:ascii="Arial" w:cs="Arial" w:eastAsia="Arial" w:hAnsi="Arial"/>
                  <w:sz w:val="18"/>
                  <w:szCs w:val="18"/>
                  <w:color w:val="0000FF"/>
                  <w:w w:val="87"/>
                </w:rPr>
                <w:t>Risk Factors</w:t>
              </w:r>
            </w:hyperlink>
          </w:p>
        </w:tc>
        <w:tc>
          <w:tcPr>
            <w:tcW w:w="420" w:type="dxa"/>
            <w:vAlign w:val="bottom"/>
            <w:tcBorders>
              <w:top w:val="single" w:sz="8" w:color="0000FF"/>
            </w:tcBorders>
            <w:gridSpan w:val="3"/>
          </w:tcPr>
          <w:p>
            <w:pPr>
              <w:spacing w:after="0"/>
              <w:rPr>
                <w:sz w:val="24"/>
                <w:szCs w:val="24"/>
                <w:color w:val="auto"/>
              </w:rPr>
            </w:pPr>
          </w:p>
        </w:tc>
        <w:tc>
          <w:tcPr>
            <w:tcW w:w="8280" w:type="dxa"/>
            <w:vAlign w:val="bottom"/>
            <w:gridSpan w:val="11"/>
          </w:tcPr>
          <w:p>
            <w:pPr>
              <w:spacing w:after="0"/>
              <w:rPr>
                <w:sz w:val="24"/>
                <w:szCs w:val="24"/>
                <w:color w:val="auto"/>
              </w:rPr>
            </w:pPr>
          </w:p>
        </w:tc>
        <w:tc>
          <w:tcPr>
            <w:tcW w:w="440" w:type="dxa"/>
            <w:vAlign w:val="bottom"/>
            <w:gridSpan w:val="3"/>
          </w:tcPr>
          <w:p>
            <w:pPr>
              <w:jc w:val="center"/>
              <w:ind w:left="170"/>
              <w:spacing w:after="0"/>
              <w:rPr>
                <w:rFonts w:ascii="Arial" w:cs="Arial" w:eastAsia="Arial" w:hAnsi="Arial"/>
                <w:sz w:val="18"/>
                <w:szCs w:val="18"/>
                <w:color w:val="0000FF"/>
                <w:w w:val="89"/>
              </w:rPr>
            </w:pPr>
            <w:hyperlink w:anchor="page23">
              <w:r>
                <w:rPr>
                  <w:rFonts w:ascii="Arial" w:cs="Arial" w:eastAsia="Arial" w:hAnsi="Arial"/>
                  <w:sz w:val="18"/>
                  <w:szCs w:val="18"/>
                  <w:color w:val="0000FF"/>
                  <w:w w:val="89"/>
                </w:rPr>
                <w:t>21</w:t>
              </w:r>
            </w:hyperlink>
          </w:p>
        </w:tc>
      </w:tr>
      <w:tr>
        <w:trPr>
          <w:trHeight w:val="20"/>
        </w:trPr>
        <w:tc>
          <w:tcPr>
            <w:tcW w:w="64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260" w:type="dxa"/>
            <w:vAlign w:val="bottom"/>
            <w:gridSpan w:val="7"/>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439"/>
        </w:trPr>
        <w:tc>
          <w:tcPr>
            <w:tcW w:w="640" w:type="dxa"/>
            <w:vAlign w:val="bottom"/>
            <w:gridSpan w:val="2"/>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Item 2.</w:t>
              </w:r>
            </w:hyperlink>
          </w:p>
        </w:tc>
        <w:tc>
          <w:tcPr>
            <w:tcW w:w="280" w:type="dxa"/>
            <w:vAlign w:val="bottom"/>
          </w:tcPr>
          <w:p>
            <w:pPr>
              <w:spacing w:after="0"/>
              <w:rPr>
                <w:sz w:val="24"/>
                <w:szCs w:val="24"/>
                <w:color w:val="auto"/>
              </w:rPr>
            </w:pPr>
          </w:p>
        </w:tc>
        <w:tc>
          <w:tcPr>
            <w:tcW w:w="9600" w:type="dxa"/>
            <w:vAlign w:val="bottom"/>
            <w:gridSpan w:val="16"/>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Unregistered Sales of Equity Securities and Use of Proceeds</w:t>
              </w:r>
            </w:hyperlink>
          </w:p>
        </w:tc>
        <w:tc>
          <w:tcPr>
            <w:tcW w:w="440" w:type="dxa"/>
            <w:vAlign w:val="bottom"/>
            <w:gridSpan w:val="3"/>
          </w:tcPr>
          <w:p>
            <w:pPr>
              <w:jc w:val="center"/>
              <w:ind w:left="170"/>
              <w:spacing w:after="0"/>
              <w:rPr>
                <w:rFonts w:ascii="Arial" w:cs="Arial" w:eastAsia="Arial" w:hAnsi="Arial"/>
                <w:sz w:val="18"/>
                <w:szCs w:val="18"/>
                <w:color w:val="0000FF"/>
                <w:w w:val="89"/>
              </w:rPr>
            </w:pPr>
            <w:hyperlink w:anchor="page23">
              <w:r>
                <w:rPr>
                  <w:rFonts w:ascii="Arial" w:cs="Arial" w:eastAsia="Arial" w:hAnsi="Arial"/>
                  <w:sz w:val="18"/>
                  <w:szCs w:val="18"/>
                  <w:color w:val="0000FF"/>
                  <w:w w:val="89"/>
                </w:rPr>
                <w:t>21</w:t>
              </w:r>
            </w:hyperlink>
          </w:p>
        </w:tc>
      </w:tr>
      <w:tr>
        <w:trPr>
          <w:trHeight w:val="20"/>
        </w:trPr>
        <w:tc>
          <w:tcPr>
            <w:tcW w:w="50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020" w:type="dxa"/>
            <w:vAlign w:val="bottom"/>
            <w:gridSpan w:val="4"/>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5260" w:type="dxa"/>
            <w:vAlign w:val="bottom"/>
            <w:gridSpan w:val="7"/>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439"/>
        </w:trPr>
        <w:tc>
          <w:tcPr>
            <w:tcW w:w="920" w:type="dxa"/>
            <w:vAlign w:val="bottom"/>
            <w:gridSpan w:val="3"/>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Item 3.</w:t>
              </w:r>
            </w:hyperlink>
          </w:p>
        </w:tc>
        <w:tc>
          <w:tcPr>
            <w:tcW w:w="9600" w:type="dxa"/>
            <w:vAlign w:val="bottom"/>
            <w:gridSpan w:val="16"/>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Defaults Upon Senior Securities</w:t>
              </w:r>
            </w:hyperlink>
          </w:p>
        </w:tc>
        <w:tc>
          <w:tcPr>
            <w:tcW w:w="440" w:type="dxa"/>
            <w:vAlign w:val="bottom"/>
            <w:gridSpan w:val="3"/>
          </w:tcPr>
          <w:p>
            <w:pPr>
              <w:jc w:val="center"/>
              <w:ind w:left="170"/>
              <w:spacing w:after="0"/>
              <w:rPr>
                <w:rFonts w:ascii="Arial" w:cs="Arial" w:eastAsia="Arial" w:hAnsi="Arial"/>
                <w:sz w:val="18"/>
                <w:szCs w:val="18"/>
                <w:color w:val="0000FF"/>
                <w:w w:val="89"/>
              </w:rPr>
            </w:pPr>
            <w:hyperlink w:anchor="page23">
              <w:r>
                <w:rPr>
                  <w:rFonts w:ascii="Arial" w:cs="Arial" w:eastAsia="Arial" w:hAnsi="Arial"/>
                  <w:sz w:val="18"/>
                  <w:szCs w:val="18"/>
                  <w:color w:val="0000FF"/>
                  <w:w w:val="89"/>
                </w:rPr>
                <w:t>21</w:t>
              </w:r>
            </w:hyperlink>
          </w:p>
        </w:tc>
      </w:tr>
      <w:tr>
        <w:trPr>
          <w:trHeight w:val="20"/>
        </w:trPr>
        <w:tc>
          <w:tcPr>
            <w:tcW w:w="50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020" w:type="dxa"/>
            <w:vAlign w:val="bottom"/>
            <w:gridSpan w:val="4"/>
            <w:shd w:val="clear" w:color="auto" w:fill="0000FF"/>
          </w:tcPr>
          <w:p>
            <w:pPr>
              <w:spacing w:after="0" w:line="20" w:lineRule="exact"/>
              <w:rPr>
                <w:sz w:val="1"/>
                <w:szCs w:val="1"/>
                <w:color w:val="auto"/>
              </w:rPr>
            </w:pPr>
          </w:p>
        </w:tc>
        <w:tc>
          <w:tcPr>
            <w:tcW w:w="7280" w:type="dxa"/>
            <w:vAlign w:val="bottom"/>
            <w:gridSpan w:val="8"/>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439"/>
        </w:trPr>
        <w:tc>
          <w:tcPr>
            <w:tcW w:w="920" w:type="dxa"/>
            <w:vAlign w:val="bottom"/>
            <w:gridSpan w:val="3"/>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Item 4.</w:t>
              </w:r>
            </w:hyperlink>
          </w:p>
        </w:tc>
        <w:tc>
          <w:tcPr>
            <w:tcW w:w="9600" w:type="dxa"/>
            <w:vAlign w:val="bottom"/>
            <w:gridSpan w:val="16"/>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Mine Safety Disclosures</w:t>
              </w:r>
            </w:hyperlink>
          </w:p>
        </w:tc>
        <w:tc>
          <w:tcPr>
            <w:tcW w:w="440" w:type="dxa"/>
            <w:vAlign w:val="bottom"/>
            <w:gridSpan w:val="3"/>
          </w:tcPr>
          <w:p>
            <w:pPr>
              <w:jc w:val="center"/>
              <w:ind w:left="170"/>
              <w:spacing w:after="0"/>
              <w:rPr>
                <w:rFonts w:ascii="Arial" w:cs="Arial" w:eastAsia="Arial" w:hAnsi="Arial"/>
                <w:sz w:val="18"/>
                <w:szCs w:val="18"/>
                <w:color w:val="0000FF"/>
                <w:w w:val="89"/>
              </w:rPr>
            </w:pPr>
            <w:hyperlink w:anchor="page23">
              <w:r>
                <w:rPr>
                  <w:rFonts w:ascii="Arial" w:cs="Arial" w:eastAsia="Arial" w:hAnsi="Arial"/>
                  <w:sz w:val="18"/>
                  <w:szCs w:val="18"/>
                  <w:color w:val="0000FF"/>
                  <w:w w:val="89"/>
                </w:rPr>
                <w:t>21</w:t>
              </w:r>
            </w:hyperlink>
          </w:p>
        </w:tc>
      </w:tr>
      <w:tr>
        <w:trPr>
          <w:trHeight w:val="439"/>
        </w:trPr>
        <w:tc>
          <w:tcPr>
            <w:tcW w:w="920" w:type="dxa"/>
            <w:vAlign w:val="bottom"/>
            <w:tcBorders>
              <w:top w:val="single" w:sz="8" w:color="0000FF"/>
            </w:tcBorders>
            <w:gridSpan w:val="3"/>
          </w:tcPr>
          <w:p>
            <w:pPr>
              <w:spacing w:after="0"/>
              <w:rPr>
                <w:rFonts w:ascii="Arial" w:cs="Arial" w:eastAsia="Arial" w:hAnsi="Arial"/>
                <w:sz w:val="18"/>
                <w:szCs w:val="18"/>
                <w:color w:val="0000FF"/>
              </w:rPr>
            </w:pPr>
            <w:hyperlink w:anchor="page24">
              <w:r>
                <w:rPr>
                  <w:rFonts w:ascii="Arial" w:cs="Arial" w:eastAsia="Arial" w:hAnsi="Arial"/>
                  <w:sz w:val="18"/>
                  <w:szCs w:val="18"/>
                  <w:color w:val="0000FF"/>
                </w:rPr>
                <w:t>Item 5.</w:t>
              </w:r>
            </w:hyperlink>
          </w:p>
        </w:tc>
        <w:tc>
          <w:tcPr>
            <w:tcW w:w="1760" w:type="dxa"/>
            <w:vAlign w:val="bottom"/>
            <w:tcBorders>
              <w:top w:val="single" w:sz="8" w:color="0000FF"/>
            </w:tcBorders>
            <w:gridSpan w:val="7"/>
          </w:tcPr>
          <w:p>
            <w:pPr>
              <w:spacing w:after="0"/>
              <w:rPr>
                <w:rFonts w:ascii="Arial" w:cs="Arial" w:eastAsia="Arial" w:hAnsi="Arial"/>
                <w:sz w:val="18"/>
                <w:szCs w:val="18"/>
                <w:color w:val="0000FF"/>
              </w:rPr>
            </w:pPr>
            <w:hyperlink w:anchor="page24">
              <w:r>
                <w:rPr>
                  <w:rFonts w:ascii="Arial" w:cs="Arial" w:eastAsia="Arial" w:hAnsi="Arial"/>
                  <w:sz w:val="18"/>
                  <w:szCs w:val="18"/>
                  <w:color w:val="0000FF"/>
                </w:rPr>
                <w:t>Other Information</w:t>
              </w:r>
            </w:hyperlink>
          </w:p>
        </w:tc>
        <w:tc>
          <w:tcPr>
            <w:tcW w:w="7840" w:type="dxa"/>
            <w:vAlign w:val="bottom"/>
            <w:gridSpan w:val="9"/>
          </w:tcPr>
          <w:p>
            <w:pPr>
              <w:spacing w:after="0"/>
              <w:rPr>
                <w:sz w:val="24"/>
                <w:szCs w:val="24"/>
                <w:color w:val="auto"/>
              </w:rPr>
            </w:pPr>
          </w:p>
        </w:tc>
        <w:tc>
          <w:tcPr>
            <w:tcW w:w="440" w:type="dxa"/>
            <w:vAlign w:val="bottom"/>
            <w:gridSpan w:val="3"/>
          </w:tcPr>
          <w:p>
            <w:pPr>
              <w:jc w:val="center"/>
              <w:ind w:left="170"/>
              <w:spacing w:after="0"/>
              <w:rPr>
                <w:rFonts w:ascii="Arial" w:cs="Arial" w:eastAsia="Arial" w:hAnsi="Arial"/>
                <w:sz w:val="18"/>
                <w:szCs w:val="18"/>
                <w:color w:val="0000FF"/>
                <w:w w:val="89"/>
              </w:rPr>
            </w:pPr>
            <w:hyperlink w:anchor="page24">
              <w:r>
                <w:rPr>
                  <w:rFonts w:ascii="Arial" w:cs="Arial" w:eastAsia="Arial" w:hAnsi="Arial"/>
                  <w:sz w:val="18"/>
                  <w:szCs w:val="18"/>
                  <w:color w:val="0000FF"/>
                  <w:w w:val="89"/>
                </w:rPr>
                <w:t>22</w:t>
              </w:r>
            </w:hyperlink>
          </w:p>
        </w:tc>
      </w:tr>
      <w:tr>
        <w:trPr>
          <w:trHeight w:val="20"/>
        </w:trPr>
        <w:tc>
          <w:tcPr>
            <w:tcW w:w="50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8300" w:type="dxa"/>
            <w:vAlign w:val="bottom"/>
            <w:gridSpan w:val="12"/>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439"/>
        </w:trPr>
        <w:tc>
          <w:tcPr>
            <w:tcW w:w="920" w:type="dxa"/>
            <w:vAlign w:val="bottom"/>
            <w:gridSpan w:val="3"/>
          </w:tcPr>
          <w:p>
            <w:pPr>
              <w:spacing w:after="0"/>
              <w:rPr>
                <w:rFonts w:ascii="Arial" w:cs="Arial" w:eastAsia="Arial" w:hAnsi="Arial"/>
                <w:sz w:val="18"/>
                <w:szCs w:val="18"/>
                <w:color w:val="0000FF"/>
              </w:rPr>
            </w:pPr>
            <w:hyperlink w:anchor="page24">
              <w:r>
                <w:rPr>
                  <w:rFonts w:ascii="Arial" w:cs="Arial" w:eastAsia="Arial" w:hAnsi="Arial"/>
                  <w:sz w:val="18"/>
                  <w:szCs w:val="18"/>
                  <w:color w:val="0000FF"/>
                </w:rPr>
                <w:t>Item 6.</w:t>
              </w:r>
            </w:hyperlink>
          </w:p>
        </w:tc>
        <w:tc>
          <w:tcPr>
            <w:tcW w:w="9600" w:type="dxa"/>
            <w:vAlign w:val="bottom"/>
            <w:gridSpan w:val="16"/>
          </w:tcPr>
          <w:p>
            <w:pPr>
              <w:spacing w:after="0"/>
              <w:rPr>
                <w:rFonts w:ascii="Arial" w:cs="Arial" w:eastAsia="Arial" w:hAnsi="Arial"/>
                <w:sz w:val="18"/>
                <w:szCs w:val="18"/>
                <w:color w:val="0000FF"/>
              </w:rPr>
            </w:pPr>
            <w:hyperlink w:anchor="page24">
              <w:r>
                <w:rPr>
                  <w:rFonts w:ascii="Arial" w:cs="Arial" w:eastAsia="Arial" w:hAnsi="Arial"/>
                  <w:sz w:val="18"/>
                  <w:szCs w:val="18"/>
                  <w:color w:val="0000FF"/>
                </w:rPr>
                <w:t>Exhibits</w:t>
              </w:r>
            </w:hyperlink>
          </w:p>
        </w:tc>
        <w:tc>
          <w:tcPr>
            <w:tcW w:w="440" w:type="dxa"/>
            <w:vAlign w:val="bottom"/>
            <w:gridSpan w:val="3"/>
          </w:tcPr>
          <w:p>
            <w:pPr>
              <w:jc w:val="center"/>
              <w:ind w:left="170"/>
              <w:spacing w:after="0"/>
              <w:rPr>
                <w:rFonts w:ascii="Arial" w:cs="Arial" w:eastAsia="Arial" w:hAnsi="Arial"/>
                <w:sz w:val="18"/>
                <w:szCs w:val="18"/>
                <w:color w:val="0000FF"/>
                <w:w w:val="89"/>
              </w:rPr>
            </w:pPr>
            <w:hyperlink w:anchor="page24">
              <w:r>
                <w:rPr>
                  <w:rFonts w:ascii="Arial" w:cs="Arial" w:eastAsia="Arial" w:hAnsi="Arial"/>
                  <w:sz w:val="18"/>
                  <w:szCs w:val="18"/>
                  <w:color w:val="0000FF"/>
                  <w:w w:val="89"/>
                </w:rPr>
                <w:t>22</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r>
    </w:tbl>
    <w:p>
      <w:pPr>
        <w:sectPr>
          <w:pgSz w:w="11900" w:h="16838" w:orient="portrait"/>
          <w:cols w:equalWidth="0" w:num="1">
            <w:col w:w="10960"/>
          </w:cols>
          <w:pgMar w:left="280" w:top="364" w:right="65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par value)</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0"/>
              </w:rPr>
              <w:t>June 30, 2014</w:t>
            </w:r>
          </w:p>
        </w:tc>
        <w:tc>
          <w:tcPr>
            <w:tcW w:w="260" w:type="dxa"/>
            <w:vAlign w:val="bottom"/>
          </w:tcPr>
          <w:p>
            <w:pPr>
              <w:spacing w:after="0"/>
              <w:rPr>
                <w:sz w:val="18"/>
                <w:szCs w:val="18"/>
                <w:color w:val="auto"/>
              </w:rPr>
            </w:pPr>
          </w:p>
        </w:tc>
        <w:tc>
          <w:tcPr>
            <w:tcW w:w="1800" w:type="dxa"/>
            <w:vAlign w:val="bottom"/>
          </w:tcPr>
          <w:p>
            <w:pPr>
              <w:jc w:val="right"/>
              <w:ind w:right="291"/>
              <w:spacing w:after="0"/>
              <w:rPr>
                <w:sz w:val="20"/>
                <w:szCs w:val="20"/>
                <w:color w:val="auto"/>
              </w:rPr>
            </w:pPr>
            <w:r>
              <w:rPr>
                <w:rFonts w:ascii="Arial" w:cs="Arial" w:eastAsia="Arial" w:hAnsi="Arial"/>
                <w:sz w:val="16"/>
                <w:szCs w:val="16"/>
                <w:b w:val="1"/>
                <w:bCs w:val="1"/>
                <w:color w:val="auto"/>
                <w:w w:val="97"/>
              </w:rPr>
              <w:t>December 31, 2013</w:t>
            </w:r>
          </w:p>
        </w:tc>
        <w:tc>
          <w:tcPr>
            <w:tcW w:w="0" w:type="dxa"/>
            <w:vAlign w:val="bottom"/>
          </w:tcPr>
          <w:p>
            <w:pPr>
              <w:spacing w:after="0"/>
              <w:rPr>
                <w:sz w:val="1"/>
                <w:szCs w:val="1"/>
                <w:color w:val="auto"/>
              </w:rPr>
            </w:pPr>
          </w:p>
        </w:tc>
      </w:tr>
      <w:tr>
        <w:trPr>
          <w:trHeight w:val="270"/>
        </w:trPr>
        <w:tc>
          <w:tcPr>
            <w:tcW w:w="7200" w:type="dxa"/>
            <w:vAlign w:val="bottom"/>
          </w:tcPr>
          <w:p>
            <w:pPr>
              <w:ind w:left="3300"/>
              <w:spacing w:after="0"/>
              <w:rPr>
                <w:sz w:val="20"/>
                <w:szCs w:val="20"/>
                <w:color w:val="auto"/>
              </w:rPr>
            </w:pPr>
            <w:r>
              <w:rPr>
                <w:rFonts w:ascii="Arial" w:cs="Arial" w:eastAsia="Arial" w:hAnsi="Arial"/>
                <w:sz w:val="16"/>
                <w:szCs w:val="16"/>
                <w:b w:val="1"/>
                <w:bCs w:val="1"/>
                <w:color w:val="auto"/>
              </w:rPr>
              <w:t>ASSETS</w:t>
            </w:r>
          </w:p>
        </w:tc>
        <w:tc>
          <w:tcPr>
            <w:tcW w:w="340" w:type="dxa"/>
            <w:vAlign w:val="bottom"/>
          </w:tcPr>
          <w:p>
            <w:pPr>
              <w:spacing w:after="0"/>
              <w:rPr>
                <w:sz w:val="23"/>
                <w:szCs w:val="23"/>
                <w:color w:val="auto"/>
              </w:rPr>
            </w:pPr>
          </w:p>
        </w:tc>
        <w:tc>
          <w:tcPr>
            <w:tcW w:w="182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4"/>
              </w:rPr>
              <w:t>Unaudited</w:t>
            </w:r>
          </w:p>
        </w:tc>
        <w:tc>
          <w:tcPr>
            <w:tcW w:w="26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7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6,293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17,192</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Marketable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3,200</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Receivables, net of allowance for doubtful accounts of $107 and $129, respectively</w:t>
            </w:r>
          </w:p>
        </w:tc>
        <w:tc>
          <w:tcPr>
            <w:tcW w:w="340" w:type="dxa"/>
            <w:vAlign w:val="bottom"/>
          </w:tcPr>
          <w:p>
            <w:pPr>
              <w:spacing w:after="0"/>
              <w:rPr>
                <w:sz w:val="21"/>
                <w:szCs w:val="21"/>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10,187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9,378</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3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10,758</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Distributor channel inventories</w:t>
            </w:r>
          </w:p>
        </w:tc>
        <w:tc>
          <w:tcPr>
            <w:tcW w:w="340" w:type="dxa"/>
            <w:vAlign w:val="bottom"/>
          </w:tcPr>
          <w:p>
            <w:pPr>
              <w:spacing w:after="0"/>
              <w:rPr>
                <w:sz w:val="21"/>
                <w:szCs w:val="21"/>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1,795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1,520</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3,325</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Prepaid expenses and other assets</w:t>
            </w:r>
          </w:p>
        </w:tc>
        <w:tc>
          <w:tcPr>
            <w:tcW w:w="340" w:type="dxa"/>
            <w:vAlign w:val="bottom"/>
          </w:tcPr>
          <w:p>
            <w:pPr>
              <w:spacing w:after="0"/>
              <w:rPr>
                <w:sz w:val="21"/>
                <w:szCs w:val="21"/>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2,148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2,693</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40,650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48,066</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Long-term marketable securities</w:t>
            </w:r>
          </w:p>
        </w:tc>
        <w:tc>
          <w:tcPr>
            <w:tcW w:w="340" w:type="dxa"/>
            <w:vAlign w:val="bottom"/>
          </w:tcPr>
          <w:p>
            <w:pPr>
              <w:spacing w:after="0"/>
              <w:rPr>
                <w:sz w:val="21"/>
                <w:szCs w:val="21"/>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20,575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6"/>
                <w:szCs w:val="16"/>
                <w:color w:val="auto"/>
              </w:rPr>
              <w:t>22,326</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inventories, net</w:t>
            </w:r>
          </w:p>
        </w:tc>
        <w:tc>
          <w:tcPr>
            <w:tcW w:w="3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340" w:type="dxa"/>
            <w:vAlign w:val="bottom"/>
          </w:tcPr>
          <w:p>
            <w:pPr>
              <w:spacing w:after="0"/>
              <w:rPr>
                <w:sz w:val="21"/>
                <w:szCs w:val="21"/>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2,182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1,825</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Intangibles, net</w:t>
            </w:r>
          </w:p>
        </w:tc>
        <w:tc>
          <w:tcPr>
            <w:tcW w:w="3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3,710</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Goodwill</w:t>
            </w:r>
          </w:p>
        </w:tc>
        <w:tc>
          <w:tcPr>
            <w:tcW w:w="340" w:type="dxa"/>
            <w:vAlign w:val="bottom"/>
          </w:tcPr>
          <w:p>
            <w:pPr>
              <w:spacing w:after="0"/>
              <w:rPr>
                <w:sz w:val="21"/>
                <w:szCs w:val="21"/>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12,549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3,472</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1,024</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340" w:type="dxa"/>
            <w:vAlign w:val="bottom"/>
          </w:tcPr>
          <w:p>
            <w:pPr>
              <w:spacing w:after="0"/>
              <w:rPr>
                <w:sz w:val="21"/>
                <w:szCs w:val="21"/>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87,147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81,061</w:t>
            </w:r>
          </w:p>
        </w:tc>
        <w:tc>
          <w:tcPr>
            <w:tcW w:w="0" w:type="dxa"/>
            <w:vAlign w:val="bottom"/>
          </w:tcPr>
          <w:p>
            <w:pPr>
              <w:spacing w:after="0"/>
              <w:rPr>
                <w:sz w:val="1"/>
                <w:szCs w:val="1"/>
                <w:color w:val="auto"/>
              </w:rPr>
            </w:pPr>
          </w:p>
        </w:tc>
      </w:tr>
      <w:tr>
        <w:trPr>
          <w:trHeight w:val="20"/>
        </w:trPr>
        <w:tc>
          <w:tcPr>
            <w:tcW w:w="7200" w:type="dxa"/>
            <w:vAlign w:val="bottom"/>
            <w:vMerge w:val="restart"/>
          </w:tcPr>
          <w:p>
            <w:pPr>
              <w:ind w:left="1660"/>
              <w:spacing w:after="0"/>
              <w:rPr>
                <w:sz w:val="20"/>
                <w:szCs w:val="20"/>
                <w:color w:val="auto"/>
              </w:rPr>
            </w:pPr>
            <w:r>
              <w:rPr>
                <w:rFonts w:ascii="Arial" w:cs="Arial" w:eastAsia="Arial" w:hAnsi="Arial"/>
                <w:sz w:val="18"/>
                <w:szCs w:val="18"/>
                <w:b w:val="1"/>
                <w:bCs w:val="1"/>
                <w:color w:val="auto"/>
              </w:rPr>
              <w:t>LIABILITIES AND SHAREHOLDERS' EQUITY</w:t>
            </w:r>
          </w:p>
        </w:tc>
        <w:tc>
          <w:tcPr>
            <w:tcW w:w="3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20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2,580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2,730</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1,761</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Deferred product revenue</w:t>
            </w:r>
          </w:p>
        </w:tc>
        <w:tc>
          <w:tcPr>
            <w:tcW w:w="340" w:type="dxa"/>
            <w:vAlign w:val="bottom"/>
          </w:tcPr>
          <w:p>
            <w:pPr>
              <w:spacing w:after="0"/>
              <w:rPr>
                <w:sz w:val="21"/>
                <w:szCs w:val="21"/>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5,244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4,158</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8,649</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Deferred rent</w:t>
            </w:r>
          </w:p>
        </w:tc>
        <w:tc>
          <w:tcPr>
            <w:tcW w:w="340" w:type="dxa"/>
            <w:vAlign w:val="bottom"/>
          </w:tcPr>
          <w:p>
            <w:pPr>
              <w:spacing w:after="0"/>
              <w:rPr>
                <w:sz w:val="21"/>
                <w:szCs w:val="21"/>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1,791</w:t>
            </w:r>
          </w:p>
        </w:tc>
        <w:tc>
          <w:tcPr>
            <w:tcW w:w="0" w:type="dxa"/>
            <w:vAlign w:val="bottom"/>
          </w:tcPr>
          <w:p>
            <w:pPr>
              <w:spacing w:after="0"/>
              <w:rPr>
                <w:sz w:val="1"/>
                <w:szCs w:val="1"/>
                <w:color w:val="auto"/>
              </w:rPr>
            </w:pPr>
          </w:p>
        </w:tc>
      </w:tr>
      <w:tr>
        <w:trPr>
          <w:trHeight w:val="237"/>
        </w:trPr>
        <w:tc>
          <w:tcPr>
            <w:tcW w:w="7200" w:type="dxa"/>
            <w:vAlign w:val="bottom"/>
          </w:tcPr>
          <w:p>
            <w:pPr>
              <w:ind w:left="220"/>
              <w:spacing w:after="0"/>
              <w:rPr>
                <w:sz w:val="20"/>
                <w:szCs w:val="20"/>
                <w:color w:val="auto"/>
              </w:rPr>
            </w:pPr>
            <w:r>
              <w:rPr>
                <w:rFonts w:ascii="Arial" w:cs="Arial" w:eastAsia="Arial" w:hAnsi="Arial"/>
                <w:sz w:val="18"/>
                <w:szCs w:val="18"/>
                <w:color w:val="auto"/>
              </w:rPr>
              <w:t>Total liabilities</w:t>
            </w:r>
          </w:p>
        </w:tc>
        <w:tc>
          <w:tcPr>
            <w:tcW w:w="34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13,217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10,726</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3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200" w:type="dxa"/>
            <w:vAlign w:val="bottom"/>
          </w:tcPr>
          <w:p>
            <w:pPr>
              <w:ind w:left="40"/>
              <w:spacing w:after="0"/>
              <w:rPr>
                <w:sz w:val="20"/>
                <w:szCs w:val="20"/>
                <w:color w:val="auto"/>
              </w:rPr>
            </w:pPr>
            <w:r>
              <w:rPr>
                <w:rFonts w:ascii="Arial" w:cs="Arial" w:eastAsia="Arial" w:hAnsi="Arial"/>
                <w:sz w:val="18"/>
                <w:szCs w:val="18"/>
                <w:color w:val="auto"/>
                <w:w w:val="91"/>
              </w:rPr>
              <w:t>Common stock, par value $0.001, 50,000,000 shares authorized, 9,235,494 and 8,986,080 shares</w:t>
            </w:r>
          </w:p>
        </w:tc>
        <w:tc>
          <w:tcPr>
            <w:tcW w:w="3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tcPr>
          <w:p>
            <w:pPr>
              <w:ind w:left="360"/>
              <w:spacing w:after="0"/>
              <w:rPr>
                <w:sz w:val="20"/>
                <w:szCs w:val="20"/>
                <w:color w:val="auto"/>
              </w:rPr>
            </w:pPr>
            <w:r>
              <w:rPr>
                <w:rFonts w:ascii="Arial" w:cs="Arial" w:eastAsia="Arial" w:hAnsi="Arial"/>
                <w:sz w:val="18"/>
                <w:szCs w:val="18"/>
                <w:color w:val="auto"/>
              </w:rPr>
              <w:t>issued and outstanding</w:t>
            </w:r>
          </w:p>
        </w:tc>
        <w:tc>
          <w:tcPr>
            <w:tcW w:w="340" w:type="dxa"/>
            <w:vAlign w:val="bottom"/>
          </w:tcPr>
          <w:p>
            <w:pPr>
              <w:spacing w:after="0"/>
              <w:rPr>
                <w:sz w:val="20"/>
                <w:szCs w:val="20"/>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Additional paid-in capital</w:t>
            </w:r>
          </w:p>
        </w:tc>
        <w:tc>
          <w:tcPr>
            <w:tcW w:w="3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44,513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41,311</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Accumulated other comprehensive income</w:t>
            </w:r>
          </w:p>
        </w:tc>
        <w:tc>
          <w:tcPr>
            <w:tcW w:w="340" w:type="dxa"/>
            <w:vAlign w:val="bottom"/>
          </w:tcPr>
          <w:p>
            <w:pPr>
              <w:spacing w:after="0"/>
              <w:rPr>
                <w:sz w:val="21"/>
                <w:szCs w:val="21"/>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Retained earnings</w:t>
            </w:r>
          </w:p>
        </w:tc>
        <w:tc>
          <w:tcPr>
            <w:tcW w:w="34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29,247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28,992</w:t>
            </w:r>
          </w:p>
        </w:tc>
        <w:tc>
          <w:tcPr>
            <w:tcW w:w="0" w:type="dxa"/>
            <w:vAlign w:val="bottom"/>
          </w:tcPr>
          <w:p>
            <w:pPr>
              <w:spacing w:after="0"/>
              <w:rPr>
                <w:sz w:val="1"/>
                <w:szCs w:val="1"/>
                <w:color w:val="auto"/>
              </w:rPr>
            </w:pPr>
          </w:p>
        </w:tc>
      </w:tr>
      <w:tr>
        <w:trPr>
          <w:trHeight w:val="237"/>
        </w:trPr>
        <w:tc>
          <w:tcPr>
            <w:tcW w:w="7200" w:type="dxa"/>
            <w:vAlign w:val="bottom"/>
          </w:tcPr>
          <w:p>
            <w:pPr>
              <w:ind w:left="220"/>
              <w:spacing w:after="0"/>
              <w:rPr>
                <w:sz w:val="20"/>
                <w:szCs w:val="20"/>
                <w:color w:val="auto"/>
              </w:rPr>
            </w:pPr>
            <w:r>
              <w:rPr>
                <w:rFonts w:ascii="Arial" w:cs="Arial" w:eastAsia="Arial" w:hAnsi="Arial"/>
                <w:sz w:val="18"/>
                <w:szCs w:val="18"/>
                <w:color w:val="auto"/>
              </w:rPr>
              <w:t>Total shareholders' equity</w:t>
            </w:r>
          </w:p>
        </w:tc>
        <w:tc>
          <w:tcPr>
            <w:tcW w:w="34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73,930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70,335</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liabilities and shareholders' equity</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87,147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81,061</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 CONDENSED CONSOLIDATED STATEMENTS OF INCOME AND COMPREHENSIVE INCOME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387" w:lineRule="exact"/>
        <w:rPr>
          <w:sz w:val="20"/>
          <w:szCs w:val="20"/>
          <w:color w:val="auto"/>
        </w:rPr>
      </w:pPr>
    </w:p>
    <w:tbl>
      <w:tblPr>
        <w:tblLayout w:type="fixed"/>
        <w:tblInd w:w="60" w:type="dxa"/>
        <w:tblCellMar>
          <w:top w:w="0" w:type="dxa"/>
          <w:left w:w="0" w:type="dxa"/>
          <w:bottom w:w="0" w:type="dxa"/>
          <w:right w:w="0" w:type="dxa"/>
        </w:tblCellMar>
      </w:tblPr>
      <w:tr>
        <w:trPr>
          <w:trHeight w:val="210"/>
        </w:trPr>
        <w:tc>
          <w:tcPr>
            <w:tcW w:w="5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0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June 30,</w:t>
            </w:r>
          </w:p>
        </w:tc>
        <w:tc>
          <w:tcPr>
            <w:tcW w:w="320" w:type="dxa"/>
            <w:vAlign w:val="bottom"/>
          </w:tcPr>
          <w:p>
            <w:pPr>
              <w:spacing w:after="0"/>
              <w:rPr>
                <w:sz w:val="18"/>
                <w:szCs w:val="18"/>
                <w:color w:val="auto"/>
              </w:rPr>
            </w:pPr>
          </w:p>
        </w:tc>
        <w:tc>
          <w:tcPr>
            <w:tcW w:w="2540" w:type="dxa"/>
            <w:vAlign w:val="bottom"/>
            <w:gridSpan w:val="4"/>
          </w:tcPr>
          <w:p>
            <w:pPr>
              <w:ind w:left="200"/>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54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5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451"/>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ind w:left="200"/>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ind w:right="450"/>
              <w:spacing w:after="0"/>
              <w:rPr>
                <w:sz w:val="20"/>
                <w:szCs w:val="20"/>
                <w:color w:val="auto"/>
              </w:rPr>
            </w:pPr>
            <w:r>
              <w:rPr>
                <w:rFonts w:ascii="Arial" w:cs="Arial" w:eastAsia="Arial" w:hAnsi="Arial"/>
                <w:sz w:val="16"/>
                <w:szCs w:val="16"/>
                <w:b w:val="1"/>
                <w:bCs w:val="1"/>
                <w:color w:val="auto"/>
              </w:rPr>
              <w:t>2013</w:t>
            </w:r>
          </w:p>
        </w:tc>
      </w:tr>
      <w:tr>
        <w:trPr>
          <w:trHeight w:val="33"/>
        </w:trPr>
        <w:tc>
          <w:tcPr>
            <w:tcW w:w="54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14,111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11,703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26,819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22,996</w:t>
            </w:r>
          </w:p>
        </w:tc>
      </w:tr>
      <w:tr>
        <w:trPr>
          <w:trHeight w:val="243"/>
        </w:trPr>
        <w:tc>
          <w:tcPr>
            <w:tcW w:w="548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28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6,047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4,839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11,053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9,133</w:t>
            </w:r>
          </w:p>
        </w:tc>
      </w:tr>
      <w:tr>
        <w:trPr>
          <w:trHeight w:val="27"/>
        </w:trPr>
        <w:tc>
          <w:tcPr>
            <w:tcW w:w="54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5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8,064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6,864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15,766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13,863</w:t>
            </w:r>
          </w:p>
        </w:tc>
      </w:tr>
      <w:tr>
        <w:trPr>
          <w:trHeight w:val="291"/>
        </w:trPr>
        <w:tc>
          <w:tcPr>
            <w:tcW w:w="54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r>
      <w:tr>
        <w:trPr>
          <w:trHeight w:val="277"/>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r>
      <w:tr>
        <w:trPr>
          <w:trHeight w:val="243"/>
        </w:trPr>
        <w:tc>
          <w:tcPr>
            <w:tcW w:w="548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28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2,977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2,088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5,713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4,356</w:t>
            </w:r>
          </w:p>
        </w:tc>
      </w:tr>
      <w:tr>
        <w:trPr>
          <w:trHeight w:val="27"/>
        </w:trPr>
        <w:tc>
          <w:tcPr>
            <w:tcW w:w="5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product development</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2,330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3,709</w:t>
            </w:r>
          </w:p>
        </w:tc>
      </w:tr>
      <w:tr>
        <w:trPr>
          <w:trHeight w:val="243"/>
        </w:trPr>
        <w:tc>
          <w:tcPr>
            <w:tcW w:w="548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1,628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1,437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3,592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3,234</w:t>
            </w:r>
          </w:p>
        </w:tc>
      </w:tr>
      <w:tr>
        <w:trPr>
          <w:trHeight w:val="27"/>
        </w:trPr>
        <w:tc>
          <w:tcPr>
            <w:tcW w:w="54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5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6,935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5,368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13,876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11,299</w:t>
            </w:r>
          </w:p>
        </w:tc>
      </w:tr>
      <w:tr>
        <w:trPr>
          <w:trHeight w:val="291"/>
        </w:trPr>
        <w:tc>
          <w:tcPr>
            <w:tcW w:w="54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r>
      <w:tr>
        <w:trPr>
          <w:trHeight w:val="250"/>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1,129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2,564</w:t>
            </w:r>
          </w:p>
        </w:tc>
      </w:tr>
      <w:tr>
        <w:trPr>
          <w:trHeight w:val="243"/>
        </w:trPr>
        <w:tc>
          <w:tcPr>
            <w:tcW w:w="548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28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33</w:t>
            </w:r>
          </w:p>
        </w:tc>
      </w:tr>
      <w:tr>
        <w:trPr>
          <w:trHeight w:val="27"/>
        </w:trPr>
        <w:tc>
          <w:tcPr>
            <w:tcW w:w="54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2,597</w:t>
            </w:r>
          </w:p>
        </w:tc>
      </w:tr>
      <w:tr>
        <w:trPr>
          <w:trHeight w:val="243"/>
        </w:trPr>
        <w:tc>
          <w:tcPr>
            <w:tcW w:w="548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28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498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822</w:t>
            </w:r>
          </w:p>
        </w:tc>
      </w:tr>
      <w:tr>
        <w:trPr>
          <w:trHeight w:val="27"/>
        </w:trPr>
        <w:tc>
          <w:tcPr>
            <w:tcW w:w="54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5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934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1,045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1,424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1,775</w:t>
            </w:r>
          </w:p>
        </w:tc>
      </w:tr>
      <w:tr>
        <w:trPr>
          <w:trHeight w:val="20"/>
        </w:trPr>
        <w:tc>
          <w:tcPr>
            <w:tcW w:w="5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84"/>
        </w:trPr>
        <w:tc>
          <w:tcPr>
            <w:tcW w:w="5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64"/>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earnings per common share</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0.10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0.11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0.16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0.19</w:t>
            </w:r>
          </w:p>
        </w:tc>
      </w:tr>
      <w:tr>
        <w:trPr>
          <w:trHeight w:val="20"/>
        </w:trPr>
        <w:tc>
          <w:tcPr>
            <w:tcW w:w="5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91"/>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Diluted earnings per common share</w:t>
            </w: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0.10</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0.11</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0.19</w:t>
            </w:r>
          </w:p>
        </w:tc>
      </w:tr>
      <w:tr>
        <w:trPr>
          <w:trHeight w:val="284"/>
        </w:trPr>
        <w:tc>
          <w:tcPr>
            <w:tcW w:w="54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5480" w:type="dxa"/>
            <w:vAlign w:val="bottom"/>
          </w:tcPr>
          <w:p>
            <w:pPr>
              <w:ind w:left="20"/>
              <w:spacing w:after="0"/>
              <w:rPr>
                <w:sz w:val="20"/>
                <w:szCs w:val="20"/>
                <w:color w:val="auto"/>
              </w:rPr>
            </w:pPr>
            <w:r>
              <w:rPr>
                <w:rFonts w:ascii="Arial" w:cs="Arial" w:eastAsia="Arial" w:hAnsi="Arial"/>
                <w:sz w:val="18"/>
                <w:szCs w:val="18"/>
                <w:color w:val="auto"/>
              </w:rPr>
              <w:t>Basic weighted average shares outstanding</w:t>
            </w:r>
          </w:p>
        </w:tc>
        <w:tc>
          <w:tcPr>
            <w:tcW w:w="28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9,266,071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9,093,461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9,174,816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9,122,996</w:t>
            </w:r>
          </w:p>
        </w:tc>
      </w:tr>
      <w:tr>
        <w:trPr>
          <w:trHeight w:val="27"/>
        </w:trPr>
        <w:tc>
          <w:tcPr>
            <w:tcW w:w="5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weighted average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9,677,726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9,459,495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9,618,172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9,499,452</w:t>
            </w:r>
          </w:p>
        </w:tc>
      </w:tr>
      <w:tr>
        <w:trPr>
          <w:trHeight w:val="324"/>
        </w:trPr>
        <w:tc>
          <w:tcPr>
            <w:tcW w:w="5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4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934</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1,045</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1,424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1,775</w:t>
            </w:r>
          </w:p>
        </w:tc>
      </w:tr>
      <w:tr>
        <w:trPr>
          <w:trHeight w:val="27"/>
        </w:trPr>
        <w:tc>
          <w:tcPr>
            <w:tcW w:w="5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480" w:type="dxa"/>
            <w:vAlign w:val="bottom"/>
          </w:tcPr>
          <w:p>
            <w:pPr>
              <w:ind w:left="160"/>
              <w:spacing w:after="0"/>
              <w:rPr>
                <w:sz w:val="20"/>
                <w:szCs w:val="20"/>
                <w:color w:val="auto"/>
              </w:rPr>
            </w:pPr>
            <w:r>
              <w:rPr>
                <w:rFonts w:ascii="Arial" w:cs="Arial" w:eastAsia="Arial" w:hAnsi="Arial"/>
                <w:sz w:val="18"/>
                <w:szCs w:val="18"/>
                <w:color w:val="auto"/>
              </w:rPr>
              <w:t>Unrealized gain (loss) on available-for-sale securities, net of tax</w:t>
            </w:r>
          </w:p>
        </w:tc>
        <w:tc>
          <w:tcPr>
            <w:tcW w:w="28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7"/>
        </w:trPr>
        <w:tc>
          <w:tcPr>
            <w:tcW w:w="54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999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958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1,562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1,688</w:t>
            </w:r>
          </w:p>
        </w:tc>
      </w:tr>
      <w:tr>
        <w:trPr>
          <w:trHeight w:val="20"/>
        </w:trPr>
        <w:tc>
          <w:tcPr>
            <w:tcW w:w="5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See accompanying notes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122" w:right="27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80" w:type="dxa"/>
            <w:vAlign w:val="bottom"/>
            <w:gridSpan w:val="3"/>
          </w:tcPr>
          <w:p>
            <w:pPr>
              <w:jc w:val="right"/>
              <w:spacing w:after="0"/>
              <w:rPr>
                <w:sz w:val="20"/>
                <w:szCs w:val="20"/>
                <w:color w:val="auto"/>
              </w:rPr>
            </w:pPr>
            <w:r>
              <w:rPr>
                <w:rFonts w:ascii="Arial" w:cs="Arial" w:eastAsia="Arial" w:hAnsi="Arial"/>
                <w:sz w:val="16"/>
                <w:szCs w:val="16"/>
                <w:b w:val="1"/>
                <w:bCs w:val="1"/>
                <w:color w:val="auto"/>
                <w:w w:val="90"/>
              </w:rPr>
              <w:t>Six months ended June 30,</w:t>
            </w:r>
          </w:p>
        </w:tc>
        <w:tc>
          <w:tcPr>
            <w:tcW w:w="1260" w:type="dxa"/>
            <w:vAlign w:val="bottom"/>
          </w:tcPr>
          <w:p>
            <w:pPr>
              <w:spacing w:after="0"/>
              <w:rPr>
                <w:sz w:val="18"/>
                <w:szCs w:val="18"/>
                <w:color w:val="auto"/>
              </w:rPr>
            </w:pPr>
          </w:p>
        </w:tc>
      </w:tr>
      <w:tr>
        <w:trPr>
          <w:trHeight w:val="33"/>
        </w:trPr>
        <w:tc>
          <w:tcPr>
            <w:tcW w:w="70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1"/>
        </w:trPr>
        <w:tc>
          <w:tcPr>
            <w:tcW w:w="70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60" w:type="dxa"/>
            <w:vAlign w:val="bottom"/>
          </w:tcPr>
          <w:p>
            <w:pPr>
              <w:jc w:val="right"/>
              <w:ind w:right="830"/>
              <w:spacing w:after="0"/>
              <w:rPr>
                <w:sz w:val="20"/>
                <w:szCs w:val="20"/>
                <w:color w:val="auto"/>
              </w:rPr>
            </w:pPr>
            <w:r>
              <w:rPr>
                <w:rFonts w:ascii="Arial" w:cs="Arial" w:eastAsia="Arial" w:hAnsi="Arial"/>
                <w:sz w:val="16"/>
                <w:szCs w:val="16"/>
                <w:b w:val="1"/>
                <w:bCs w:val="1"/>
                <w:color w:val="auto"/>
                <w:w w:val="89"/>
              </w:rPr>
              <w:t>2013</w:t>
            </w:r>
          </w:p>
        </w:tc>
      </w:tr>
      <w:tr>
        <w:trPr>
          <w:trHeight w:val="33"/>
        </w:trPr>
        <w:tc>
          <w:tcPr>
            <w:tcW w:w="70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1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70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260" w:type="dxa"/>
            <w:vAlign w:val="bottom"/>
          </w:tcPr>
          <w:p>
            <w:pPr>
              <w:jc w:val="right"/>
              <w:ind w:right="1053"/>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1,424</w:t>
            </w:r>
          </w:p>
        </w:tc>
        <w:tc>
          <w:tcPr>
            <w:tcW w:w="120" w:type="dxa"/>
            <w:vAlign w:val="bottom"/>
          </w:tcPr>
          <w:p>
            <w:pPr>
              <w:spacing w:after="0"/>
              <w:rPr>
                <w:sz w:val="21"/>
                <w:szCs w:val="21"/>
                <w:color w:val="auto"/>
              </w:rPr>
            </w:pPr>
          </w:p>
        </w:tc>
        <w:tc>
          <w:tcPr>
            <w:tcW w:w="880" w:type="dxa"/>
            <w:vAlign w:val="bottom"/>
          </w:tcPr>
          <w:p>
            <w:pPr>
              <w:jc w:val="right"/>
              <w:ind w:right="6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1,775</w:t>
            </w:r>
          </w:p>
        </w:tc>
      </w:tr>
      <w:tr>
        <w:trPr>
          <w:trHeight w:val="27"/>
        </w:trPr>
        <w:tc>
          <w:tcPr>
            <w:tcW w:w="7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(used in) operations:</w:t>
            </w:r>
          </w:p>
        </w:tc>
        <w:tc>
          <w:tcPr>
            <w:tcW w:w="1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7020" w:type="dxa"/>
            <w:vAlign w:val="bottom"/>
          </w:tcPr>
          <w:p>
            <w:pPr>
              <w:ind w:left="220"/>
              <w:spacing w:after="0"/>
              <w:rPr>
                <w:sz w:val="20"/>
                <w:szCs w:val="20"/>
                <w:color w:val="auto"/>
              </w:rPr>
            </w:pPr>
            <w:r>
              <w:rPr>
                <w:rFonts w:ascii="Arial" w:cs="Arial" w:eastAsia="Arial" w:hAnsi="Arial"/>
                <w:sz w:val="18"/>
                <w:szCs w:val="18"/>
                <w:color w:val="auto"/>
              </w:rPr>
              <w:t>Depreciation and amortization expense</w:t>
            </w:r>
          </w:p>
        </w:tc>
        <w:tc>
          <w:tcPr>
            <w:tcW w:w="1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783</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644</w:t>
            </w:r>
          </w:p>
        </w:tc>
      </w:tr>
      <w:tr>
        <w:trPr>
          <w:trHeight w:val="27"/>
        </w:trPr>
        <w:tc>
          <w:tcPr>
            <w:tcW w:w="7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Amortization of deferred rent</w:t>
            </w:r>
          </w:p>
        </w:tc>
        <w:tc>
          <w:tcPr>
            <w:tcW w:w="1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r>
      <w:tr>
        <w:trPr>
          <w:trHeight w:val="243"/>
        </w:trPr>
        <w:tc>
          <w:tcPr>
            <w:tcW w:w="702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1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126</w:t>
            </w:r>
          </w:p>
        </w:tc>
      </w:tr>
      <w:tr>
        <w:trPr>
          <w:trHeight w:val="27"/>
        </w:trPr>
        <w:tc>
          <w:tcPr>
            <w:tcW w:w="7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Provision for doubtful accounts, net</w:t>
            </w:r>
          </w:p>
        </w:tc>
        <w:tc>
          <w:tcPr>
            <w:tcW w:w="1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r>
      <w:tr>
        <w:trPr>
          <w:trHeight w:val="243"/>
        </w:trPr>
        <w:tc>
          <w:tcPr>
            <w:tcW w:w="7020" w:type="dxa"/>
            <w:vAlign w:val="bottom"/>
          </w:tcPr>
          <w:p>
            <w:pPr>
              <w:ind w:left="220"/>
              <w:spacing w:after="0"/>
              <w:rPr>
                <w:sz w:val="20"/>
                <w:szCs w:val="20"/>
                <w:color w:val="auto"/>
              </w:rPr>
            </w:pPr>
            <w:r>
              <w:rPr>
                <w:rFonts w:ascii="Arial" w:cs="Arial" w:eastAsia="Arial" w:hAnsi="Arial"/>
                <w:sz w:val="18"/>
                <w:szCs w:val="18"/>
                <w:color w:val="auto"/>
              </w:rPr>
              <w:t>Inventory valuation reserve adjustments</w:t>
            </w:r>
          </w:p>
        </w:tc>
        <w:tc>
          <w:tcPr>
            <w:tcW w:w="1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424</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
        </w:trPr>
        <w:tc>
          <w:tcPr>
            <w:tcW w:w="7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Loss on disposal of assets</w:t>
            </w:r>
          </w:p>
        </w:tc>
        <w:tc>
          <w:tcPr>
            <w:tcW w:w="1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020" w:type="dxa"/>
            <w:vAlign w:val="bottom"/>
          </w:tcPr>
          <w:p>
            <w:pPr>
              <w:ind w:left="220"/>
              <w:spacing w:after="0"/>
              <w:rPr>
                <w:sz w:val="20"/>
                <w:szCs w:val="20"/>
                <w:color w:val="auto"/>
              </w:rPr>
            </w:pPr>
            <w:r>
              <w:rPr>
                <w:rFonts w:ascii="Arial" w:cs="Arial" w:eastAsia="Arial" w:hAnsi="Arial"/>
                <w:sz w:val="18"/>
                <w:szCs w:val="18"/>
                <w:color w:val="auto"/>
              </w:rPr>
              <w:t>Tax benefit from the exercise of stock options</w:t>
            </w:r>
          </w:p>
        </w:tc>
        <w:tc>
          <w:tcPr>
            <w:tcW w:w="1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
        </w:trPr>
        <w:tc>
          <w:tcPr>
            <w:tcW w:w="7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1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7020" w:type="dxa"/>
            <w:vAlign w:val="bottom"/>
          </w:tcPr>
          <w:p>
            <w:pPr>
              <w:ind w:left="220"/>
              <w:spacing w:after="0"/>
              <w:rPr>
                <w:sz w:val="20"/>
                <w:szCs w:val="20"/>
                <w:color w:val="auto"/>
              </w:rPr>
            </w:pPr>
            <w:r>
              <w:rPr>
                <w:rFonts w:ascii="Arial" w:cs="Arial" w:eastAsia="Arial" w:hAnsi="Arial"/>
                <w:sz w:val="18"/>
                <w:szCs w:val="18"/>
                <w:color w:val="auto"/>
              </w:rPr>
              <w:t>Receivables</w:t>
            </w:r>
          </w:p>
        </w:tc>
        <w:tc>
          <w:tcPr>
            <w:tcW w:w="1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(555)</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7"/>
        </w:trPr>
        <w:tc>
          <w:tcPr>
            <w:tcW w:w="7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Inventories</w:t>
            </w:r>
          </w:p>
        </w:tc>
        <w:tc>
          <w:tcPr>
            <w:tcW w:w="1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(1,051)</w:t>
            </w:r>
          </w:p>
        </w:tc>
      </w:tr>
      <w:tr>
        <w:trPr>
          <w:trHeight w:val="243"/>
        </w:trPr>
        <w:tc>
          <w:tcPr>
            <w:tcW w:w="7020" w:type="dxa"/>
            <w:vAlign w:val="bottom"/>
          </w:tcPr>
          <w:p>
            <w:pPr>
              <w:ind w:left="220"/>
              <w:spacing w:after="0"/>
              <w:rPr>
                <w:sz w:val="20"/>
                <w:szCs w:val="20"/>
                <w:color w:val="auto"/>
              </w:rPr>
            </w:pPr>
            <w:r>
              <w:rPr>
                <w:rFonts w:ascii="Arial" w:cs="Arial" w:eastAsia="Arial" w:hAnsi="Arial"/>
                <w:sz w:val="18"/>
                <w:szCs w:val="18"/>
                <w:color w:val="auto"/>
              </w:rPr>
              <w:t>Deferred income taxes</w:t>
            </w:r>
          </w:p>
        </w:tc>
        <w:tc>
          <w:tcPr>
            <w:tcW w:w="1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(333)</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Prepaid expenses and other assets</w:t>
            </w:r>
          </w:p>
        </w:tc>
        <w:tc>
          <w:tcPr>
            <w:tcW w:w="1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739</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w:t>
            </w:r>
          </w:p>
        </w:tc>
      </w:tr>
      <w:tr>
        <w:trPr>
          <w:trHeight w:val="243"/>
        </w:trPr>
        <w:tc>
          <w:tcPr>
            <w:tcW w:w="702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1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(570)</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729</w:t>
            </w:r>
          </w:p>
        </w:tc>
      </w:tr>
      <w:tr>
        <w:trPr>
          <w:trHeight w:val="27"/>
        </w:trPr>
        <w:tc>
          <w:tcPr>
            <w:tcW w:w="7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Accrued liabilities</w:t>
            </w:r>
          </w:p>
        </w:tc>
        <w:tc>
          <w:tcPr>
            <w:tcW w:w="1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43"/>
        </w:trPr>
        <w:tc>
          <w:tcPr>
            <w:tcW w:w="7020" w:type="dxa"/>
            <w:vAlign w:val="bottom"/>
          </w:tcPr>
          <w:p>
            <w:pPr>
              <w:ind w:left="220"/>
              <w:spacing w:after="0"/>
              <w:rPr>
                <w:sz w:val="20"/>
                <w:szCs w:val="20"/>
                <w:color w:val="auto"/>
              </w:rPr>
            </w:pPr>
            <w:r>
              <w:rPr>
                <w:rFonts w:ascii="Arial" w:cs="Arial" w:eastAsia="Arial" w:hAnsi="Arial"/>
                <w:sz w:val="18"/>
                <w:szCs w:val="18"/>
                <w:color w:val="auto"/>
              </w:rPr>
              <w:t>Income taxes payable</w:t>
            </w:r>
          </w:p>
        </w:tc>
        <w:tc>
          <w:tcPr>
            <w:tcW w:w="1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(14,782)</w:t>
            </w:r>
          </w:p>
        </w:tc>
      </w:tr>
      <w:tr>
        <w:trPr>
          <w:trHeight w:val="27"/>
        </w:trPr>
        <w:tc>
          <w:tcPr>
            <w:tcW w:w="7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Deferred product revenue</w:t>
            </w:r>
          </w:p>
        </w:tc>
        <w:tc>
          <w:tcPr>
            <w:tcW w:w="1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1,086</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707</w:t>
            </w:r>
          </w:p>
        </w:tc>
      </w:tr>
      <w:tr>
        <w:trPr>
          <w:trHeight w:val="243"/>
        </w:trPr>
        <w:tc>
          <w:tcPr>
            <w:tcW w:w="7020" w:type="dxa"/>
            <w:vAlign w:val="bottom"/>
          </w:tcPr>
          <w:p>
            <w:pPr>
              <w:ind w:left="220"/>
              <w:spacing w:after="0"/>
              <w:rPr>
                <w:sz w:val="20"/>
                <w:szCs w:val="20"/>
                <w:color w:val="auto"/>
              </w:rPr>
            </w:pPr>
            <w:r>
              <w:rPr>
                <w:rFonts w:ascii="Arial" w:cs="Arial" w:eastAsia="Arial" w:hAnsi="Arial"/>
                <w:sz w:val="18"/>
                <w:szCs w:val="18"/>
                <w:color w:val="auto"/>
              </w:rPr>
              <w:t>Other long-term liabilities</w:t>
            </w:r>
          </w:p>
        </w:tc>
        <w:tc>
          <w:tcPr>
            <w:tcW w:w="1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0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operating activities</w:t>
            </w:r>
          </w:p>
        </w:tc>
        <w:tc>
          <w:tcPr>
            <w:tcW w:w="1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2,820</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(12,580)</w:t>
            </w:r>
          </w:p>
        </w:tc>
      </w:tr>
      <w:tr>
        <w:trPr>
          <w:trHeight w:val="345"/>
        </w:trPr>
        <w:tc>
          <w:tcPr>
            <w:tcW w:w="7020" w:type="dxa"/>
            <w:vAlign w:val="bottom"/>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r>
      <w:tr>
        <w:trPr>
          <w:trHeight w:val="250"/>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1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7020" w:type="dxa"/>
            <w:vAlign w:val="bottom"/>
          </w:tcPr>
          <w:p>
            <w:pPr>
              <w:ind w:left="220"/>
              <w:spacing w:after="0"/>
              <w:rPr>
                <w:sz w:val="20"/>
                <w:szCs w:val="20"/>
                <w:color w:val="auto"/>
              </w:rPr>
            </w:pPr>
            <w:r>
              <w:rPr>
                <w:rFonts w:ascii="Arial" w:cs="Arial" w:eastAsia="Arial" w:hAnsi="Arial"/>
                <w:sz w:val="18"/>
                <w:szCs w:val="18"/>
                <w:color w:val="auto"/>
              </w:rPr>
              <w:t>Payment towards business acquisitions</w:t>
            </w:r>
          </w:p>
        </w:tc>
        <w:tc>
          <w:tcPr>
            <w:tcW w:w="1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(13,078)</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Purchase of property and equipment</w:t>
            </w:r>
          </w:p>
        </w:tc>
        <w:tc>
          <w:tcPr>
            <w:tcW w:w="1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w:t>
            </w:r>
          </w:p>
        </w:tc>
      </w:tr>
      <w:tr>
        <w:trPr>
          <w:trHeight w:val="243"/>
        </w:trPr>
        <w:tc>
          <w:tcPr>
            <w:tcW w:w="7020" w:type="dxa"/>
            <w:vAlign w:val="bottom"/>
          </w:tcPr>
          <w:p>
            <w:pPr>
              <w:ind w:left="220"/>
              <w:spacing w:after="0"/>
              <w:rPr>
                <w:sz w:val="20"/>
                <w:szCs w:val="20"/>
                <w:color w:val="auto"/>
              </w:rPr>
            </w:pPr>
            <w:r>
              <w:rPr>
                <w:rFonts w:ascii="Arial" w:cs="Arial" w:eastAsia="Arial" w:hAnsi="Arial"/>
                <w:sz w:val="18"/>
                <w:szCs w:val="18"/>
                <w:color w:val="auto"/>
              </w:rPr>
              <w:t>Purchase of patents</w:t>
            </w:r>
          </w:p>
        </w:tc>
        <w:tc>
          <w:tcPr>
            <w:tcW w:w="1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7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Purchase of marketable securities</w:t>
            </w:r>
          </w:p>
        </w:tc>
        <w:tc>
          <w:tcPr>
            <w:tcW w:w="1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(9,297)</w:t>
            </w:r>
          </w:p>
        </w:tc>
      </w:tr>
      <w:tr>
        <w:trPr>
          <w:trHeight w:val="237"/>
        </w:trPr>
        <w:tc>
          <w:tcPr>
            <w:tcW w:w="702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1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(13,850)</w:t>
            </w:r>
          </w:p>
        </w:tc>
        <w:tc>
          <w:tcPr>
            <w:tcW w:w="12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(9,754)</w:t>
            </w:r>
          </w:p>
        </w:tc>
      </w:tr>
      <w:tr>
        <w:trPr>
          <w:trHeight w:val="27"/>
        </w:trPr>
        <w:tc>
          <w:tcPr>
            <w:tcW w:w="70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345"/>
        </w:trPr>
        <w:tc>
          <w:tcPr>
            <w:tcW w:w="70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43"/>
        </w:trPr>
        <w:tc>
          <w:tcPr>
            <w:tcW w:w="702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1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7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Proceeds from the exercise of stock options</w:t>
            </w:r>
          </w:p>
        </w:tc>
        <w:tc>
          <w:tcPr>
            <w:tcW w:w="1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1,265</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w:t>
            </w:r>
          </w:p>
        </w:tc>
      </w:tr>
      <w:tr>
        <w:trPr>
          <w:trHeight w:val="243"/>
        </w:trPr>
        <w:tc>
          <w:tcPr>
            <w:tcW w:w="7020" w:type="dxa"/>
            <w:vAlign w:val="bottom"/>
          </w:tcPr>
          <w:p>
            <w:pPr>
              <w:ind w:left="220"/>
              <w:spacing w:after="0"/>
              <w:rPr>
                <w:sz w:val="20"/>
                <w:szCs w:val="20"/>
                <w:color w:val="auto"/>
              </w:rPr>
            </w:pPr>
            <w:r>
              <w:rPr>
                <w:rFonts w:ascii="Arial" w:cs="Arial" w:eastAsia="Arial" w:hAnsi="Arial"/>
                <w:sz w:val="18"/>
                <w:szCs w:val="18"/>
                <w:color w:val="auto"/>
              </w:rPr>
              <w:t>Tax benefit from stock options</w:t>
            </w:r>
          </w:p>
        </w:tc>
        <w:tc>
          <w:tcPr>
            <w:tcW w:w="1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38</w:t>
            </w:r>
          </w:p>
        </w:tc>
      </w:tr>
      <w:tr>
        <w:trPr>
          <w:trHeight w:val="27"/>
        </w:trPr>
        <w:tc>
          <w:tcPr>
            <w:tcW w:w="7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Stock registration costs</w:t>
            </w:r>
          </w:p>
        </w:tc>
        <w:tc>
          <w:tcPr>
            <w:tcW w:w="1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020" w:type="dxa"/>
            <w:vAlign w:val="bottom"/>
          </w:tcPr>
          <w:p>
            <w:pPr>
              <w:ind w:left="220"/>
              <w:spacing w:after="0"/>
              <w:rPr>
                <w:sz w:val="20"/>
                <w:szCs w:val="20"/>
                <w:color w:val="auto"/>
              </w:rPr>
            </w:pPr>
            <w:r>
              <w:rPr>
                <w:rFonts w:ascii="Arial" w:cs="Arial" w:eastAsia="Arial" w:hAnsi="Arial"/>
                <w:sz w:val="18"/>
                <w:szCs w:val="18"/>
                <w:color w:val="auto"/>
              </w:rPr>
              <w:t>Treasury stock purchased</w:t>
            </w:r>
          </w:p>
        </w:tc>
        <w:tc>
          <w:tcPr>
            <w:tcW w:w="1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(1,169)</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(991)</w:t>
            </w:r>
          </w:p>
        </w:tc>
      </w:tr>
      <w:tr>
        <w:trPr>
          <w:trHeight w:val="27"/>
        </w:trPr>
        <w:tc>
          <w:tcPr>
            <w:tcW w:w="70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1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(789)</w:t>
            </w:r>
          </w:p>
        </w:tc>
      </w:tr>
      <w:tr>
        <w:trPr>
          <w:trHeight w:val="345"/>
        </w:trPr>
        <w:tc>
          <w:tcPr>
            <w:tcW w:w="7020" w:type="dxa"/>
            <w:vAlign w:val="bottom"/>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r>
      <w:tr>
        <w:trPr>
          <w:trHeight w:val="250"/>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1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(10,899)</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(23,123)</w:t>
            </w:r>
          </w:p>
        </w:tc>
      </w:tr>
      <w:tr>
        <w:trPr>
          <w:trHeight w:val="243"/>
        </w:trPr>
        <w:tc>
          <w:tcPr>
            <w:tcW w:w="7020" w:type="dxa"/>
            <w:vAlign w:val="bottom"/>
          </w:tcPr>
          <w:p>
            <w:pPr>
              <w:ind w:left="40"/>
              <w:spacing w:after="0"/>
              <w:rPr>
                <w:sz w:val="20"/>
                <w:szCs w:val="20"/>
                <w:color w:val="auto"/>
              </w:rPr>
            </w:pPr>
            <w:r>
              <w:rPr>
                <w:rFonts w:ascii="Arial" w:cs="Arial" w:eastAsia="Arial" w:hAnsi="Arial"/>
                <w:sz w:val="18"/>
                <w:szCs w:val="18"/>
                <w:color w:val="auto"/>
              </w:rPr>
              <w:t>Cash and cash equivalents at the beginning of the period</w:t>
            </w:r>
          </w:p>
        </w:tc>
        <w:tc>
          <w:tcPr>
            <w:tcW w:w="1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17,192</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55,509</w:t>
            </w:r>
          </w:p>
        </w:tc>
      </w:tr>
      <w:tr>
        <w:trPr>
          <w:trHeight w:val="27"/>
        </w:trPr>
        <w:tc>
          <w:tcPr>
            <w:tcW w:w="70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the end of the period</w:t>
            </w:r>
          </w:p>
        </w:tc>
        <w:tc>
          <w:tcPr>
            <w:tcW w:w="1260" w:type="dxa"/>
            <w:vAlign w:val="bottom"/>
            <w:tcBorders>
              <w:bottom w:val="single" w:sz="8" w:color="auto"/>
            </w:tcBorders>
            <w:shd w:val="clear" w:color="auto" w:fill="CCEEFF"/>
          </w:tcPr>
          <w:p>
            <w:pPr>
              <w:jc w:val="right"/>
              <w:ind w:right="933"/>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6,293</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32,386</w:t>
            </w:r>
          </w:p>
        </w:tc>
      </w:tr>
      <w:tr>
        <w:trPr>
          <w:trHeight w:val="20"/>
        </w:trPr>
        <w:tc>
          <w:tcPr>
            <w:tcW w:w="70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2" w:right="239" w:bottom="1440" w:gutter="0" w:footer="0" w:header="0"/>
          <w:type w:val="continuous"/>
        </w:sectPr>
      </w:pPr>
    </w:p>
    <w:bookmarkStart w:id="5" w:name="page6"/>
    <w:bookmarkEnd w:id="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(Dollars in thousands)</w:t>
      </w:r>
    </w:p>
    <w:p>
      <w:pPr>
        <w:spacing w:after="0" w:line="387" w:lineRule="exact"/>
        <w:rPr>
          <w:sz w:val="20"/>
          <w:szCs w:val="20"/>
          <w:color w:val="auto"/>
        </w:rPr>
      </w:pPr>
    </w:p>
    <w:tbl>
      <w:tblPr>
        <w:tblLayout w:type="fixed"/>
        <w:tblInd w:w="112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140" w:type="dxa"/>
            <w:vAlign w:val="bottom"/>
            <w:gridSpan w:val="4"/>
          </w:tcPr>
          <w:p>
            <w:pPr>
              <w:jc w:val="right"/>
              <w:ind w:right="774"/>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33"/>
        </w:trPr>
        <w:tc>
          <w:tcPr>
            <w:tcW w:w="56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80" w:type="dxa"/>
            <w:vAlign w:val="bottom"/>
          </w:tcPr>
          <w:p>
            <w:pPr>
              <w:jc w:val="right"/>
              <w:ind w:right="636"/>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80" w:type="dxa"/>
            <w:vAlign w:val="bottom"/>
          </w:tcPr>
          <w:p>
            <w:pPr>
              <w:jc w:val="right"/>
              <w:ind w:right="634"/>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33"/>
        </w:trPr>
        <w:tc>
          <w:tcPr>
            <w:tcW w:w="5600" w:type="dxa"/>
            <w:vAlign w:val="bottom"/>
            <w:vMerge w:val="restart"/>
          </w:tcPr>
          <w:p>
            <w:pPr>
              <w:ind w:left="20"/>
              <w:spacing w:after="0"/>
              <w:rPr>
                <w:sz w:val="20"/>
                <w:szCs w:val="20"/>
                <w:color w:val="auto"/>
              </w:rPr>
            </w:pPr>
            <w:r>
              <w:rPr>
                <w:rFonts w:ascii="Arial" w:cs="Arial" w:eastAsia="Arial" w:hAnsi="Arial"/>
                <w:sz w:val="18"/>
                <w:szCs w:val="18"/>
                <w:color w:val="auto"/>
              </w:rPr>
              <w:t>Supplemental disclosure of cash flow information:</w:t>
            </w:r>
          </w:p>
        </w:tc>
        <w:tc>
          <w:tcPr>
            <w:tcW w:w="4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4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Cash paid for income taxes</w:t>
            </w:r>
          </w:p>
        </w:tc>
        <w:tc>
          <w:tcPr>
            <w:tcW w:w="4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16,757</w:t>
            </w:r>
          </w:p>
        </w:tc>
        <w:tc>
          <w:tcPr>
            <w:tcW w:w="0" w:type="dxa"/>
            <w:vAlign w:val="bottom"/>
          </w:tcPr>
          <w:p>
            <w:pPr>
              <w:spacing w:after="0"/>
              <w:rPr>
                <w:sz w:val="1"/>
                <w:szCs w:val="1"/>
                <w:color w:val="auto"/>
              </w:rPr>
            </w:pPr>
          </w:p>
        </w:tc>
      </w:tr>
      <w:tr>
        <w:trPr>
          <w:trHeight w:val="885"/>
        </w:trPr>
        <w:tc>
          <w:tcPr>
            <w:tcW w:w="5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140" w:type="dxa"/>
            <w:vAlign w:val="bottom"/>
            <w:gridSpan w:val="4"/>
          </w:tcPr>
          <w:p>
            <w:pPr>
              <w:jc w:val="right"/>
              <w:ind w:right="774"/>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33"/>
        </w:trPr>
        <w:tc>
          <w:tcPr>
            <w:tcW w:w="56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80" w:type="dxa"/>
            <w:vAlign w:val="bottom"/>
          </w:tcPr>
          <w:p>
            <w:pPr>
              <w:jc w:val="right"/>
              <w:ind w:right="636"/>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80" w:type="dxa"/>
            <w:vAlign w:val="bottom"/>
          </w:tcPr>
          <w:p>
            <w:pPr>
              <w:jc w:val="right"/>
              <w:ind w:right="634"/>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33"/>
        </w:trPr>
        <w:tc>
          <w:tcPr>
            <w:tcW w:w="5600" w:type="dxa"/>
            <w:vAlign w:val="bottom"/>
            <w:vMerge w:val="restart"/>
          </w:tcPr>
          <w:p>
            <w:pPr>
              <w:ind w:left="20"/>
              <w:spacing w:after="0"/>
              <w:rPr>
                <w:sz w:val="20"/>
                <w:szCs w:val="20"/>
                <w:color w:val="auto"/>
              </w:rPr>
            </w:pPr>
            <w:r>
              <w:rPr>
                <w:rFonts w:ascii="Arial" w:cs="Arial" w:eastAsia="Arial" w:hAnsi="Arial"/>
                <w:sz w:val="18"/>
                <w:szCs w:val="18"/>
                <w:color w:val="auto"/>
              </w:rPr>
              <w:t>Supplemental schedule of non-cash investing and financing activities:</w:t>
            </w:r>
          </w:p>
        </w:tc>
        <w:tc>
          <w:tcPr>
            <w:tcW w:w="4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4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Issuance of common stock in connection with acquisition of business</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820"/>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6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320"/>
          </w:cols>
          <w:pgMar w:left="240" w:top="121" w:right="1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 – 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Business Description, Basis of Presentation and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Business Description:</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ClearOne, Inc., together with its subsidiaries (collectively, “ClearOne” or the “Company”), is a global company that designs, develops and sells conferencing, collaboration, streaming and digital signage solutions for audio and visual communications. The performance and simplicity of its advanced comprehensive solutions offer unprecedented levels of functionality, reliability and scalability.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Basis of Presentation:</w:t>
      </w:r>
    </w:p>
    <w:p>
      <w:pPr>
        <w:spacing w:after="0" w:line="225" w:lineRule="exact"/>
        <w:rPr>
          <w:sz w:val="20"/>
          <w:szCs w:val="20"/>
          <w:color w:val="auto"/>
        </w:rPr>
      </w:pPr>
    </w:p>
    <w:p>
      <w:pPr>
        <w:ind w:right="460"/>
        <w:spacing w:after="0" w:line="216" w:lineRule="auto"/>
        <w:rPr>
          <w:sz w:val="20"/>
          <w:szCs w:val="20"/>
          <w:color w:val="auto"/>
        </w:rPr>
      </w:pPr>
      <w:r>
        <w:rPr>
          <w:rFonts w:ascii="Arial" w:cs="Arial" w:eastAsia="Arial" w:hAnsi="Arial"/>
          <w:sz w:val="18"/>
          <w:szCs w:val="18"/>
          <w:color w:val="auto"/>
        </w:rPr>
        <w:t>The fiscal year for ClearOne is the 12 months ending on December 31</w:t>
      </w:r>
      <w:r>
        <w:rPr>
          <w:rFonts w:ascii="Arial" w:cs="Arial" w:eastAsia="Arial" w:hAnsi="Arial"/>
          <w:sz w:val="25"/>
          <w:szCs w:val="25"/>
          <w:color w:val="auto"/>
          <w:vertAlign w:val="superscript"/>
        </w:rPr>
        <w:t>st</w:t>
      </w:r>
      <w:r>
        <w:rPr>
          <w:rFonts w:ascii="Arial" w:cs="Arial" w:eastAsia="Arial" w:hAnsi="Arial"/>
          <w:sz w:val="18"/>
          <w:szCs w:val="18"/>
          <w:color w:val="auto"/>
        </w:rPr>
        <w:t>. The consolidated financial statements include the accounts of ClearOne and its subsidiaries. All significant inter-company accounts and transactions have been eliminated.</w:t>
      </w:r>
    </w:p>
    <w:p>
      <w:pPr>
        <w:spacing w:after="0" w:line="203"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These accompanying interim condensed consolidated financial statements for the three and six months ended June 30, 2014 and 2013, respectively, have been prepared by the Company pursuant to the rules and regulations of the Securities and Exchange Commission (“SEC”) and are not audited. Certain information and footnote disclosures that are usually included in financial statements prepared in accordance with generally accepted accounting principles in the United States (“GAAP”) have been either condensed or omitted in accordance with SEC rules and regulations. The accompanying consolidated financial statements contain all adjustments, consisting of normal recurring accruals, necessary for a fair presentation of the Company's financial position as of June 30, 2014 and December 31, 2013, the results of operations for the three and six months ended June 30, 2014 and 2013, and the statements of cash flows for the six months ended June 30, 2014 and 2013. The results of operations for the three and six months ended June 30, 2014 and 2013 are not necessarily indicative of the results for a full-year period. These interim condensed consolidated financial statements should be read in conjunction with the financial statements included in the Company's Annual Report on Form 10-K for the year ended December 31, 2013 filed with the SEC on March 20, 2014.</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Significant Accounting Policies:</w:t>
      </w:r>
    </w:p>
    <w:p>
      <w:pPr>
        <w:spacing w:after="0" w:line="22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significant accounting policies were described in Note 2 to the audited consolidated financial statements included in the Company’s Annual Report on Form 10-K for the year ended December 31, 2013. There have been no changes to these policies during the six months ended June 30, 2014 that are of significance or potential significance to the Company.</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i w:val="1"/>
          <w:iCs w:val="1"/>
          <w:color w:val="auto"/>
        </w:rPr>
        <w:t xml:space="preserve">Warranty Costs </w:t>
      </w:r>
      <w:r>
        <w:rPr>
          <w:rFonts w:ascii="Arial" w:cs="Arial" w:eastAsia="Arial" w:hAnsi="Arial"/>
          <w:sz w:val="18"/>
          <w:szCs w:val="18"/>
          <w:color w:val="auto"/>
        </w:rPr>
        <w:t>– The Company accrues for warranty costs based on estimated warranty return rates and estimated costs to repair. Factors that affect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warranty liability include the number of units sold, historical and anticipated rates of warranty returns, and repair cost. The Company reviews the adequacy of its recorded warranty accrual on a quarterly basis.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details of changes in the Company’s warranty accrual are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b w:val="1"/>
                <w:bCs w:val="1"/>
                <w:color w:val="auto"/>
              </w:rPr>
              <w:t>June 30, 2014</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tcPr>
          <w:p>
            <w:pPr>
              <w:jc w:val="right"/>
              <w:ind w:right="332"/>
              <w:spacing w:after="0"/>
              <w:rPr>
                <w:sz w:val="20"/>
                <w:szCs w:val="20"/>
                <w:color w:val="auto"/>
              </w:rPr>
            </w:pPr>
            <w:r>
              <w:rPr>
                <w:rFonts w:ascii="Arial" w:cs="Arial" w:eastAsia="Arial" w:hAnsi="Arial"/>
                <w:sz w:val="16"/>
                <w:szCs w:val="16"/>
                <w:b w:val="1"/>
                <w:bCs w:val="1"/>
                <w:color w:val="auto"/>
                <w:w w:val="95"/>
              </w:rPr>
              <w:t>December 31, 2013</w:t>
            </w:r>
          </w:p>
        </w:tc>
        <w:tc>
          <w:tcPr>
            <w:tcW w:w="0" w:type="dxa"/>
            <w:vAlign w:val="bottom"/>
          </w:tcPr>
          <w:p>
            <w:pPr>
              <w:spacing w:after="0"/>
              <w:rPr>
                <w:sz w:val="1"/>
                <w:szCs w:val="1"/>
                <w:color w:val="auto"/>
              </w:rPr>
            </w:pPr>
          </w:p>
        </w:tc>
      </w:tr>
      <w:tr>
        <w:trPr>
          <w:trHeight w:val="33"/>
        </w:trPr>
        <w:tc>
          <w:tcPr>
            <w:tcW w:w="40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20" w:type="dxa"/>
            <w:vAlign w:val="bottom"/>
          </w:tcPr>
          <w:p>
            <w:pPr>
              <w:ind w:left="40"/>
              <w:spacing w:after="0"/>
              <w:rPr>
                <w:sz w:val="20"/>
                <w:szCs w:val="20"/>
                <w:color w:val="auto"/>
              </w:rPr>
            </w:pPr>
            <w:r>
              <w:rPr>
                <w:rFonts w:ascii="Arial" w:cs="Arial" w:eastAsia="Arial" w:hAnsi="Arial"/>
                <w:sz w:val="18"/>
                <w:szCs w:val="18"/>
                <w:color w:val="auto"/>
              </w:rPr>
              <w:t>Balance at the beginning of year</w:t>
            </w:r>
          </w:p>
        </w:tc>
        <w:tc>
          <w:tcPr>
            <w:tcW w:w="4620" w:type="dxa"/>
            <w:vAlign w:val="bottom"/>
            <w:gridSpan w:val="2"/>
          </w:tcPr>
          <w:p>
            <w:pPr>
              <w:jc w:val="right"/>
              <w:ind w:right="1299"/>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338</w:t>
            </w:r>
          </w:p>
        </w:tc>
        <w:tc>
          <w:tcPr>
            <w:tcW w:w="12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12"/>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Warranty accruals/additions</w:t>
            </w:r>
          </w:p>
        </w:tc>
        <w:tc>
          <w:tcPr>
            <w:tcW w:w="30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43"/>
        </w:trPr>
        <w:tc>
          <w:tcPr>
            <w:tcW w:w="4020" w:type="dxa"/>
            <w:vAlign w:val="bottom"/>
          </w:tcPr>
          <w:p>
            <w:pPr>
              <w:ind w:left="220"/>
              <w:spacing w:after="0"/>
              <w:rPr>
                <w:sz w:val="20"/>
                <w:szCs w:val="20"/>
                <w:color w:val="auto"/>
              </w:rPr>
            </w:pPr>
            <w:r>
              <w:rPr>
                <w:rFonts w:ascii="Arial" w:cs="Arial" w:eastAsia="Arial" w:hAnsi="Arial"/>
                <w:sz w:val="18"/>
                <w:szCs w:val="18"/>
                <w:color w:val="auto"/>
              </w:rPr>
              <w:t>Warranty usage</w:t>
            </w:r>
          </w:p>
        </w:tc>
        <w:tc>
          <w:tcPr>
            <w:tcW w:w="30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7"/>
        </w:trPr>
        <w:tc>
          <w:tcPr>
            <w:tcW w:w="402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4620" w:type="dxa"/>
            <w:vAlign w:val="bottom"/>
            <w:gridSpan w:val="2"/>
            <w:shd w:val="clear" w:color="auto" w:fill="CCEEFF"/>
          </w:tcPr>
          <w:p>
            <w:pPr>
              <w:jc w:val="right"/>
              <w:ind w:right="1299"/>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330</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3000" w:type="dxa"/>
            <w:vAlign w:val="bottom"/>
            <w:tcBorders>
              <w:top w:val="single" w:sz="8" w:color="CCEEFF"/>
              <w:bottom w:val="single" w:sz="8" w:color="CCEEFF"/>
            </w:tcBorders>
            <w:vMerge w:val="restart"/>
          </w:tcPr>
          <w:p>
            <w:pPr>
              <w:jc w:val="right"/>
              <w:ind w:right="1170"/>
              <w:spacing w:after="0"/>
              <w:rPr>
                <w:sz w:val="20"/>
                <w:szCs w:val="20"/>
                <w:color w:val="auto"/>
              </w:rPr>
            </w:pPr>
            <w:r>
              <w:rPr>
                <w:rFonts w:ascii="Arial" w:cs="Arial" w:eastAsia="Arial" w:hAnsi="Arial"/>
                <w:sz w:val="18"/>
                <w:szCs w:val="18"/>
                <w:color w:val="auto"/>
              </w:rPr>
              <w:t>5</w:t>
            </w:r>
          </w:p>
        </w:tc>
        <w:tc>
          <w:tcPr>
            <w:tcW w:w="1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020" w:type="dxa"/>
            <w:vAlign w:val="bottom"/>
          </w:tcPr>
          <w:p>
            <w:pPr>
              <w:spacing w:after="0"/>
              <w:rPr>
                <w:sz w:val="24"/>
                <w:szCs w:val="24"/>
                <w:color w:val="auto"/>
              </w:rPr>
            </w:pPr>
          </w:p>
        </w:tc>
        <w:tc>
          <w:tcPr>
            <w:tcW w:w="3000" w:type="dxa"/>
            <w:vAlign w:val="bottom"/>
            <w:vMerge w:val="continue"/>
          </w:tcPr>
          <w:p>
            <w:pPr>
              <w:spacing w:after="0"/>
              <w:rPr>
                <w:sz w:val="24"/>
                <w:szCs w:val="24"/>
                <w:color w:val="auto"/>
              </w:rPr>
            </w:pPr>
          </w:p>
        </w:tc>
        <w:tc>
          <w:tcPr>
            <w:tcW w:w="1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 – 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Earnings Per Share </w:t>
      </w:r>
      <w:r>
        <w:rPr>
          <w:rFonts w:ascii="Arial" w:cs="Arial" w:eastAsia="Arial" w:hAnsi="Arial"/>
          <w:sz w:val="18"/>
          <w:szCs w:val="18"/>
          <w:color w:val="auto"/>
        </w:rPr>
        <w:t>– The following table sets forth the computation of basic and diluted earnings per common share:</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2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 June 30,</w:t>
            </w:r>
          </w:p>
        </w:tc>
        <w:tc>
          <w:tcPr>
            <w:tcW w:w="340" w:type="dxa"/>
            <w:vAlign w:val="bottom"/>
          </w:tcPr>
          <w:p>
            <w:pPr>
              <w:spacing w:after="0"/>
              <w:rPr>
                <w:sz w:val="18"/>
                <w:szCs w:val="18"/>
                <w:color w:val="auto"/>
              </w:rPr>
            </w:pPr>
          </w:p>
        </w:tc>
        <w:tc>
          <w:tcPr>
            <w:tcW w:w="2560" w:type="dxa"/>
            <w:vAlign w:val="bottom"/>
            <w:gridSpan w:val="4"/>
          </w:tcPr>
          <w:p>
            <w:pPr>
              <w:jc w:val="right"/>
              <w:ind w:right="431"/>
              <w:spacing w:after="0"/>
              <w:rPr>
                <w:sz w:val="20"/>
                <w:szCs w:val="20"/>
                <w:color w:val="auto"/>
              </w:rPr>
            </w:pPr>
            <w:r>
              <w:rPr>
                <w:rFonts w:ascii="Arial" w:cs="Arial" w:eastAsia="Arial" w:hAnsi="Arial"/>
                <w:sz w:val="16"/>
                <w:szCs w:val="16"/>
                <w:b w:val="1"/>
                <w:bCs w:val="1"/>
                <w:color w:val="auto"/>
                <w:w w:val="97"/>
              </w:rPr>
              <w:t>Six months ended June 30,</w:t>
            </w:r>
          </w:p>
        </w:tc>
      </w:tr>
      <w:tr>
        <w:trPr>
          <w:trHeight w:val="33"/>
        </w:trPr>
        <w:tc>
          <w:tcPr>
            <w:tcW w:w="55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1"/>
        </w:trPr>
        <w:tc>
          <w:tcPr>
            <w:tcW w:w="5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52"/>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jc w:val="right"/>
              <w:ind w:right="471"/>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452"/>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451"/>
              <w:spacing w:after="0"/>
              <w:rPr>
                <w:sz w:val="20"/>
                <w:szCs w:val="20"/>
                <w:color w:val="auto"/>
              </w:rPr>
            </w:pPr>
            <w:r>
              <w:rPr>
                <w:rFonts w:ascii="Arial" w:cs="Arial" w:eastAsia="Arial" w:hAnsi="Arial"/>
                <w:sz w:val="16"/>
                <w:szCs w:val="16"/>
                <w:b w:val="1"/>
                <w:bCs w:val="1"/>
                <w:color w:val="auto"/>
              </w:rPr>
              <w:t>2013</w:t>
            </w:r>
          </w:p>
        </w:tc>
      </w:tr>
      <w:tr>
        <w:trPr>
          <w:trHeight w:val="33"/>
        </w:trPr>
        <w:tc>
          <w:tcPr>
            <w:tcW w:w="55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934</w:t>
            </w:r>
          </w:p>
        </w:tc>
        <w:tc>
          <w:tcPr>
            <w:tcW w:w="120" w:type="dxa"/>
            <w:vAlign w:val="bottom"/>
          </w:tcPr>
          <w:p>
            <w:pPr>
              <w:spacing w:after="0"/>
              <w:rPr>
                <w:sz w:val="21"/>
                <w:szCs w:val="21"/>
                <w:color w:val="auto"/>
              </w:rPr>
            </w:pP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1,045</w:t>
            </w:r>
          </w:p>
        </w:tc>
        <w:tc>
          <w:tcPr>
            <w:tcW w:w="100" w:type="dxa"/>
            <w:vAlign w:val="bottom"/>
          </w:tcPr>
          <w:p>
            <w:pPr>
              <w:spacing w:after="0"/>
              <w:rPr>
                <w:sz w:val="21"/>
                <w:szCs w:val="21"/>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1,424</w:t>
            </w:r>
          </w:p>
        </w:tc>
        <w:tc>
          <w:tcPr>
            <w:tcW w:w="100" w:type="dxa"/>
            <w:vAlign w:val="bottom"/>
          </w:tcPr>
          <w:p>
            <w:pPr>
              <w:spacing w:after="0"/>
              <w:rPr>
                <w:sz w:val="21"/>
                <w:szCs w:val="21"/>
                <w:color w:val="auto"/>
              </w:rPr>
            </w:pP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1,775</w:t>
            </w:r>
          </w:p>
        </w:tc>
      </w:tr>
      <w:tr>
        <w:trPr>
          <w:trHeight w:val="27"/>
        </w:trPr>
        <w:tc>
          <w:tcPr>
            <w:tcW w:w="5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Denominator:</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120"/>
              <w:spacing w:after="0"/>
              <w:rPr>
                <w:sz w:val="20"/>
                <w:szCs w:val="20"/>
                <w:color w:val="auto"/>
              </w:rPr>
            </w:pPr>
            <w:r>
              <w:rPr>
                <w:rFonts w:ascii="Arial" w:cs="Arial" w:eastAsia="Arial" w:hAnsi="Arial"/>
                <w:sz w:val="18"/>
                <w:szCs w:val="18"/>
                <w:color w:val="auto"/>
              </w:rPr>
              <w:t>Basic weighted average shares outstanding</w:t>
            </w:r>
          </w:p>
        </w:tc>
        <w:tc>
          <w:tcPr>
            <w:tcW w:w="30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9,266,071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9,093,461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9,174,816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9,122,996</w:t>
            </w:r>
          </w:p>
        </w:tc>
      </w:tr>
      <w:tr>
        <w:trPr>
          <w:trHeight w:val="27"/>
        </w:trPr>
        <w:tc>
          <w:tcPr>
            <w:tcW w:w="5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Dilutive common stock equivalents using treasury stock method</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411,655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366,034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443,356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376,456</w:t>
            </w:r>
          </w:p>
        </w:tc>
      </w:tr>
      <w:tr>
        <w:trPr>
          <w:trHeight w:val="297"/>
        </w:trPr>
        <w:tc>
          <w:tcPr>
            <w:tcW w:w="55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Diluted weighted average shares outstanding</w:t>
            </w:r>
          </w:p>
        </w:tc>
        <w:tc>
          <w:tcPr>
            <w:tcW w:w="30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9,677,726</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9,459,495</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9,618,172</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9,499,452</w:t>
            </w:r>
          </w:p>
        </w:tc>
      </w:tr>
      <w:tr>
        <w:trPr>
          <w:trHeight w:val="311"/>
        </w:trPr>
        <w:tc>
          <w:tcPr>
            <w:tcW w:w="55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Basic earnings per common share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21"/>
                <w:szCs w:val="21"/>
                <w:color w:val="auto"/>
              </w:rPr>
            </w:pP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21"/>
                <w:szCs w:val="21"/>
                <w:color w:val="auto"/>
              </w:rPr>
            </w:pP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0.19</w:t>
            </w:r>
          </w:p>
        </w:tc>
      </w:tr>
      <w:tr>
        <w:trPr>
          <w:trHeight w:val="27"/>
        </w:trPr>
        <w:tc>
          <w:tcPr>
            <w:tcW w:w="5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0.19</w:t>
            </w:r>
          </w:p>
        </w:tc>
      </w:tr>
      <w:tr>
        <w:trPr>
          <w:trHeight w:val="324"/>
        </w:trPr>
        <w:tc>
          <w:tcPr>
            <w:tcW w:w="5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options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890,952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1,122,797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967,156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1,125,624</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Anti-dilutive options not included in the computations</w:t>
            </w:r>
          </w:p>
        </w:tc>
        <w:tc>
          <w:tcPr>
            <w:tcW w:w="30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115,459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94,789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115,730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151,873</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Business Combinations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Sabine</w:t>
      </w:r>
    </w:p>
    <w:p>
      <w:pPr>
        <w:spacing w:after="0" w:line="90"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On March 7, 2014, the Company completed the acquisition of Sabine, Inc. ("Sabine") through a stock purchase agreement ("SPA"). Sabine manufactures, designs and sells Sacom professional wireless microphone systems for live and installed audio. It also makes FBX Feedback Exterminator for reliable automatic feedback control. With the addition of Sabine, ClearOne will have reliable and exclusive access to the wireless microphones that are a critical component of ClearOne’s complete microphone portfolio.</w:t>
      </w:r>
    </w:p>
    <w:p>
      <w:pPr>
        <w:spacing w:after="0" w:line="18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Pursuant to the SPA, the Company (i) paid initial consideration of $8,151 in cash, which is subject to a final working capital adjustment, (ii) accrued for possible additional earn-out payments over the next three years, estimated to be $667, and (iii) issued 150,000 shares of restricted common stock of the Company, valued at $1,679 (determined on the basis of the closing market price of the Company's stock on the acquisition date). The purchase price was paid out of cash on hand. The SPA contains representations, warranties and indemnifications customary for a transaction of this type.</w:t>
      </w:r>
    </w:p>
    <w:p>
      <w:pPr>
        <w:spacing w:after="0" w:line="171"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The estimated fair values of assets acquired and liabilities assumed are provisional and are based on the information that was available as of the acquisition date to estimate the fair value of assets acquired and liabilities assumed. The Company believes that such information provides a reasonable basis for estimating the fair values of assets acquired and liabilities assumed, but the Company is waiting for additional information necessary to finalize those fair values. The measurement period for purchase price allocation ends as soon as information on the facts and circumstances becomes available, but will not exceed twelve months from the date of acquisition. Adjustments in the purchase price allocation may require a recasting of the amounts allocated to intangible assets and possible allocation to goodwill, retroactive to the period in which the acquisition occurred. Therefore, the provisional measurements of fair value reflected are subject to change and such changes could be significant.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360" w:type="dxa"/>
            <w:vAlign w:val="bottom"/>
          </w:tcPr>
          <w:p>
            <w:pPr>
              <w:spacing w:after="0"/>
              <w:rPr>
                <w:sz w:val="20"/>
                <w:szCs w:val="20"/>
                <w:color w:val="auto"/>
              </w:rPr>
            </w:pPr>
            <w:r>
              <w:rPr>
                <w:rFonts w:ascii="Arial" w:cs="Arial" w:eastAsia="Arial" w:hAnsi="Arial"/>
                <w:sz w:val="18"/>
                <w:szCs w:val="18"/>
                <w:color w:val="auto"/>
              </w:rPr>
              <w:t>The following table summarizes the consideration paid for the acquisition:</w:t>
            </w:r>
          </w:p>
        </w:tc>
        <w:tc>
          <w:tcPr>
            <w:tcW w:w="30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378"/>
        </w:trPr>
        <w:tc>
          <w:tcPr>
            <w:tcW w:w="9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jc w:val="right"/>
              <w:ind w:right="390"/>
              <w:spacing w:after="0"/>
              <w:rPr>
                <w:sz w:val="20"/>
                <w:szCs w:val="20"/>
                <w:color w:val="auto"/>
              </w:rPr>
            </w:pPr>
            <w:r>
              <w:rPr>
                <w:rFonts w:ascii="Arial" w:cs="Arial" w:eastAsia="Arial" w:hAnsi="Arial"/>
                <w:sz w:val="18"/>
                <w:szCs w:val="18"/>
                <w:b w:val="1"/>
                <w:bCs w:val="1"/>
                <w:color w:val="auto"/>
              </w:rPr>
              <w:t>Consideration</w:t>
            </w:r>
          </w:p>
        </w:tc>
      </w:tr>
      <w:tr>
        <w:trPr>
          <w:trHeight w:val="27"/>
        </w:trPr>
        <w:tc>
          <w:tcPr>
            <w:tcW w:w="9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Cash</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8,151</w:t>
            </w:r>
          </w:p>
        </w:tc>
      </w:tr>
      <w:tr>
        <w:trPr>
          <w:trHeight w:val="261"/>
        </w:trPr>
        <w:tc>
          <w:tcPr>
            <w:tcW w:w="9360" w:type="dxa"/>
            <w:vAlign w:val="bottom"/>
          </w:tcPr>
          <w:p>
            <w:pPr>
              <w:ind w:left="40"/>
              <w:spacing w:after="0"/>
              <w:rPr>
                <w:sz w:val="20"/>
                <w:szCs w:val="20"/>
                <w:color w:val="auto"/>
              </w:rPr>
            </w:pPr>
            <w:r>
              <w:rPr>
                <w:rFonts w:ascii="Arial" w:cs="Arial" w:eastAsia="Arial" w:hAnsi="Arial"/>
                <w:sz w:val="20"/>
                <w:szCs w:val="20"/>
                <w:color w:val="auto"/>
              </w:rPr>
              <w:t>Common stock</w:t>
            </w:r>
          </w:p>
        </w:tc>
        <w:tc>
          <w:tcPr>
            <w:tcW w:w="300" w:type="dxa"/>
            <w:vAlign w:val="bottom"/>
          </w:tcPr>
          <w:p>
            <w:pPr>
              <w:spacing w:after="0"/>
              <w:rPr>
                <w:sz w:val="22"/>
                <w:szCs w:val="22"/>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1,679</w:t>
            </w:r>
          </w:p>
        </w:tc>
      </w:tr>
      <w:tr>
        <w:trPr>
          <w:trHeight w:val="23"/>
        </w:trPr>
        <w:tc>
          <w:tcPr>
            <w:tcW w:w="9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8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Contingent consideration</w:t>
            </w:r>
          </w:p>
        </w:tc>
        <w:tc>
          <w:tcPr>
            <w:tcW w:w="300" w:type="dxa"/>
            <w:vAlign w:val="bottom"/>
            <w:tcBorders>
              <w:bottom w:val="single" w:sz="8" w:color="CCEEFF"/>
            </w:tcBorders>
            <w:shd w:val="clear" w:color="auto" w:fill="CCEEFF"/>
          </w:tcPr>
          <w:p>
            <w:pPr>
              <w:spacing w:after="0"/>
              <w:rPr>
                <w:sz w:val="24"/>
                <w:szCs w:val="24"/>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667</w:t>
            </w:r>
          </w:p>
        </w:tc>
      </w:tr>
      <w:tr>
        <w:trPr>
          <w:trHeight w:val="259"/>
        </w:trPr>
        <w:tc>
          <w:tcPr>
            <w:tcW w:w="9360" w:type="dxa"/>
            <w:vAlign w:val="bottom"/>
          </w:tcPr>
          <w:p>
            <w:pPr>
              <w:ind w:left="40"/>
              <w:spacing w:after="0"/>
              <w:rPr>
                <w:sz w:val="20"/>
                <w:szCs w:val="20"/>
                <w:color w:val="auto"/>
              </w:rPr>
            </w:pPr>
            <w:r>
              <w:rPr>
                <w:rFonts w:ascii="Arial" w:cs="Arial" w:eastAsia="Arial" w:hAnsi="Arial"/>
                <w:sz w:val="20"/>
                <w:szCs w:val="20"/>
                <w:color w:val="auto"/>
              </w:rPr>
              <w:t>Total</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10,497</w:t>
            </w:r>
          </w:p>
        </w:tc>
      </w:tr>
      <w:tr>
        <w:trPr>
          <w:trHeight w:val="20"/>
        </w:trPr>
        <w:tc>
          <w:tcPr>
            <w:tcW w:w="9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identified assets and liabilities acquired was as follows:</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1" w:right="2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 – 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80" w:type="dxa"/>
            <w:vAlign w:val="bottom"/>
          </w:tcPr>
          <w:p>
            <w:pPr>
              <w:jc w:val="right"/>
              <w:ind w:right="55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93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Accounts receivable</w:t>
            </w:r>
          </w:p>
        </w:tc>
        <w:tc>
          <w:tcPr>
            <w:tcW w:w="38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265</w:t>
            </w:r>
          </w:p>
        </w:tc>
      </w:tr>
      <w:tr>
        <w:trPr>
          <w:trHeight w:val="27"/>
        </w:trPr>
        <w:tc>
          <w:tcPr>
            <w:tcW w:w="9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3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844</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Prepaid and other</w:t>
            </w:r>
          </w:p>
        </w:tc>
        <w:tc>
          <w:tcPr>
            <w:tcW w:w="38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116</w:t>
            </w:r>
          </w:p>
        </w:tc>
      </w:tr>
      <w:tr>
        <w:trPr>
          <w:trHeight w:val="27"/>
        </w:trPr>
        <w:tc>
          <w:tcPr>
            <w:tcW w:w="9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Intangibles</w:t>
            </w:r>
          </w:p>
        </w:tc>
        <w:tc>
          <w:tcPr>
            <w:tcW w:w="3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3,180</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38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292</w:t>
            </w:r>
          </w:p>
        </w:tc>
      </w:tr>
      <w:tr>
        <w:trPr>
          <w:trHeight w:val="27"/>
        </w:trPr>
        <w:tc>
          <w:tcPr>
            <w:tcW w:w="9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6,545</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Trade accounts payable</w:t>
            </w:r>
          </w:p>
        </w:tc>
        <w:tc>
          <w:tcPr>
            <w:tcW w:w="3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(420)</w:t>
            </w:r>
          </w:p>
        </w:tc>
      </w:tr>
      <w:tr>
        <w:trPr>
          <w:trHeight w:val="27"/>
        </w:trPr>
        <w:tc>
          <w:tcPr>
            <w:tcW w:w="9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Stock registration costs</w:t>
            </w:r>
          </w:p>
        </w:tc>
        <w:tc>
          <w:tcPr>
            <w:tcW w:w="3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7"/>
        </w:trPr>
        <w:tc>
          <w:tcPr>
            <w:tcW w:w="93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57"/>
        </w:trPr>
        <w:tc>
          <w:tcPr>
            <w:tcW w:w="9360" w:type="dxa"/>
            <w:vAlign w:val="bottom"/>
          </w:tcPr>
          <w:p>
            <w:pPr>
              <w:ind w:left="4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10,497</w:t>
            </w:r>
          </w:p>
        </w:tc>
      </w:tr>
      <w:tr>
        <w:trPr>
          <w:trHeight w:val="20"/>
        </w:trPr>
        <w:tc>
          <w:tcPr>
            <w:tcW w:w="9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accounts receivable acquired is $265 which is net of an allowance for doubtful accounts of $2.</w:t>
      </w:r>
    </w:p>
    <w:p>
      <w:pPr>
        <w:spacing w:after="0" w:line="225" w:lineRule="exact"/>
        <w:rPr>
          <w:sz w:val="20"/>
          <w:szCs w:val="20"/>
          <w:color w:val="auto"/>
        </w:rPr>
      </w:pPr>
    </w:p>
    <w:p>
      <w:pPr>
        <w:ind w:right="580"/>
        <w:spacing w:after="0" w:line="286" w:lineRule="auto"/>
        <w:rPr>
          <w:sz w:val="20"/>
          <w:szCs w:val="20"/>
          <w:color w:val="auto"/>
        </w:rPr>
      </w:pPr>
      <w:r>
        <w:rPr>
          <w:rFonts w:ascii="Arial" w:cs="Arial" w:eastAsia="Arial" w:hAnsi="Arial"/>
          <w:sz w:val="17"/>
          <w:szCs w:val="17"/>
          <w:color w:val="auto"/>
        </w:rPr>
        <w:t>The goodwill of $6,545 related to the acquisition of of Sabine is composed of expected synergies in utilizing Sabine technology in ClearOne product offerings, reduction in future combined research and development expenses, and intangible assets including acquired workforce that do not qualify for separate recognition. The goodwill balance of $6,545 related to the acquisition of Sabine is deductible for tax purposes.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Supplemental Pro Forma Information:</w:t>
      </w:r>
    </w:p>
    <w:p>
      <w:pPr>
        <w:spacing w:after="0" w:line="225" w:lineRule="exact"/>
        <w:rPr>
          <w:sz w:val="20"/>
          <w:szCs w:val="20"/>
          <w:color w:val="auto"/>
        </w:rPr>
      </w:pPr>
    </w:p>
    <w:p>
      <w:pPr>
        <w:ind w:left="860" w:hanging="204"/>
        <w:spacing w:after="0"/>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 and net loss from the Sabine business from March 8, 2014 to June 30, 2014 was $1,276 and $120 respectively.</w:t>
      </w:r>
    </w:p>
    <w:p>
      <w:pPr>
        <w:spacing w:after="0" w:line="23" w:lineRule="exact"/>
        <w:rPr>
          <w:rFonts w:ascii="Arial" w:cs="Arial" w:eastAsia="Arial" w:hAnsi="Arial"/>
          <w:sz w:val="18"/>
          <w:szCs w:val="18"/>
          <w:color w:val="auto"/>
        </w:rPr>
      </w:pPr>
    </w:p>
    <w:p>
      <w:pPr>
        <w:ind w:left="860" w:hanging="204"/>
        <w:spacing w:after="0"/>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 and earnings of the combined entity as though the business combination occurred as of January 1, 2013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500" w:type="dxa"/>
            <w:vAlign w:val="bottom"/>
            <w:gridSpan w:val="4"/>
          </w:tcPr>
          <w:p>
            <w:pPr>
              <w:jc w:val="right"/>
              <w:ind w:right="494"/>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6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14,111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12,531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27,088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24,694</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Earnings</w:t>
            </w:r>
          </w:p>
        </w:tc>
        <w:tc>
          <w:tcPr>
            <w:tcW w:w="32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934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1,038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1,184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1,788</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common share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0.10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0.13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0.20</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Diluted earnings per common share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0.12</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0.19</w:t>
            </w:r>
          </w:p>
        </w:tc>
      </w:tr>
    </w:tbl>
    <w:p>
      <w:pPr>
        <w:spacing w:after="0" w:line="229" w:lineRule="exact"/>
        <w:rPr>
          <w:sz w:val="20"/>
          <w:szCs w:val="20"/>
          <w:color w:val="auto"/>
        </w:rPr>
      </w:pPr>
    </w:p>
    <w:p>
      <w:pPr>
        <w:ind w:right="460" w:firstLine="656"/>
        <w:spacing w:after="0" w:line="277" w:lineRule="auto"/>
        <w:tabs>
          <w:tab w:leader="none" w:pos="843"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There were no material, nonrecurring pro forma adjustments directly attributable to the acquisition included in this Supplemental Pro Forma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Spontania business of Spain-based Dialcom Networks, S.L.</w:t>
      </w:r>
    </w:p>
    <w:p>
      <w:pPr>
        <w:spacing w:after="0" w:line="225"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December 20, 2013 ClearOne, Inc. entered into an agreement to acquire the Spontania business of Spain-based Dialcom Networks, S.L. The Spontania purchase closed on April 1, 2014. The aggregate purchase price under the terms of the transaction was approximately €3.66 million in cash (approximately US$5.1 million), after certain closing adjustments. ClearOne did not assume any debt or cash. The cash purchase price was paid out of cash on hand. The addition of this technology completes the company’s strategy to build an all-inclusive video collaboration portfolio.</w:t>
      </w:r>
    </w:p>
    <w:p>
      <w:pPr>
        <w:spacing w:after="0" w:line="171"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The estimated fair values of assets acquired and liabilities assumed are provisional and are based on the information that was available as of the acquisition date to estimate the fair value of assets acquired and liabilities assumed. The Company believes that such information provides a reasonable basis for estimating the fair values of assets acquired and liabilities assumed, but the Company is waiting for additional information necessary to finalize those fair values. The measurement period for purchase price allocation ends as soon as information on the facts and circumstances becomes available, but will not exceed twelve months from the date of acquisition. Adjustments in the purchase price allocation may require a recasting of the amounts allocated to intangible assets and possible allocation to goodwill, retroactive to the period in which the acquisition occurred. Therefore, the provisional measurements of fair value reflected are subject to change and such changes could be significant.</w:t>
      </w:r>
    </w:p>
    <w:p>
      <w:pPr>
        <w:sectPr>
          <w:pgSz w:w="11900" w:h="16838" w:orient="portrait"/>
          <w:cols w:equalWidth="0" w:num="1">
            <w:col w:w="11420"/>
          </w:cols>
          <w:pgMar w:left="240" w:top="121" w:right="239" w:bottom="1440" w:gutter="0" w:footer="0" w:header="0"/>
        </w:sect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21" w:right="2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 – 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20" w:type="dxa"/>
            <w:vAlign w:val="bottom"/>
            <w:gridSpan w:val="2"/>
          </w:tcPr>
          <w:p>
            <w:pPr>
              <w:spacing w:after="0"/>
              <w:rPr>
                <w:sz w:val="20"/>
                <w:szCs w:val="20"/>
                <w:color w:val="auto"/>
              </w:rPr>
            </w:pPr>
            <w:r>
              <w:rPr>
                <w:rFonts w:ascii="Arial" w:cs="Arial" w:eastAsia="Arial" w:hAnsi="Arial"/>
                <w:sz w:val="18"/>
                <w:szCs w:val="18"/>
                <w:color w:val="auto"/>
              </w:rPr>
              <w:t>The fair value of identified assets and liabilities acquired was as follows:</w:t>
            </w:r>
          </w:p>
        </w:tc>
        <w:tc>
          <w:tcPr>
            <w:tcW w:w="2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78"/>
        </w:trPr>
        <w:tc>
          <w:tcPr>
            <w:tcW w:w="112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jc w:val="right"/>
              <w:ind w:right="35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1120" w:type="dxa"/>
            <w:vAlign w:val="bottom"/>
          </w:tcPr>
          <w:p>
            <w:pPr>
              <w:spacing w:after="0"/>
              <w:rPr>
                <w:sz w:val="2"/>
                <w:szCs w:val="2"/>
                <w:color w:val="auto"/>
              </w:rPr>
            </w:pPr>
          </w:p>
        </w:tc>
        <w:tc>
          <w:tcPr>
            <w:tcW w:w="7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1120" w:type="dxa"/>
            <w:vAlign w:val="bottom"/>
          </w:tcPr>
          <w:p>
            <w:pPr>
              <w:spacing w:after="0"/>
              <w:rPr>
                <w:sz w:val="21"/>
                <w:szCs w:val="21"/>
                <w:color w:val="auto"/>
              </w:rPr>
            </w:pPr>
          </w:p>
        </w:tc>
        <w:tc>
          <w:tcPr>
            <w:tcW w:w="7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r>
      <w:tr>
        <w:trPr>
          <w:trHeight w:val="243"/>
        </w:trPr>
        <w:tc>
          <w:tcPr>
            <w:tcW w:w="1120" w:type="dxa"/>
            <w:vAlign w:val="bottom"/>
          </w:tcPr>
          <w:p>
            <w:pPr>
              <w:spacing w:after="0"/>
              <w:rPr>
                <w:sz w:val="21"/>
                <w:szCs w:val="21"/>
                <w:color w:val="auto"/>
              </w:rPr>
            </w:pPr>
          </w:p>
        </w:tc>
        <w:tc>
          <w:tcPr>
            <w:tcW w:w="7500" w:type="dxa"/>
            <w:vAlign w:val="bottom"/>
          </w:tcPr>
          <w:p>
            <w:pPr>
              <w:ind w:left="40"/>
              <w:spacing w:after="0"/>
              <w:rPr>
                <w:sz w:val="20"/>
                <w:szCs w:val="20"/>
                <w:color w:val="auto"/>
              </w:rPr>
            </w:pPr>
            <w:r>
              <w:rPr>
                <w:rFonts w:ascii="Arial" w:cs="Arial" w:eastAsia="Arial" w:hAnsi="Arial"/>
                <w:sz w:val="18"/>
                <w:szCs w:val="18"/>
                <w:color w:val="auto"/>
              </w:rPr>
              <w:t>Intangibles</w:t>
            </w:r>
          </w:p>
        </w:tc>
        <w:tc>
          <w:tcPr>
            <w:tcW w:w="2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2,531</w:t>
            </w:r>
          </w:p>
        </w:tc>
      </w:tr>
      <w:tr>
        <w:trPr>
          <w:trHeight w:val="27"/>
        </w:trPr>
        <w:tc>
          <w:tcPr>
            <w:tcW w:w="1120" w:type="dxa"/>
            <w:vAlign w:val="bottom"/>
          </w:tcPr>
          <w:p>
            <w:pPr>
              <w:spacing w:after="0"/>
              <w:rPr>
                <w:sz w:val="2"/>
                <w:szCs w:val="2"/>
                <w:color w:val="auto"/>
              </w:rPr>
            </w:pPr>
          </w:p>
        </w:tc>
        <w:tc>
          <w:tcPr>
            <w:tcW w:w="7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1120" w:type="dxa"/>
            <w:vAlign w:val="bottom"/>
          </w:tcPr>
          <w:p>
            <w:pPr>
              <w:spacing w:after="0"/>
              <w:rPr>
                <w:sz w:val="21"/>
                <w:szCs w:val="21"/>
                <w:color w:val="auto"/>
              </w:rPr>
            </w:pPr>
          </w:p>
        </w:tc>
        <w:tc>
          <w:tcPr>
            <w:tcW w:w="7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2,488</w:t>
            </w:r>
          </w:p>
        </w:tc>
      </w:tr>
      <w:tr>
        <w:trPr>
          <w:trHeight w:val="243"/>
        </w:trPr>
        <w:tc>
          <w:tcPr>
            <w:tcW w:w="1120" w:type="dxa"/>
            <w:vAlign w:val="bottom"/>
          </w:tcPr>
          <w:p>
            <w:pPr>
              <w:spacing w:after="0"/>
              <w:rPr>
                <w:sz w:val="21"/>
                <w:szCs w:val="21"/>
                <w:color w:val="auto"/>
              </w:rPr>
            </w:pPr>
          </w:p>
        </w:tc>
        <w:tc>
          <w:tcPr>
            <w:tcW w:w="7500" w:type="dxa"/>
            <w:vAlign w:val="bottom"/>
          </w:tcPr>
          <w:p>
            <w:pPr>
              <w:ind w:left="40"/>
              <w:spacing w:after="0"/>
              <w:rPr>
                <w:sz w:val="20"/>
                <w:szCs w:val="20"/>
                <w:color w:val="auto"/>
              </w:rPr>
            </w:pPr>
            <w:r>
              <w:rPr>
                <w:rFonts w:ascii="Arial" w:cs="Arial" w:eastAsia="Arial" w:hAnsi="Arial"/>
                <w:sz w:val="18"/>
                <w:szCs w:val="18"/>
                <w:color w:val="auto"/>
              </w:rPr>
              <w:t>Accrued liabilities</w:t>
            </w:r>
          </w:p>
        </w:tc>
        <w:tc>
          <w:tcPr>
            <w:tcW w:w="2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1120" w:type="dxa"/>
            <w:vAlign w:val="bottom"/>
          </w:tcPr>
          <w:p>
            <w:pPr>
              <w:spacing w:after="0"/>
              <w:rPr>
                <w:sz w:val="2"/>
                <w:szCs w:val="2"/>
                <w:color w:val="auto"/>
              </w:rPr>
            </w:pPr>
          </w:p>
        </w:tc>
        <w:tc>
          <w:tcPr>
            <w:tcW w:w="75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1120" w:type="dxa"/>
            <w:vAlign w:val="bottom"/>
          </w:tcPr>
          <w:p>
            <w:pPr>
              <w:spacing w:after="0"/>
              <w:rPr>
                <w:sz w:val="22"/>
                <w:szCs w:val="22"/>
                <w:color w:val="auto"/>
              </w:rPr>
            </w:pPr>
          </w:p>
        </w:tc>
        <w:tc>
          <w:tcPr>
            <w:tcW w:w="7500" w:type="dxa"/>
            <w:vAlign w:val="bottom"/>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5,052</w:t>
            </w:r>
          </w:p>
        </w:tc>
      </w:tr>
      <w:tr>
        <w:trPr>
          <w:trHeight w:val="20"/>
        </w:trPr>
        <w:tc>
          <w:tcPr>
            <w:tcW w:w="11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goodwill of $2,488 relates to the acquisition of Spontania cloud-based technology and intangible assets including acquired workforce that does not qualify for separate recognition.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Supplemental Pro Forma Information:</w:t>
      </w:r>
    </w:p>
    <w:p>
      <w:pPr>
        <w:spacing w:after="0" w:line="225" w:lineRule="exact"/>
        <w:rPr>
          <w:sz w:val="20"/>
          <w:szCs w:val="20"/>
          <w:color w:val="auto"/>
        </w:rPr>
      </w:pPr>
    </w:p>
    <w:p>
      <w:pPr>
        <w:ind w:left="860" w:hanging="204"/>
        <w:spacing w:after="0"/>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Revenue and net loss from the Spontania business from April 1, 2014 to June 30, 2014 was $151 and $229 respectively.</w:t>
      </w:r>
    </w:p>
    <w:p>
      <w:pPr>
        <w:spacing w:after="0" w:line="23" w:lineRule="exact"/>
        <w:rPr>
          <w:rFonts w:ascii="Arial" w:cs="Arial" w:eastAsia="Arial" w:hAnsi="Arial"/>
          <w:sz w:val="18"/>
          <w:szCs w:val="18"/>
          <w:color w:val="auto"/>
        </w:rPr>
      </w:pPr>
    </w:p>
    <w:p>
      <w:pPr>
        <w:ind w:right="180" w:firstLine="656"/>
        <w:spacing w:after="0" w:line="323" w:lineRule="auto"/>
        <w:tabs>
          <w:tab w:leader="none" w:pos="843" w:val="left"/>
        </w:tabs>
        <w:numPr>
          <w:ilvl w:val="0"/>
          <w:numId w:val="6"/>
        </w:numPr>
        <w:rPr>
          <w:rFonts w:ascii="Arial" w:cs="Arial" w:eastAsia="Arial" w:hAnsi="Arial"/>
          <w:sz w:val="16"/>
          <w:szCs w:val="16"/>
          <w:color w:val="auto"/>
        </w:rPr>
      </w:pPr>
      <w:r>
        <w:rPr>
          <w:rFonts w:ascii="Arial" w:cs="Arial" w:eastAsia="Arial" w:hAnsi="Arial"/>
          <w:sz w:val="16"/>
          <w:szCs w:val="16"/>
          <w:color w:val="auto"/>
        </w:rPr>
        <w:t>Revenue and earnings of the combined entity as though the business combination occurred as of January 1, 2013 is not available. The Spontania business was part of a business unit of Dialcom Networks, S.L., and thus separate stand-alone financial information for Spontania is not available.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 Expenses</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 incurred $437 in total acquisition related expenses, all of which are categorized under General and administrative expenses in the Consolidated Statement of Operations for the six months ended June 30,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Marketable Securities</w:t>
      </w:r>
    </w:p>
    <w:p>
      <w:pPr>
        <w:spacing w:after="0" w:line="310" w:lineRule="exact"/>
        <w:rPr>
          <w:sz w:val="20"/>
          <w:szCs w:val="20"/>
          <w:color w:val="auto"/>
        </w:rPr>
      </w:pPr>
    </w:p>
    <w:p>
      <w:pPr>
        <w:ind w:right="380"/>
        <w:spacing w:after="0" w:line="312" w:lineRule="auto"/>
        <w:rPr>
          <w:sz w:val="20"/>
          <w:szCs w:val="20"/>
          <w:color w:val="auto"/>
        </w:rPr>
      </w:pPr>
      <w:r>
        <w:rPr>
          <w:rFonts w:ascii="Arial" w:cs="Arial" w:eastAsia="Arial" w:hAnsi="Arial"/>
          <w:sz w:val="16"/>
          <w:szCs w:val="16"/>
          <w:color w:val="auto"/>
        </w:rPr>
        <w:t>The Company has classified its marketable securities as available-for-sale securities. These securities are carried at estimated fair value with unrealized holding gains and losses included in accumulated other comprehensive income/loss in stockholders' equity until realized. Gains and losses on marketable security transactions are reported on the specific-identification method. Dividend and interest income are recognized when earned.</w:t>
      </w:r>
    </w:p>
    <w:p>
      <w:pPr>
        <w:spacing w:after="0" w:line="9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amortized cost, gross unrealized holding gains, gross unrealized holding losses, and fair value for available-for-sale securities by major security type and class of security at June 30, 2014 and December 31, 2013 were as follows: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6"/>
              </w:rPr>
              <w:t>Gross</w:t>
            </w:r>
          </w:p>
        </w:tc>
        <w:tc>
          <w:tcPr>
            <w:tcW w:w="22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6"/>
              </w:rPr>
              <w:t>Gross</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5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unrealized</w:t>
            </w:r>
          </w:p>
        </w:tc>
        <w:tc>
          <w:tcPr>
            <w:tcW w:w="22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unrealized</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5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4"/>
              </w:rPr>
              <w:t>Amortized</w:t>
            </w:r>
          </w:p>
        </w:tc>
        <w:tc>
          <w:tcPr>
            <w:tcW w:w="220" w:type="dxa"/>
            <w:vAlign w:val="bottom"/>
          </w:tcPr>
          <w:p>
            <w:pPr>
              <w:spacing w:after="0"/>
              <w:rPr>
                <w:sz w:val="17"/>
                <w:szCs w:val="17"/>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9"/>
              </w:rPr>
              <w:t>holding</w:t>
            </w:r>
          </w:p>
        </w:tc>
        <w:tc>
          <w:tcPr>
            <w:tcW w:w="22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holding</w:t>
            </w:r>
          </w:p>
        </w:tc>
        <w:tc>
          <w:tcPr>
            <w:tcW w:w="220" w:type="dxa"/>
            <w:vAlign w:val="bottom"/>
          </w:tcPr>
          <w:p>
            <w:pPr>
              <w:spacing w:after="0"/>
              <w:rPr>
                <w:sz w:val="17"/>
                <w:szCs w:val="17"/>
                <w:color w:val="auto"/>
              </w:rPr>
            </w:pPr>
          </w:p>
        </w:tc>
        <w:tc>
          <w:tcPr>
            <w:tcW w:w="1140" w:type="dxa"/>
            <w:vAlign w:val="bottom"/>
          </w:tcPr>
          <w:p>
            <w:pPr>
              <w:jc w:val="right"/>
              <w:ind w:right="254"/>
              <w:spacing w:after="0"/>
              <w:rPr>
                <w:sz w:val="20"/>
                <w:szCs w:val="20"/>
                <w:color w:val="auto"/>
              </w:rPr>
            </w:pPr>
            <w:r>
              <w:rPr>
                <w:rFonts w:ascii="Arial" w:cs="Arial" w:eastAsia="Arial" w:hAnsi="Arial"/>
                <w:sz w:val="16"/>
                <w:szCs w:val="16"/>
                <w:b w:val="1"/>
                <w:bCs w:val="1"/>
                <w:color w:val="auto"/>
              </w:rPr>
              <w:t>Estimated</w:t>
            </w:r>
          </w:p>
        </w:tc>
      </w:tr>
      <w:tr>
        <w:trPr>
          <w:trHeight w:val="210"/>
        </w:trPr>
        <w:tc>
          <w:tcPr>
            <w:tcW w:w="5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78"/>
              </w:rPr>
              <w:t>cost</w:t>
            </w:r>
          </w:p>
        </w:tc>
        <w:tc>
          <w:tcPr>
            <w:tcW w:w="22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6"/>
              </w:rPr>
              <w:t>gains</w:t>
            </w:r>
          </w:p>
        </w:tc>
        <w:tc>
          <w:tcPr>
            <w:tcW w:w="22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76"/>
              </w:rPr>
              <w:t>losses</w:t>
            </w:r>
          </w:p>
        </w:tc>
        <w:tc>
          <w:tcPr>
            <w:tcW w:w="220" w:type="dxa"/>
            <w:vAlign w:val="bottom"/>
          </w:tcPr>
          <w:p>
            <w:pPr>
              <w:spacing w:after="0"/>
              <w:rPr>
                <w:sz w:val="18"/>
                <w:szCs w:val="18"/>
                <w:color w:val="auto"/>
              </w:rPr>
            </w:pPr>
          </w:p>
        </w:tc>
        <w:tc>
          <w:tcPr>
            <w:tcW w:w="1140" w:type="dxa"/>
            <w:vAlign w:val="bottom"/>
          </w:tcPr>
          <w:p>
            <w:pPr>
              <w:jc w:val="right"/>
              <w:ind w:right="274"/>
              <w:spacing w:after="0"/>
              <w:rPr>
                <w:sz w:val="20"/>
                <w:szCs w:val="20"/>
                <w:color w:val="auto"/>
              </w:rPr>
            </w:pPr>
            <w:r>
              <w:rPr>
                <w:rFonts w:ascii="Arial" w:cs="Arial" w:eastAsia="Arial" w:hAnsi="Arial"/>
                <w:sz w:val="16"/>
                <w:szCs w:val="16"/>
                <w:b w:val="1"/>
                <w:bCs w:val="1"/>
                <w:color w:val="auto"/>
              </w:rPr>
              <w:t>fair value</w:t>
            </w:r>
          </w:p>
        </w:tc>
      </w:tr>
      <w:tr>
        <w:trPr>
          <w:trHeight w:val="33"/>
        </w:trPr>
        <w:tc>
          <w:tcPr>
            <w:tcW w:w="5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June 30, 2014</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580" w:type="dxa"/>
            <w:vAlign w:val="bottom"/>
          </w:tcPr>
          <w:p>
            <w:pPr>
              <w:ind w:left="580"/>
              <w:spacing w:after="0"/>
              <w:rPr>
                <w:sz w:val="20"/>
                <w:szCs w:val="20"/>
                <w:color w:val="auto"/>
              </w:rPr>
            </w:pPr>
            <w:r>
              <w:rPr>
                <w:rFonts w:ascii="Arial" w:cs="Arial" w:eastAsia="Arial" w:hAnsi="Arial"/>
                <w:sz w:val="18"/>
                <w:szCs w:val="18"/>
                <w:color w:val="auto"/>
              </w:rPr>
              <w:t>Available-for-sale securities:</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Corporate bonds and notes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19,458</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214</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19,670</w:t>
            </w:r>
          </w:p>
        </w:tc>
      </w:tr>
      <w:tr>
        <w:trPr>
          <w:trHeight w:val="243"/>
        </w:trPr>
        <w:tc>
          <w:tcPr>
            <w:tcW w:w="5580" w:type="dxa"/>
            <w:vAlign w:val="bottom"/>
          </w:tcPr>
          <w:p>
            <w:pPr>
              <w:ind w:left="1160"/>
              <w:spacing w:after="0"/>
              <w:rPr>
                <w:sz w:val="20"/>
                <w:szCs w:val="20"/>
                <w:color w:val="auto"/>
              </w:rPr>
            </w:pPr>
            <w:r>
              <w:rPr>
                <w:rFonts w:ascii="Arial" w:cs="Arial" w:eastAsia="Arial" w:hAnsi="Arial"/>
                <w:sz w:val="18"/>
                <w:szCs w:val="18"/>
                <w:color w:val="auto"/>
              </w:rPr>
              <w:t>Municipal bonds</w:t>
            </w:r>
          </w:p>
        </w:tc>
        <w:tc>
          <w:tcPr>
            <w:tcW w:w="2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6,262</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6,306</w:t>
            </w:r>
          </w:p>
        </w:tc>
      </w:tr>
      <w:tr>
        <w:trPr>
          <w:trHeight w:val="27"/>
        </w:trPr>
        <w:tc>
          <w:tcPr>
            <w:tcW w:w="5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558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Total available-for-sale securities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25,720</w:t>
            </w: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259</w:t>
            </w: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25,976</w:t>
            </w:r>
          </w:p>
        </w:tc>
      </w:tr>
      <w:tr>
        <w:trPr>
          <w:trHeight w:val="20"/>
        </w:trPr>
        <w:tc>
          <w:tcPr>
            <w:tcW w:w="5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662"/>
        </w:trPr>
        <w:tc>
          <w:tcPr>
            <w:tcW w:w="558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8</w:t>
            </w: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 – 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1120" w:type="dxa"/>
        <w:tblCellMar>
          <w:top w:w="0" w:type="dxa"/>
          <w:left w:w="0" w:type="dxa"/>
          <w:bottom w:w="0" w:type="dxa"/>
          <w:right w:w="0" w:type="dxa"/>
        </w:tblCellMar>
      </w:tblPr>
      <w:tr>
        <w:trPr>
          <w:trHeight w:val="203"/>
        </w:trPr>
        <w:tc>
          <w:tcPr>
            <w:tcW w:w="4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6"/>
              </w:rPr>
              <w:t>Gross</w:t>
            </w:r>
          </w:p>
        </w:tc>
        <w:tc>
          <w:tcPr>
            <w:tcW w:w="16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Gross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unrealized</w:t>
            </w:r>
          </w:p>
        </w:tc>
        <w:tc>
          <w:tcPr>
            <w:tcW w:w="16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unrealized</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Amortized</w:t>
            </w:r>
          </w:p>
        </w:tc>
        <w:tc>
          <w:tcPr>
            <w:tcW w:w="160" w:type="dxa"/>
            <w:vAlign w:val="bottom"/>
          </w:tcPr>
          <w:p>
            <w:pPr>
              <w:spacing w:after="0"/>
              <w:rPr>
                <w:sz w:val="17"/>
                <w:szCs w:val="17"/>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holding</w:t>
            </w:r>
          </w:p>
        </w:tc>
        <w:tc>
          <w:tcPr>
            <w:tcW w:w="16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holding</w:t>
            </w:r>
          </w:p>
        </w:tc>
        <w:tc>
          <w:tcPr>
            <w:tcW w:w="160" w:type="dxa"/>
            <w:vAlign w:val="bottom"/>
          </w:tcPr>
          <w:p>
            <w:pPr>
              <w:spacing w:after="0"/>
              <w:rPr>
                <w:sz w:val="17"/>
                <w:szCs w:val="17"/>
                <w:color w:val="auto"/>
              </w:rPr>
            </w:pPr>
          </w:p>
        </w:tc>
        <w:tc>
          <w:tcPr>
            <w:tcW w:w="960" w:type="dxa"/>
            <w:vAlign w:val="bottom"/>
          </w:tcPr>
          <w:p>
            <w:pPr>
              <w:jc w:val="right"/>
              <w:ind w:right="134"/>
              <w:spacing w:after="0"/>
              <w:rPr>
                <w:sz w:val="20"/>
                <w:szCs w:val="20"/>
                <w:color w:val="auto"/>
              </w:rPr>
            </w:pPr>
            <w:r>
              <w:rPr>
                <w:rFonts w:ascii="Arial" w:cs="Arial" w:eastAsia="Arial" w:hAnsi="Arial"/>
                <w:sz w:val="16"/>
                <w:szCs w:val="16"/>
                <w:b w:val="1"/>
                <w:bCs w:val="1"/>
                <w:color w:val="auto"/>
                <w:w w:val="94"/>
              </w:rPr>
              <w:t>Estimated</w:t>
            </w:r>
          </w:p>
        </w:tc>
      </w:tr>
      <w:tr>
        <w:trPr>
          <w:trHeight w:val="210"/>
        </w:trPr>
        <w:tc>
          <w:tcPr>
            <w:tcW w:w="4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4"/>
              </w:rPr>
              <w:t>cost</w:t>
            </w:r>
          </w:p>
        </w:tc>
        <w:tc>
          <w:tcPr>
            <w:tcW w:w="16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6"/>
              </w:rPr>
              <w:t>gains</w:t>
            </w:r>
          </w:p>
        </w:tc>
        <w:tc>
          <w:tcPr>
            <w:tcW w:w="16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76"/>
              </w:rPr>
              <w:t>losses</w:t>
            </w:r>
          </w:p>
        </w:tc>
        <w:tc>
          <w:tcPr>
            <w:tcW w:w="160" w:type="dxa"/>
            <w:vAlign w:val="bottom"/>
          </w:tcPr>
          <w:p>
            <w:pPr>
              <w:spacing w:after="0"/>
              <w:rPr>
                <w:sz w:val="18"/>
                <w:szCs w:val="18"/>
                <w:color w:val="auto"/>
              </w:rPr>
            </w:pPr>
          </w:p>
        </w:tc>
        <w:tc>
          <w:tcPr>
            <w:tcW w:w="960" w:type="dxa"/>
            <w:vAlign w:val="bottom"/>
          </w:tcPr>
          <w:p>
            <w:pPr>
              <w:jc w:val="right"/>
              <w:ind w:right="154"/>
              <w:spacing w:after="0"/>
              <w:rPr>
                <w:sz w:val="20"/>
                <w:szCs w:val="20"/>
                <w:color w:val="auto"/>
              </w:rPr>
            </w:pPr>
            <w:r>
              <w:rPr>
                <w:rFonts w:ascii="Arial" w:cs="Arial" w:eastAsia="Arial" w:hAnsi="Arial"/>
                <w:sz w:val="16"/>
                <w:szCs w:val="16"/>
                <w:b w:val="1"/>
                <w:bCs w:val="1"/>
                <w:color w:val="auto"/>
                <w:w w:val="99"/>
              </w:rPr>
              <w:t>fair value</w:t>
            </w:r>
          </w:p>
        </w:tc>
      </w:tr>
      <w:tr>
        <w:trPr>
          <w:trHeight w:val="33"/>
        </w:trPr>
        <w:tc>
          <w:tcPr>
            <w:tcW w:w="4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2013</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280" w:type="dxa"/>
            <w:vAlign w:val="bottom"/>
          </w:tcPr>
          <w:p>
            <w:pPr>
              <w:ind w:left="420"/>
              <w:spacing w:after="0"/>
              <w:rPr>
                <w:sz w:val="20"/>
                <w:szCs w:val="20"/>
                <w:color w:val="auto"/>
              </w:rPr>
            </w:pPr>
            <w:r>
              <w:rPr>
                <w:rFonts w:ascii="Arial" w:cs="Arial" w:eastAsia="Arial" w:hAnsi="Arial"/>
                <w:sz w:val="18"/>
                <w:szCs w:val="18"/>
                <w:color w:val="auto"/>
              </w:rPr>
              <w:t>Available-for-sale securities:</w:t>
            </w: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4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Corporate bonds and notes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18,832</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18,857</w:t>
            </w:r>
          </w:p>
        </w:tc>
      </w:tr>
      <w:tr>
        <w:trPr>
          <w:trHeight w:val="243"/>
        </w:trPr>
        <w:tc>
          <w:tcPr>
            <w:tcW w:w="4280" w:type="dxa"/>
            <w:vAlign w:val="bottom"/>
          </w:tcPr>
          <w:p>
            <w:pPr>
              <w:ind w:left="840"/>
              <w:spacing w:after="0"/>
              <w:rPr>
                <w:sz w:val="20"/>
                <w:szCs w:val="20"/>
                <w:color w:val="auto"/>
              </w:rPr>
            </w:pPr>
            <w:r>
              <w:rPr>
                <w:rFonts w:ascii="Arial" w:cs="Arial" w:eastAsia="Arial" w:hAnsi="Arial"/>
                <w:sz w:val="18"/>
                <w:szCs w:val="18"/>
                <w:color w:val="auto"/>
              </w:rPr>
              <w:t>Municipal bonds</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6,658</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6,669</w:t>
            </w:r>
          </w:p>
        </w:tc>
      </w:tr>
      <w:tr>
        <w:trPr>
          <w:trHeight w:val="27"/>
        </w:trPr>
        <w:tc>
          <w:tcPr>
            <w:tcW w:w="4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42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 available-for-sale securities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25,490</w:t>
            </w: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25,526</w:t>
            </w:r>
          </w:p>
        </w:tc>
      </w:tr>
      <w:tr>
        <w:trPr>
          <w:trHeight w:val="20"/>
        </w:trPr>
        <w:tc>
          <w:tcPr>
            <w:tcW w:w="4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Maturities of marketable securities classified as available-for-sale securities were as follows at June 30, 2014:</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gridSpan w:val="2"/>
          </w:tcPr>
          <w:p>
            <w:pPr>
              <w:jc w:val="right"/>
              <w:ind w:right="780"/>
              <w:spacing w:after="0"/>
              <w:rPr>
                <w:sz w:val="20"/>
                <w:szCs w:val="20"/>
                <w:color w:val="auto"/>
              </w:rPr>
            </w:pPr>
            <w:r>
              <w:rPr>
                <w:rFonts w:ascii="Arial" w:cs="Arial" w:eastAsia="Arial" w:hAnsi="Arial"/>
                <w:sz w:val="16"/>
                <w:szCs w:val="16"/>
                <w:b w:val="1"/>
                <w:bCs w:val="1"/>
                <w:color w:val="auto"/>
              </w:rPr>
              <w:t>Amortized</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gridSpan w:val="2"/>
          </w:tcPr>
          <w:p>
            <w:pPr>
              <w:ind w:left="300"/>
              <w:spacing w:after="0"/>
              <w:rPr>
                <w:sz w:val="20"/>
                <w:szCs w:val="20"/>
                <w:color w:val="auto"/>
              </w:rPr>
            </w:pPr>
            <w:r>
              <w:rPr>
                <w:rFonts w:ascii="Arial" w:cs="Arial" w:eastAsia="Arial" w:hAnsi="Arial"/>
                <w:sz w:val="16"/>
                <w:szCs w:val="16"/>
                <w:b w:val="1"/>
                <w:bCs w:val="1"/>
                <w:color w:val="auto"/>
              </w:rPr>
              <w:t>Estimated</w:t>
            </w:r>
          </w:p>
        </w:tc>
        <w:tc>
          <w:tcPr>
            <w:tcW w:w="0" w:type="dxa"/>
            <w:vAlign w:val="bottom"/>
          </w:tcPr>
          <w:p>
            <w:pPr>
              <w:spacing w:after="0"/>
              <w:rPr>
                <w:sz w:val="1"/>
                <w:szCs w:val="1"/>
                <w:color w:val="auto"/>
              </w:rPr>
            </w:pPr>
          </w:p>
        </w:tc>
      </w:tr>
      <w:tr>
        <w:trPr>
          <w:trHeight w:val="210"/>
        </w:trPr>
        <w:tc>
          <w:tcPr>
            <w:tcW w:w="55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gridSpan w:val="2"/>
          </w:tcPr>
          <w:p>
            <w:pPr>
              <w:jc w:val="right"/>
              <w:ind w:right="1020"/>
              <w:spacing w:after="0"/>
              <w:rPr>
                <w:sz w:val="20"/>
                <w:szCs w:val="20"/>
                <w:color w:val="auto"/>
              </w:rPr>
            </w:pPr>
            <w:r>
              <w:rPr>
                <w:rFonts w:ascii="Arial" w:cs="Arial" w:eastAsia="Arial" w:hAnsi="Arial"/>
                <w:sz w:val="16"/>
                <w:szCs w:val="16"/>
                <w:b w:val="1"/>
                <w:bCs w:val="1"/>
                <w:color w:val="auto"/>
              </w:rPr>
              <w:t>cost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ind w:left="320"/>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33"/>
        </w:trPr>
        <w:tc>
          <w:tcPr>
            <w:tcW w:w="556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June 30, 2014</w:t>
            </w:r>
          </w:p>
        </w:tc>
        <w:tc>
          <w:tcPr>
            <w:tcW w:w="16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60" w:type="dxa"/>
            <w:vAlign w:val="bottom"/>
          </w:tcPr>
          <w:p>
            <w:pPr>
              <w:ind w:left="1040"/>
              <w:spacing w:after="0"/>
              <w:rPr>
                <w:sz w:val="20"/>
                <w:szCs w:val="20"/>
                <w:color w:val="auto"/>
              </w:rPr>
            </w:pPr>
            <w:r>
              <w:rPr>
                <w:rFonts w:ascii="Arial" w:cs="Arial" w:eastAsia="Arial" w:hAnsi="Arial"/>
                <w:sz w:val="18"/>
                <w:szCs w:val="18"/>
                <w:color w:val="auto"/>
              </w:rPr>
              <w:t>Due within one year</w:t>
            </w:r>
          </w:p>
        </w:tc>
        <w:tc>
          <w:tcPr>
            <w:tcW w:w="1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5,392</w:t>
            </w:r>
          </w:p>
        </w:tc>
        <w:tc>
          <w:tcPr>
            <w:tcW w:w="120" w:type="dxa"/>
            <w:vAlign w:val="bottom"/>
          </w:tcPr>
          <w:p>
            <w:pPr>
              <w:spacing w:after="0"/>
              <w:rPr>
                <w:sz w:val="21"/>
                <w:szCs w:val="21"/>
                <w:color w:val="auto"/>
              </w:rPr>
            </w:pPr>
          </w:p>
        </w:tc>
        <w:tc>
          <w:tcPr>
            <w:tcW w:w="3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5,401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Due after one year through five years</w:t>
            </w:r>
          </w:p>
        </w:tc>
        <w:tc>
          <w:tcPr>
            <w:tcW w:w="16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19,220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19,451</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60" w:type="dxa"/>
            <w:vAlign w:val="bottom"/>
          </w:tcPr>
          <w:p>
            <w:pPr>
              <w:ind w:left="1040"/>
              <w:spacing w:after="0"/>
              <w:rPr>
                <w:sz w:val="20"/>
                <w:szCs w:val="20"/>
                <w:color w:val="auto"/>
              </w:rPr>
            </w:pPr>
            <w:r>
              <w:rPr>
                <w:rFonts w:ascii="Arial" w:cs="Arial" w:eastAsia="Arial" w:hAnsi="Arial"/>
                <w:sz w:val="18"/>
                <w:szCs w:val="18"/>
                <w:color w:val="auto"/>
              </w:rPr>
              <w:t>Due after five years through ten years</w:t>
            </w:r>
          </w:p>
        </w:tc>
        <w:tc>
          <w:tcPr>
            <w:tcW w:w="1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1,108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1,124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6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available-for-sale securities</w:t>
            </w:r>
          </w:p>
        </w:tc>
        <w:tc>
          <w:tcPr>
            <w:tcW w:w="16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25,720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25,976</w:t>
            </w:r>
          </w:p>
        </w:tc>
        <w:tc>
          <w:tcPr>
            <w:tcW w:w="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spacing w:after="0"/>
              <w:rPr>
                <w:sz w:val="20"/>
                <w:szCs w:val="20"/>
                <w:color w:val="auto"/>
              </w:rPr>
            </w:pPr>
            <w:r>
              <w:rPr>
                <w:rFonts w:ascii="Arial" w:cs="Arial" w:eastAsia="Arial" w:hAnsi="Arial"/>
                <w:sz w:val="18"/>
                <w:szCs w:val="18"/>
                <w:b w:val="1"/>
                <w:bCs w:val="1"/>
                <w:color w:val="auto"/>
              </w:rPr>
              <w:t>4. Intangible Assets</w:t>
            </w:r>
          </w:p>
        </w:tc>
        <w:tc>
          <w:tcPr>
            <w:tcW w:w="16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560" w:type="dxa"/>
            <w:vAlign w:val="bottom"/>
            <w:vMerge w:val="continue"/>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200" w:type="dxa"/>
            <w:vAlign w:val="bottom"/>
            <w:gridSpan w:val="3"/>
          </w:tcPr>
          <w:p>
            <w:pPr>
              <w:spacing w:after="0"/>
              <w:rPr>
                <w:sz w:val="20"/>
                <w:szCs w:val="20"/>
                <w:color w:val="auto"/>
              </w:rPr>
            </w:pPr>
            <w:r>
              <w:rPr>
                <w:rFonts w:ascii="Arial" w:cs="Arial" w:eastAsia="Arial" w:hAnsi="Arial"/>
                <w:sz w:val="18"/>
                <w:szCs w:val="18"/>
                <w:color w:val="auto"/>
              </w:rPr>
              <w:t>Intangible assets as of June 30, 2014 and December 31, 2013 consisted of the following:</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5560" w:type="dxa"/>
            <w:vAlign w:val="bottom"/>
          </w:tcPr>
          <w:p>
            <w:pPr>
              <w:spacing w:after="0"/>
              <w:rPr>
                <w:sz w:val="24"/>
                <w:szCs w:val="24"/>
                <w:color w:val="auto"/>
              </w:rPr>
            </w:pPr>
          </w:p>
        </w:tc>
        <w:tc>
          <w:tcPr>
            <w:tcW w:w="1640" w:type="dxa"/>
            <w:vAlign w:val="bottom"/>
            <w:gridSpan w:val="2"/>
          </w:tcPr>
          <w:p>
            <w:pPr>
              <w:jc w:val="center"/>
              <w:ind w:left="52"/>
              <w:spacing w:after="0"/>
              <w:rPr>
                <w:sz w:val="20"/>
                <w:szCs w:val="20"/>
                <w:color w:val="auto"/>
              </w:rPr>
            </w:pPr>
            <w:r>
              <w:rPr>
                <w:rFonts w:ascii="Arial" w:cs="Arial" w:eastAsia="Arial" w:hAnsi="Arial"/>
                <w:sz w:val="16"/>
                <w:szCs w:val="16"/>
                <w:b w:val="1"/>
                <w:bCs w:val="1"/>
                <w:color w:val="auto"/>
                <w:w w:val="89"/>
              </w:rPr>
              <w:t>Estimated useful lives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June 30, 2014</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 2013</w:t>
            </w:r>
          </w:p>
        </w:tc>
        <w:tc>
          <w:tcPr>
            <w:tcW w:w="0" w:type="dxa"/>
            <w:vAlign w:val="bottom"/>
          </w:tcPr>
          <w:p>
            <w:pPr>
              <w:spacing w:after="0"/>
              <w:rPr>
                <w:sz w:val="1"/>
                <w:szCs w:val="1"/>
                <w:color w:val="auto"/>
              </w:rPr>
            </w:pPr>
          </w:p>
        </w:tc>
      </w:tr>
      <w:tr>
        <w:trPr>
          <w:trHeight w:val="33"/>
        </w:trPr>
        <w:tc>
          <w:tcPr>
            <w:tcW w:w="556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Tradename</w:t>
            </w:r>
          </w:p>
        </w:tc>
        <w:tc>
          <w:tcPr>
            <w:tcW w:w="1640" w:type="dxa"/>
            <w:vAlign w:val="bottom"/>
            <w:tcBorders>
              <w:bottom w:val="single" w:sz="8" w:color="CCEEFF"/>
            </w:tcBorders>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4"/>
              </w:rPr>
              <w:t>7 years</w:t>
            </w:r>
          </w:p>
        </w:tc>
        <w:tc>
          <w:tcPr>
            <w:tcW w:w="5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w:t>
            </w:r>
          </w:p>
        </w:tc>
        <w:tc>
          <w:tcPr>
            <w:tcW w:w="3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60" w:type="dxa"/>
            <w:vAlign w:val="bottom"/>
          </w:tcPr>
          <w:p>
            <w:pPr>
              <w:ind w:left="40"/>
              <w:spacing w:after="0"/>
              <w:rPr>
                <w:sz w:val="20"/>
                <w:szCs w:val="20"/>
                <w:color w:val="auto"/>
              </w:rPr>
            </w:pPr>
            <w:r>
              <w:rPr>
                <w:rFonts w:ascii="Arial" w:cs="Arial" w:eastAsia="Arial" w:hAnsi="Arial"/>
                <w:sz w:val="18"/>
                <w:szCs w:val="18"/>
                <w:color w:val="auto"/>
              </w:rPr>
              <w:t>Patents and technological know-how</w:t>
            </w:r>
          </w:p>
        </w:tc>
        <w:tc>
          <w:tcPr>
            <w:tcW w:w="164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10 years</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5,310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60" w:type="dxa"/>
            <w:vAlign w:val="bottom"/>
          </w:tcPr>
          <w:p>
            <w:pPr>
              <w:jc w:val="right"/>
              <w:ind w:right="32"/>
              <w:spacing w:after="0"/>
              <w:rPr>
                <w:sz w:val="20"/>
                <w:szCs w:val="20"/>
                <w:color w:val="auto"/>
              </w:rPr>
            </w:pPr>
            <w:r>
              <w:rPr>
                <w:rFonts w:ascii="Arial" w:cs="Arial" w:eastAsia="Arial" w:hAnsi="Arial"/>
                <w:sz w:val="18"/>
                <w:szCs w:val="18"/>
                <w:color w:val="auto"/>
              </w:rPr>
              <w:t>2,070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Proprietary software</w:t>
            </w:r>
          </w:p>
        </w:tc>
        <w:tc>
          <w:tcPr>
            <w:tcW w:w="1640" w:type="dxa"/>
            <w:vAlign w:val="bottom"/>
            <w:tcBorders>
              <w:bottom w:val="single" w:sz="8" w:color="CCEEFF"/>
            </w:tcBorders>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90"/>
              </w:rPr>
              <w:t>3 to 15 years</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2,961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60" w:type="dxa"/>
            <w:vAlign w:val="bottom"/>
          </w:tcPr>
          <w:p>
            <w:pPr>
              <w:ind w:left="40"/>
              <w:spacing w:after="0"/>
              <w:rPr>
                <w:sz w:val="20"/>
                <w:szCs w:val="20"/>
                <w:color w:val="auto"/>
              </w:rPr>
            </w:pPr>
            <w:r>
              <w:rPr>
                <w:rFonts w:ascii="Arial" w:cs="Arial" w:eastAsia="Arial" w:hAnsi="Arial"/>
                <w:sz w:val="18"/>
                <w:szCs w:val="18"/>
                <w:color w:val="auto"/>
              </w:rPr>
              <w:t>Other</w:t>
            </w:r>
          </w:p>
        </w:tc>
        <w:tc>
          <w:tcPr>
            <w:tcW w:w="1640" w:type="dxa"/>
            <w:vAlign w:val="bottom"/>
            <w:gridSpan w:val="2"/>
          </w:tcPr>
          <w:p>
            <w:pPr>
              <w:jc w:val="center"/>
              <w:ind w:left="52"/>
              <w:spacing w:after="0"/>
              <w:rPr>
                <w:sz w:val="20"/>
                <w:szCs w:val="20"/>
                <w:color w:val="auto"/>
              </w:rPr>
            </w:pPr>
            <w:r>
              <w:rPr>
                <w:rFonts w:ascii="Arial" w:cs="Arial" w:eastAsia="Arial" w:hAnsi="Arial"/>
                <w:sz w:val="18"/>
                <w:szCs w:val="18"/>
                <w:color w:val="auto"/>
                <w:w w:val="84"/>
              </w:rPr>
              <w:t>5 years</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238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60" w:type="dxa"/>
            <w:vAlign w:val="bottom"/>
          </w:tcPr>
          <w:p>
            <w:pPr>
              <w:jc w:val="right"/>
              <w:ind w:right="32"/>
              <w:spacing w:after="0"/>
              <w:rPr>
                <w:sz w:val="20"/>
                <w:szCs w:val="20"/>
                <w:color w:val="auto"/>
              </w:rPr>
            </w:pPr>
            <w:r>
              <w:rPr>
                <w:rFonts w:ascii="Arial" w:cs="Arial" w:eastAsia="Arial" w:hAnsi="Arial"/>
                <w:sz w:val="18"/>
                <w:szCs w:val="18"/>
                <w:color w:val="auto"/>
              </w:rPr>
              <w:t>208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6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11,432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5,674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60" w:type="dxa"/>
            <w:vAlign w:val="bottom"/>
          </w:tcPr>
          <w:p>
            <w:pPr>
              <w:ind w:left="40"/>
              <w:spacing w:after="0"/>
              <w:rPr>
                <w:sz w:val="20"/>
                <w:szCs w:val="20"/>
                <w:color w:val="auto"/>
              </w:rPr>
            </w:pPr>
            <w:r>
              <w:rPr>
                <w:rFonts w:ascii="Arial" w:cs="Arial" w:eastAsia="Arial" w:hAnsi="Arial"/>
                <w:sz w:val="18"/>
                <w:szCs w:val="18"/>
                <w:color w:val="auto"/>
              </w:rPr>
              <w:t>Accumulated amortization</w:t>
            </w:r>
          </w:p>
        </w:tc>
        <w:tc>
          <w:tcPr>
            <w:tcW w:w="1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(2,397)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(1,964)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6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6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9,035</w:t>
            </w:r>
          </w:p>
        </w:tc>
        <w:tc>
          <w:tcPr>
            <w:tcW w:w="3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3,710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amortization of intangibles with finite lives for the three and six months ended June 30, 2014 and 2013 was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60" w:type="dxa"/>
            <w:vAlign w:val="bottom"/>
            <w:gridSpan w:val="5"/>
          </w:tcPr>
          <w:p>
            <w:pPr>
              <w:ind w:left="340"/>
              <w:spacing w:after="0"/>
              <w:rPr>
                <w:sz w:val="20"/>
                <w:szCs w:val="20"/>
                <w:color w:val="auto"/>
              </w:rPr>
            </w:pPr>
            <w:r>
              <w:rPr>
                <w:rFonts w:ascii="Arial" w:cs="Arial" w:eastAsia="Arial" w:hAnsi="Arial"/>
                <w:sz w:val="16"/>
                <w:szCs w:val="16"/>
                <w:b w:val="1"/>
                <w:bCs w:val="1"/>
                <w:color w:val="auto"/>
              </w:rPr>
              <w:t>Three months ended June 30,</w:t>
            </w:r>
          </w:p>
        </w:tc>
        <w:tc>
          <w:tcPr>
            <w:tcW w:w="280" w:type="dxa"/>
            <w:vAlign w:val="bottom"/>
          </w:tcPr>
          <w:p>
            <w:pPr>
              <w:spacing w:after="0"/>
              <w:rPr>
                <w:sz w:val="18"/>
                <w:szCs w:val="18"/>
                <w:color w:val="auto"/>
              </w:rPr>
            </w:pPr>
          </w:p>
        </w:tc>
        <w:tc>
          <w:tcPr>
            <w:tcW w:w="2760" w:type="dxa"/>
            <w:vAlign w:val="bottom"/>
            <w:gridSpan w:val="4"/>
          </w:tcPr>
          <w:p>
            <w:pPr>
              <w:jc w:val="right"/>
              <w:ind w:right="197"/>
              <w:spacing w:after="0"/>
              <w:rPr>
                <w:sz w:val="20"/>
                <w:szCs w:val="20"/>
                <w:color w:val="auto"/>
              </w:rPr>
            </w:pPr>
            <w:r>
              <w:rPr>
                <w:rFonts w:ascii="Arial" w:cs="Arial" w:eastAsia="Arial" w:hAnsi="Arial"/>
                <w:sz w:val="16"/>
                <w:szCs w:val="16"/>
                <w:b w:val="1"/>
                <w:bCs w:val="1"/>
                <w:color w:val="auto"/>
              </w:rPr>
              <w:t>Six months ended June 30,</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80" w:type="dxa"/>
            <w:vAlign w:val="bottom"/>
          </w:tcPr>
          <w:p>
            <w:pPr>
              <w:jc w:val="right"/>
              <w:ind w:right="636"/>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00" w:type="dxa"/>
            <w:vAlign w:val="bottom"/>
          </w:tcPr>
          <w:p>
            <w:pPr>
              <w:jc w:val="right"/>
              <w:ind w:right="634"/>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jc w:val="right"/>
              <w:ind w:right="474"/>
              <w:spacing w:after="0"/>
              <w:rPr>
                <w:sz w:val="20"/>
                <w:szCs w:val="20"/>
                <w:color w:val="auto"/>
              </w:rPr>
            </w:pPr>
            <w:r>
              <w:rPr>
                <w:rFonts w:ascii="Arial" w:cs="Arial" w:eastAsia="Arial" w:hAnsi="Arial"/>
                <w:sz w:val="16"/>
                <w:szCs w:val="16"/>
                <w:b w:val="1"/>
                <w:bCs w:val="1"/>
                <w:color w:val="auto"/>
              </w:rPr>
              <w:t>2014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17"/>
              <w:spacing w:after="0"/>
              <w:rPr>
                <w:sz w:val="20"/>
                <w:szCs w:val="20"/>
                <w:color w:val="auto"/>
              </w:rPr>
            </w:pPr>
            <w:r>
              <w:rPr>
                <w:rFonts w:ascii="Arial" w:cs="Arial" w:eastAsia="Arial" w:hAnsi="Arial"/>
                <w:sz w:val="16"/>
                <w:szCs w:val="16"/>
                <w:b w:val="1"/>
                <w:bCs w:val="1"/>
                <w:color w:val="auto"/>
              </w:rPr>
              <w:t>2013</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Amortization of intangibles with finite lives</w:t>
            </w:r>
          </w:p>
        </w:tc>
        <w:tc>
          <w:tcPr>
            <w:tcW w:w="4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433</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432"/>
        </w:trPr>
        <w:tc>
          <w:tcPr>
            <w:tcW w:w="5860" w:type="dxa"/>
            <w:vAlign w:val="bottom"/>
            <w:gridSpan w:val="6"/>
          </w:tcPr>
          <w:p>
            <w:pPr>
              <w:spacing w:after="0"/>
              <w:rPr>
                <w:sz w:val="20"/>
                <w:szCs w:val="20"/>
                <w:color w:val="auto"/>
              </w:rPr>
            </w:pPr>
            <w:r>
              <w:rPr>
                <w:rFonts w:ascii="Arial" w:cs="Arial" w:eastAsia="Arial" w:hAnsi="Arial"/>
                <w:sz w:val="18"/>
                <w:szCs w:val="18"/>
                <w:color w:val="auto"/>
                <w:w w:val="96"/>
              </w:rPr>
              <w:t>The estimated future amortization expense of intangible assets is as follows:</w:t>
            </w:r>
          </w:p>
        </w:tc>
        <w:tc>
          <w:tcPr>
            <w:tcW w:w="4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00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Years ending December 31,</w:t>
            </w:r>
          </w:p>
        </w:tc>
        <w:tc>
          <w:tcPr>
            <w:tcW w:w="4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gridSpan w:val="2"/>
          </w:tcPr>
          <w:p>
            <w:pPr>
              <w:ind w:left="160"/>
              <w:spacing w:after="0"/>
              <w:rPr>
                <w:sz w:val="20"/>
                <w:szCs w:val="20"/>
                <w:color w:val="auto"/>
              </w:rPr>
            </w:pPr>
            <w:r>
              <w:rPr>
                <w:rFonts w:ascii="Arial" w:cs="Arial" w:eastAsia="Arial" w:hAnsi="Arial"/>
                <w:sz w:val="16"/>
                <w:szCs w:val="16"/>
                <w:b w:val="1"/>
                <w:bCs w:val="1"/>
                <w:color w:val="auto"/>
              </w:rPr>
              <w:t>Estimated future</w:t>
            </w:r>
          </w:p>
        </w:tc>
        <w:tc>
          <w:tcPr>
            <w:tcW w:w="0" w:type="dxa"/>
            <w:vAlign w:val="bottom"/>
          </w:tcPr>
          <w:p>
            <w:pPr>
              <w:spacing w:after="0"/>
              <w:rPr>
                <w:sz w:val="1"/>
                <w:szCs w:val="1"/>
                <w:color w:val="auto"/>
              </w:rPr>
            </w:pPr>
          </w:p>
        </w:tc>
      </w:tr>
      <w:tr>
        <w:trPr>
          <w:trHeight w:val="176"/>
        </w:trPr>
        <w:tc>
          <w:tcPr>
            <w:tcW w:w="4000" w:type="dxa"/>
            <w:vAlign w:val="bottom"/>
            <w:gridSpan w:val="3"/>
            <w:vMerge w:val="continue"/>
          </w:tcPr>
          <w:p>
            <w:pPr>
              <w:spacing w:after="0"/>
              <w:rPr>
                <w:sz w:val="15"/>
                <w:szCs w:val="15"/>
                <w:color w:val="auto"/>
              </w:rPr>
            </w:pPr>
          </w:p>
        </w:tc>
        <w:tc>
          <w:tcPr>
            <w:tcW w:w="4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gridSpan w:val="2"/>
          </w:tcPr>
          <w:p>
            <w:pPr>
              <w:jc w:val="right"/>
              <w:ind w:right="210"/>
              <w:spacing w:after="0" w:line="176" w:lineRule="exact"/>
              <w:rPr>
                <w:sz w:val="20"/>
                <w:szCs w:val="20"/>
                <w:color w:val="auto"/>
              </w:rPr>
            </w:pPr>
            <w:r>
              <w:rPr>
                <w:rFonts w:ascii="Arial" w:cs="Arial" w:eastAsia="Arial" w:hAnsi="Arial"/>
                <w:sz w:val="16"/>
                <w:szCs w:val="16"/>
                <w:b w:val="1"/>
                <w:bCs w:val="1"/>
                <w:color w:val="auto"/>
                <w:w w:val="89"/>
              </w:rPr>
              <w:t>amortization expense</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2080" w:type="dxa"/>
            <w:vAlign w:val="bottom"/>
            <w:tcBorders>
              <w:top w:val="single" w:sz="8" w:color="auto"/>
              <w:bottom w:val="single" w:sz="8" w:color="CCEEFF"/>
            </w:tcBorders>
          </w:tcPr>
          <w:p>
            <w:pPr>
              <w:spacing w:after="0"/>
              <w:rPr>
                <w:sz w:val="4"/>
                <w:szCs w:val="4"/>
                <w:color w:val="auto"/>
              </w:rPr>
            </w:pPr>
          </w:p>
        </w:tc>
        <w:tc>
          <w:tcPr>
            <w:tcW w:w="1880" w:type="dxa"/>
            <w:vAlign w:val="bottom"/>
            <w:tcBorders>
              <w:bottom w:val="single" w:sz="8" w:color="CCEEFF"/>
            </w:tcBorders>
          </w:tcPr>
          <w:p>
            <w:pPr>
              <w:spacing w:after="0"/>
              <w:rPr>
                <w:sz w:val="4"/>
                <w:szCs w:val="4"/>
                <w:color w:val="auto"/>
              </w:rPr>
            </w:pPr>
          </w:p>
        </w:tc>
        <w:tc>
          <w:tcPr>
            <w:tcW w:w="480" w:type="dxa"/>
            <w:vAlign w:val="bottom"/>
            <w:tcBorders>
              <w:bottom w:val="single" w:sz="8" w:color="CCEEFF"/>
            </w:tcBorders>
          </w:tcPr>
          <w:p>
            <w:pPr>
              <w:spacing w:after="0"/>
              <w:rPr>
                <w:sz w:val="4"/>
                <w:szCs w:val="4"/>
                <w:color w:val="auto"/>
              </w:rPr>
            </w:pPr>
          </w:p>
        </w:tc>
        <w:tc>
          <w:tcPr>
            <w:tcW w:w="128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80" w:type="dxa"/>
            <w:vAlign w:val="bottom"/>
            <w:tcBorders>
              <w:bottom w:val="single" w:sz="8" w:color="CCEEFF"/>
            </w:tcBorders>
          </w:tcPr>
          <w:p>
            <w:pPr>
              <w:spacing w:after="0"/>
              <w:rPr>
                <w:sz w:val="4"/>
                <w:szCs w:val="4"/>
                <w:color w:val="auto"/>
              </w:rPr>
            </w:pPr>
          </w:p>
        </w:tc>
        <w:tc>
          <w:tcPr>
            <w:tcW w:w="13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134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4"/>
              </w:rPr>
              <w:t>2014 (remainder) $</w:t>
            </w:r>
          </w:p>
        </w:tc>
        <w:tc>
          <w:tcPr>
            <w:tcW w:w="1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43"/>
        </w:trPr>
        <w:tc>
          <w:tcPr>
            <w:tcW w:w="2120" w:type="dxa"/>
            <w:vAlign w:val="bottom"/>
            <w:gridSpan w:val="2"/>
          </w:tcPr>
          <w:p>
            <w:pPr>
              <w:ind w:left="40"/>
              <w:spacing w:after="0"/>
              <w:rPr>
                <w:sz w:val="20"/>
                <w:szCs w:val="20"/>
                <w:color w:val="auto"/>
              </w:rPr>
            </w:pPr>
            <w:r>
              <w:rPr>
                <w:rFonts w:ascii="Arial" w:cs="Arial" w:eastAsia="Arial" w:hAnsi="Arial"/>
                <w:sz w:val="18"/>
                <w:szCs w:val="18"/>
                <w:color w:val="auto"/>
              </w:rPr>
              <w:t>2015</w:t>
            </w:r>
          </w:p>
        </w:tc>
        <w:tc>
          <w:tcPr>
            <w:tcW w:w="18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976</w:t>
            </w:r>
          </w:p>
        </w:tc>
        <w:tc>
          <w:tcPr>
            <w:tcW w:w="0" w:type="dxa"/>
            <w:vAlign w:val="bottom"/>
          </w:tcPr>
          <w:p>
            <w:pPr>
              <w:spacing w:after="0"/>
              <w:rPr>
                <w:sz w:val="1"/>
                <w:szCs w:val="1"/>
                <w:color w:val="auto"/>
              </w:rPr>
            </w:pPr>
          </w:p>
        </w:tc>
      </w:tr>
      <w:tr>
        <w:trPr>
          <w:trHeight w:val="243"/>
        </w:trPr>
        <w:tc>
          <w:tcPr>
            <w:tcW w:w="2120" w:type="dxa"/>
            <w:vAlign w:val="bottom"/>
            <w:gridSpan w:val="2"/>
          </w:tcPr>
          <w:p>
            <w:pPr>
              <w:ind w:left="40"/>
              <w:spacing w:after="0"/>
              <w:rPr>
                <w:sz w:val="20"/>
                <w:szCs w:val="20"/>
                <w:color w:val="auto"/>
              </w:rPr>
            </w:pPr>
            <w:r>
              <w:rPr>
                <w:rFonts w:ascii="Arial" w:cs="Arial" w:eastAsia="Arial" w:hAnsi="Arial"/>
                <w:sz w:val="18"/>
                <w:szCs w:val="18"/>
                <w:color w:val="auto"/>
              </w:rPr>
              <w:t>2017</w:t>
            </w:r>
          </w:p>
        </w:tc>
        <w:tc>
          <w:tcPr>
            <w:tcW w:w="18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43"/>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Thereafter</w:t>
            </w:r>
          </w:p>
        </w:tc>
        <w:tc>
          <w:tcPr>
            <w:tcW w:w="4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4,772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208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9,035</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1" w:right="2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 – 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Inventories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Inventories, net of reserves, as of June 30, 2014 and December 31, 2013 consisted of the following: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gridSpan w:val="2"/>
          </w:tcPr>
          <w:p>
            <w:pPr>
              <w:ind w:left="220"/>
              <w:spacing w:after="0"/>
              <w:rPr>
                <w:sz w:val="20"/>
                <w:szCs w:val="20"/>
                <w:color w:val="auto"/>
              </w:rPr>
            </w:pPr>
            <w:r>
              <w:rPr>
                <w:rFonts w:ascii="Arial" w:cs="Arial" w:eastAsia="Arial" w:hAnsi="Arial"/>
                <w:sz w:val="16"/>
                <w:szCs w:val="16"/>
                <w:b w:val="1"/>
                <w:bCs w:val="1"/>
                <w:color w:val="auto"/>
              </w:rPr>
              <w:t>June 30, 2014</w:t>
            </w:r>
          </w:p>
        </w:tc>
        <w:tc>
          <w:tcPr>
            <w:tcW w:w="260" w:type="dxa"/>
            <w:vAlign w:val="bottom"/>
          </w:tcPr>
          <w:p>
            <w:pPr>
              <w:spacing w:after="0"/>
              <w:rPr>
                <w:sz w:val="18"/>
                <w:szCs w:val="18"/>
                <w:color w:val="auto"/>
              </w:rPr>
            </w:pPr>
          </w:p>
        </w:tc>
        <w:tc>
          <w:tcPr>
            <w:tcW w:w="1800" w:type="dxa"/>
            <w:vAlign w:val="bottom"/>
          </w:tcPr>
          <w:p>
            <w:pPr>
              <w:jc w:val="right"/>
              <w:ind w:right="291"/>
              <w:spacing w:after="0"/>
              <w:rPr>
                <w:sz w:val="20"/>
                <w:szCs w:val="20"/>
                <w:color w:val="auto"/>
              </w:rPr>
            </w:pPr>
            <w:r>
              <w:rPr>
                <w:rFonts w:ascii="Arial" w:cs="Arial" w:eastAsia="Arial" w:hAnsi="Arial"/>
                <w:sz w:val="16"/>
                <w:szCs w:val="16"/>
                <w:b w:val="1"/>
                <w:bCs w:val="1"/>
                <w:color w:val="auto"/>
                <w:w w:val="97"/>
              </w:rPr>
              <w:t>December 31, 2013</w:t>
            </w:r>
          </w:p>
        </w:tc>
      </w:tr>
      <w:tr>
        <w:trPr>
          <w:trHeight w:val="33"/>
        </w:trPr>
        <w:tc>
          <w:tcPr>
            <w:tcW w:w="7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3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220"/>
              <w:spacing w:after="0"/>
              <w:rPr>
                <w:sz w:val="20"/>
                <w:szCs w:val="20"/>
                <w:color w:val="auto"/>
              </w:rPr>
            </w:pPr>
            <w:r>
              <w:rPr>
                <w:rFonts w:ascii="Arial" w:cs="Arial" w:eastAsia="Arial" w:hAnsi="Arial"/>
                <w:sz w:val="18"/>
                <w:szCs w:val="18"/>
                <w:color w:val="auto"/>
              </w:rPr>
              <w:t>Raw materials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1,914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1,362</w:t>
            </w:r>
          </w:p>
        </w:tc>
      </w:tr>
      <w:tr>
        <w:trPr>
          <w:trHeight w:val="27"/>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Finished goods</w:t>
            </w:r>
          </w:p>
        </w:tc>
        <w:tc>
          <w:tcPr>
            <w:tcW w:w="34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11,329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10,916</w:t>
            </w:r>
          </w:p>
        </w:tc>
      </w:tr>
      <w:tr>
        <w:trPr>
          <w:trHeight w:val="237"/>
        </w:trPr>
        <w:tc>
          <w:tcPr>
            <w:tcW w:w="72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13,243</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12,278</w:t>
            </w:r>
          </w:p>
        </w:tc>
      </w:tr>
      <w:tr>
        <w:trPr>
          <w:trHeight w:val="67"/>
        </w:trPr>
        <w:tc>
          <w:tcPr>
            <w:tcW w:w="72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r>
      <w:tr>
        <w:trPr>
          <w:trHeight w:val="231"/>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w:t>
            </w:r>
          </w:p>
        </w:tc>
        <w:tc>
          <w:tcPr>
            <w:tcW w:w="34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spacing w:after="0"/>
              <w:rPr>
                <w:sz w:val="20"/>
                <w:szCs w:val="20"/>
                <w:color w:val="auto"/>
              </w:rPr>
            </w:pPr>
          </w:p>
        </w:tc>
      </w:tr>
      <w:tr>
        <w:trPr>
          <w:trHeight w:val="243"/>
        </w:trPr>
        <w:tc>
          <w:tcPr>
            <w:tcW w:w="7200" w:type="dxa"/>
            <w:vAlign w:val="bottom"/>
          </w:tcPr>
          <w:p>
            <w:pPr>
              <w:ind w:left="220"/>
              <w:spacing w:after="0"/>
              <w:rPr>
                <w:sz w:val="20"/>
                <w:szCs w:val="20"/>
                <w:color w:val="auto"/>
              </w:rPr>
            </w:pPr>
            <w:r>
              <w:rPr>
                <w:rFonts w:ascii="Arial" w:cs="Arial" w:eastAsia="Arial" w:hAnsi="Arial"/>
                <w:sz w:val="18"/>
                <w:szCs w:val="18"/>
                <w:color w:val="auto"/>
              </w:rPr>
              <w:t>Raw materials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227</w:t>
            </w:r>
          </w:p>
        </w:tc>
      </w:tr>
      <w:tr>
        <w:trPr>
          <w:trHeight w:val="27"/>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Finished goods</w:t>
            </w:r>
          </w:p>
        </w:tc>
        <w:tc>
          <w:tcPr>
            <w:tcW w:w="34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324</w:t>
            </w:r>
          </w:p>
        </w:tc>
      </w:tr>
      <w:tr>
        <w:trPr>
          <w:trHeight w:val="237"/>
        </w:trPr>
        <w:tc>
          <w:tcPr>
            <w:tcW w:w="72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551</w:t>
            </w:r>
          </w:p>
        </w:tc>
      </w:tr>
      <w:tr>
        <w:trPr>
          <w:trHeight w:val="27"/>
        </w:trPr>
        <w:tc>
          <w:tcPr>
            <w:tcW w:w="7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0"/>
        </w:trPr>
        <w:tc>
          <w:tcPr>
            <w:tcW w:w="7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Long-term inventory represents inventory held in excess of our current (next 12 months) requirements based on our recent sales and forecasted level of sales.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expect to sell the above inventory, net of reserves, at or above the stated cost and believe that no loss will be incurred on its sale.</w:t>
      </w:r>
    </w:p>
    <w:p>
      <w:pPr>
        <w:spacing w:after="0" w:line="211"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Current finished goods include consigned inventory in the amounts of approximately $1,794 and $1,520 as of June 30, 2014 and December 31, 2013, respectively. Consigned inventory represents inventory at distributors and other customers where revenue recognition criteria have not yet been achieved.</w:t>
      </w:r>
    </w:p>
    <w:p>
      <w:pPr>
        <w:spacing w:after="0" w:line="12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summarizes the losses incurred on valuation of inventory at lower of cost or market value and write-off of obsolete inventory during the three and six months ended June 30, 2014 and 2013, respectively.</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246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20" w:type="dxa"/>
            <w:vAlign w:val="bottom"/>
            <w:gridSpan w:val="4"/>
          </w:tcPr>
          <w:p>
            <w:pPr>
              <w:jc w:val="right"/>
              <w:ind w:right="414"/>
              <w:spacing w:after="0"/>
              <w:rPr>
                <w:sz w:val="20"/>
                <w:szCs w:val="20"/>
                <w:color w:val="auto"/>
              </w:rPr>
            </w:pPr>
            <w:r>
              <w:rPr>
                <w:rFonts w:ascii="Arial" w:cs="Arial" w:eastAsia="Arial" w:hAnsi="Arial"/>
                <w:sz w:val="16"/>
                <w:szCs w:val="16"/>
                <w:b w:val="1"/>
                <w:bCs w:val="1"/>
                <w:color w:val="auto"/>
                <w:w w:val="96"/>
              </w:rPr>
              <w:t>Six months ended June 30,</w:t>
            </w:r>
          </w:p>
        </w:tc>
      </w:tr>
      <w:tr>
        <w:trPr>
          <w:trHeight w:val="33"/>
        </w:trPr>
        <w:tc>
          <w:tcPr>
            <w:tcW w:w="56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5620" w:type="dxa"/>
            <w:vAlign w:val="bottom"/>
          </w:tcPr>
          <w:p>
            <w:pPr>
              <w:spacing w:after="0"/>
              <w:rPr>
                <w:sz w:val="20"/>
                <w:szCs w:val="20"/>
                <w:color w:val="auto"/>
              </w:rPr>
            </w:pPr>
          </w:p>
        </w:tc>
        <w:tc>
          <w:tcPr>
            <w:tcW w:w="1020" w:type="dxa"/>
            <w:vAlign w:val="bottom"/>
          </w:tcPr>
          <w:p>
            <w:pPr>
              <w:jc w:val="right"/>
              <w:ind w:right="76"/>
              <w:spacing w:after="0"/>
              <w:rPr>
                <w:sz w:val="20"/>
                <w:szCs w:val="20"/>
                <w:color w:val="auto"/>
              </w:rPr>
            </w:pPr>
            <w:r>
              <w:rPr>
                <w:rFonts w:ascii="Arial" w:cs="Arial" w:eastAsia="Arial" w:hAnsi="Arial"/>
                <w:sz w:val="16"/>
                <w:szCs w:val="16"/>
                <w:b w:val="1"/>
                <w:bCs w:val="1"/>
                <w:color w:val="auto"/>
              </w:rPr>
              <w:t>2014</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ind w:right="34"/>
              <w:spacing w:after="0"/>
              <w:rPr>
                <w:sz w:val="20"/>
                <w:szCs w:val="20"/>
                <w:color w:val="auto"/>
              </w:rPr>
            </w:pPr>
            <w:r>
              <w:rPr>
                <w:rFonts w:ascii="Arial" w:cs="Arial" w:eastAsia="Arial" w:hAnsi="Arial"/>
                <w:sz w:val="16"/>
                <w:szCs w:val="16"/>
                <w:b w:val="1"/>
                <w:bCs w:val="1"/>
                <w:color w:val="auto"/>
              </w:rPr>
              <w:t>2013</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6"/>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4"/>
              <w:spacing w:after="0"/>
              <w:rPr>
                <w:sz w:val="20"/>
                <w:szCs w:val="20"/>
                <w:color w:val="auto"/>
              </w:rPr>
            </w:pPr>
            <w:r>
              <w:rPr>
                <w:rFonts w:ascii="Arial" w:cs="Arial" w:eastAsia="Arial" w:hAnsi="Arial"/>
                <w:sz w:val="16"/>
                <w:szCs w:val="16"/>
                <w:b w:val="1"/>
                <w:bCs w:val="1"/>
                <w:color w:val="auto"/>
              </w:rPr>
              <w:t>2013</w:t>
            </w:r>
          </w:p>
        </w:tc>
      </w:tr>
      <w:tr>
        <w:trPr>
          <w:trHeight w:val="33"/>
        </w:trPr>
        <w:tc>
          <w:tcPr>
            <w:tcW w:w="56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9"/>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Losses incurred on valuation of inventory and write-off of obsolete</w:t>
            </w: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inventory</w:t>
            </w:r>
          </w:p>
        </w:tc>
        <w:tc>
          <w:tcPr>
            <w:tcW w:w="102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774"/>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6"/>
              </w:rPr>
              <w:t>302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424</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268</w:t>
            </w:r>
          </w:p>
        </w:tc>
      </w:tr>
      <w:tr>
        <w:trPr>
          <w:trHeight w:val="27"/>
        </w:trPr>
        <w:tc>
          <w:tcPr>
            <w:tcW w:w="56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Share-based Compensation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Share-based compensation expense for the three and six months ended June 30, 2014 and 2013 has been recorded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252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20" w:type="dxa"/>
            <w:vAlign w:val="bottom"/>
            <w:gridSpan w:val="4"/>
          </w:tcPr>
          <w:p>
            <w:pPr>
              <w:jc w:val="right"/>
              <w:ind w:right="391"/>
              <w:spacing w:after="0"/>
              <w:rPr>
                <w:sz w:val="20"/>
                <w:szCs w:val="20"/>
                <w:color w:val="auto"/>
              </w:rPr>
            </w:pPr>
            <w:r>
              <w:rPr>
                <w:rFonts w:ascii="Arial" w:cs="Arial" w:eastAsia="Arial" w:hAnsi="Arial"/>
                <w:sz w:val="16"/>
                <w:szCs w:val="16"/>
                <w:b w:val="1"/>
                <w:bCs w:val="1"/>
                <w:color w:val="auto"/>
                <w:w w:val="97"/>
              </w:rPr>
              <w:t>Six months ended June 30,</w:t>
            </w:r>
          </w:p>
        </w:tc>
      </w:tr>
      <w:tr>
        <w:trPr>
          <w:trHeight w:val="33"/>
        </w:trPr>
        <w:tc>
          <w:tcPr>
            <w:tcW w:w="56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5620" w:type="dxa"/>
            <w:vAlign w:val="bottom"/>
          </w:tcPr>
          <w:p>
            <w:pPr>
              <w:spacing w:after="0"/>
              <w:rPr>
                <w:sz w:val="20"/>
                <w:szCs w:val="20"/>
                <w:color w:val="auto"/>
              </w:rPr>
            </w:pPr>
          </w:p>
        </w:tc>
        <w:tc>
          <w:tcPr>
            <w:tcW w:w="980" w:type="dxa"/>
            <w:vAlign w:val="bottom"/>
          </w:tcPr>
          <w:p>
            <w:pPr>
              <w:jc w:val="right"/>
              <w:ind w:right="34"/>
              <w:spacing w:after="0"/>
              <w:rPr>
                <w:sz w:val="20"/>
                <w:szCs w:val="20"/>
                <w:color w:val="auto"/>
              </w:rPr>
            </w:pPr>
            <w:r>
              <w:rPr>
                <w:rFonts w:ascii="Arial" w:cs="Arial" w:eastAsia="Arial" w:hAnsi="Arial"/>
                <w:sz w:val="16"/>
                <w:szCs w:val="16"/>
                <w:b w:val="1"/>
                <w:bCs w:val="1"/>
                <w:color w:val="auto"/>
              </w:rPr>
              <w:t>2014</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93"/>
              <w:spacing w:after="0"/>
              <w:rPr>
                <w:sz w:val="20"/>
                <w:szCs w:val="20"/>
                <w:color w:val="auto"/>
              </w:rPr>
            </w:pPr>
            <w:r>
              <w:rPr>
                <w:rFonts w:ascii="Arial" w:cs="Arial" w:eastAsia="Arial" w:hAnsi="Arial"/>
                <w:sz w:val="16"/>
                <w:szCs w:val="16"/>
                <w:b w:val="1"/>
                <w:bCs w:val="1"/>
                <w:color w:val="auto"/>
              </w:rPr>
              <w:t>2013</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3"/>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2013</w:t>
            </w:r>
          </w:p>
        </w:tc>
      </w:tr>
      <w:tr>
        <w:trPr>
          <w:trHeight w:val="33"/>
        </w:trPr>
        <w:tc>
          <w:tcPr>
            <w:tcW w:w="56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980" w:type="dxa"/>
            <w:vAlign w:val="bottom"/>
            <w:tcBorders>
              <w:bottom w:val="single" w:sz="8" w:color="CCEEFF"/>
            </w:tcBorders>
            <w:shd w:val="clear" w:color="auto" w:fill="CCEEFF"/>
          </w:tcPr>
          <w:p>
            <w:pPr>
              <w:jc w:val="right"/>
              <w:ind w:right="794"/>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33"/>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98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color w:val="auto"/>
                <w:w w:val="99"/>
              </w:rPr>
              <w:t>19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34</w:t>
            </w:r>
          </w:p>
        </w:tc>
      </w:tr>
      <w:tr>
        <w:trPr>
          <w:trHeight w:val="27"/>
        </w:trPr>
        <w:tc>
          <w:tcPr>
            <w:tcW w:w="5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product development</w:t>
            </w:r>
          </w:p>
        </w:tc>
        <w:tc>
          <w:tcPr>
            <w:tcW w:w="9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98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color w:val="auto"/>
                <w:w w:val="99"/>
              </w:rPr>
              <w:t>33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64</w:t>
            </w:r>
          </w:p>
        </w:tc>
      </w:tr>
      <w:tr>
        <w:trPr>
          <w:trHeight w:val="27"/>
        </w:trPr>
        <w:tc>
          <w:tcPr>
            <w:tcW w:w="56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94"/>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833"/>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67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As of June 30, 2014, the total remaining unrecognized compensation cost related to non-vested stock options, net of forfeitures, was approximately $557, which will be recognized over a weighted average period of 2.12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Shareholders’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change in shareholders’ equity during the three and six months ended June 30, 2014 and 2013, respectively:</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 – 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0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 June 30,</w:t>
            </w:r>
          </w:p>
        </w:tc>
        <w:tc>
          <w:tcPr>
            <w:tcW w:w="320" w:type="dxa"/>
            <w:vAlign w:val="bottom"/>
          </w:tcPr>
          <w:p>
            <w:pPr>
              <w:spacing w:after="0"/>
              <w:rPr>
                <w:sz w:val="18"/>
                <w:szCs w:val="18"/>
                <w:color w:val="auto"/>
              </w:rPr>
            </w:pPr>
          </w:p>
        </w:tc>
        <w:tc>
          <w:tcPr>
            <w:tcW w:w="2520" w:type="dxa"/>
            <w:vAlign w:val="bottom"/>
            <w:gridSpan w:val="4"/>
          </w:tcPr>
          <w:p>
            <w:pPr>
              <w:jc w:val="right"/>
              <w:ind w:right="391"/>
              <w:spacing w:after="0"/>
              <w:rPr>
                <w:sz w:val="20"/>
                <w:szCs w:val="20"/>
                <w:color w:val="auto"/>
              </w:rPr>
            </w:pPr>
            <w:r>
              <w:rPr>
                <w:rFonts w:ascii="Arial" w:cs="Arial" w:eastAsia="Arial" w:hAnsi="Arial"/>
                <w:sz w:val="16"/>
                <w:szCs w:val="16"/>
                <w:b w:val="1"/>
                <w:bCs w:val="1"/>
                <w:color w:val="auto"/>
                <w:w w:val="97"/>
              </w:rPr>
              <w:t>Six months ended June 30,</w:t>
            </w:r>
          </w:p>
        </w:tc>
      </w:tr>
      <w:tr>
        <w:trPr>
          <w:trHeight w:val="33"/>
        </w:trPr>
        <w:tc>
          <w:tcPr>
            <w:tcW w:w="5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5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432"/>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2"/>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2013</w:t>
            </w:r>
          </w:p>
        </w:tc>
      </w:tr>
      <w:tr>
        <w:trPr>
          <w:trHeight w:val="33"/>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the beginning of the period</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73,769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66,960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70,335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66,668</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income during the period</w:t>
            </w:r>
          </w:p>
        </w:tc>
        <w:tc>
          <w:tcPr>
            <w:tcW w:w="2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934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1,045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1,424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1,775</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Treasury stock purchased</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(991)</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Share-based compensation</w:t>
            </w:r>
          </w:p>
        </w:tc>
        <w:tc>
          <w:tcPr>
            <w:tcW w:w="2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126</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benefit - stock option exercises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Exercise of stock options</w:t>
            </w:r>
          </w:p>
        </w:tc>
        <w:tc>
          <w:tcPr>
            <w:tcW w:w="2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1,265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164</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issued for acquisition</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1,679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Unrealized gain or loss in investments</w:t>
            </w:r>
          </w:p>
        </w:tc>
        <w:tc>
          <w:tcPr>
            <w:tcW w:w="2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7"/>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the period</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73,930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67,655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73,930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67,655</w:t>
            </w:r>
          </w:p>
        </w:tc>
      </w:tr>
      <w:tr>
        <w:trPr>
          <w:trHeight w:val="20"/>
        </w:trPr>
        <w:tc>
          <w:tcPr>
            <w:tcW w:w="5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Measurements</w:t>
      </w:r>
    </w:p>
    <w:p>
      <w:pPr>
        <w:spacing w:after="0" w:line="391"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 fair value of the Company's financial instruments reflects the amounts that the Company estimates it will receive in connection with the sale of an asset or pay in connection with the transfer of a liability in an orderly transaction between market participants at the measurement date (exit price). The fair value hierarchy prioritizes the use of inputs used in valuation techniques into the following three levels:</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Level 1</w:t>
      </w:r>
      <w:r>
        <w:rPr>
          <w:rFonts w:ascii="Arial" w:cs="Arial" w:eastAsia="Arial" w:hAnsi="Arial"/>
          <w:sz w:val="18"/>
          <w:szCs w:val="18"/>
          <w:color w:val="auto"/>
        </w:rPr>
        <w:t xml:space="preserve"> - Quoted prices in active markets for identical assets and liabilities.</w:t>
      </w:r>
    </w:p>
    <w:p>
      <w:pPr>
        <w:spacing w:after="0" w:line="198" w:lineRule="exact"/>
        <w:rPr>
          <w:sz w:val="20"/>
          <w:szCs w:val="20"/>
          <w:color w:val="auto"/>
        </w:rPr>
      </w:pPr>
    </w:p>
    <w:p>
      <w:pPr>
        <w:ind w:left="660" w:right="60"/>
        <w:spacing w:after="0" w:line="312" w:lineRule="auto"/>
        <w:rPr>
          <w:sz w:val="20"/>
          <w:szCs w:val="20"/>
          <w:color w:val="auto"/>
        </w:rPr>
      </w:pPr>
      <w:r>
        <w:rPr>
          <w:rFonts w:ascii="Arial" w:cs="Arial" w:eastAsia="Arial" w:hAnsi="Arial"/>
          <w:sz w:val="16"/>
          <w:szCs w:val="16"/>
          <w:u w:val="single" w:color="auto"/>
          <w:color w:val="auto"/>
        </w:rPr>
        <w:t>Level 2</w:t>
      </w:r>
      <w:r>
        <w:rPr>
          <w:rFonts w:ascii="Arial" w:cs="Arial" w:eastAsia="Arial" w:hAnsi="Arial"/>
          <w:sz w:val="16"/>
          <w:szCs w:val="16"/>
          <w:color w:val="auto"/>
        </w:rPr>
        <w:t xml:space="preserve"> - Observable inputs other than quoted prices in active markets for identical assets and liabilities; quoted prices in markets that are not active; or other inputs that are observable or can be corroborated by observable market data for substantially the full term of the assets or liabilities. This category generally includes U.S. Government and agency securities; municipal securities; mutual funds and securities sold and not yet settled.</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xml:space="preserve"> - Unobservable inputs.</w:t>
      </w:r>
    </w:p>
    <w:p>
      <w:pPr>
        <w:spacing w:after="0" w:line="225"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The substantial majority of the Company's financial instruments are valued using quoted prices in active markets or based on other observable inputs. The following table sets forth the fair value of the financial instruments re-measured by the Company as of June 30, 2014 and December 31, 2013:</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Level 1</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2</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Level 3</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41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5560" w:type="dxa"/>
            <w:vAlign w:val="bottom"/>
            <w:vMerge w:val="restart"/>
          </w:tcPr>
          <w:p>
            <w:pPr>
              <w:ind w:left="40"/>
              <w:spacing w:after="0"/>
              <w:rPr>
                <w:sz w:val="20"/>
                <w:szCs w:val="20"/>
                <w:color w:val="auto"/>
              </w:rPr>
            </w:pPr>
            <w:r>
              <w:rPr>
                <w:rFonts w:ascii="Arial" w:cs="Arial" w:eastAsia="Arial" w:hAnsi="Arial"/>
                <w:sz w:val="13"/>
                <w:szCs w:val="13"/>
                <w:i w:val="1"/>
                <w:iCs w:val="1"/>
                <w:color w:val="auto"/>
              </w:rPr>
              <w:t>(In thousands)</w:t>
            </w: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5560" w:type="dxa"/>
            <w:vAlign w:val="bottom"/>
            <w:vMerge w:val="continue"/>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June 30, 2014</w:t>
            </w:r>
          </w:p>
        </w:tc>
        <w:tc>
          <w:tcPr>
            <w:tcW w:w="10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60" w:type="dxa"/>
            <w:vAlign w:val="bottom"/>
          </w:tcPr>
          <w:p>
            <w:pPr>
              <w:ind w:left="40"/>
              <w:spacing w:after="0"/>
              <w:rPr>
                <w:sz w:val="20"/>
                <w:szCs w:val="20"/>
                <w:color w:val="auto"/>
              </w:rPr>
            </w:pPr>
            <w:r>
              <w:rPr>
                <w:rFonts w:ascii="Arial" w:cs="Arial" w:eastAsia="Arial" w:hAnsi="Arial"/>
                <w:sz w:val="18"/>
                <w:szCs w:val="18"/>
                <w:color w:val="auto"/>
              </w:rPr>
              <w:t>Corporate bonds and notes</w:t>
            </w:r>
          </w:p>
        </w:tc>
        <w:tc>
          <w:tcPr>
            <w:tcW w:w="1000" w:type="dxa"/>
            <w:vAlign w:val="bottom"/>
          </w:tcPr>
          <w:p>
            <w:pPr>
              <w:jc w:val="right"/>
              <w:ind w:right="793"/>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19,670</w:t>
            </w:r>
          </w:p>
        </w:tc>
        <w:tc>
          <w:tcPr>
            <w:tcW w:w="140" w:type="dxa"/>
            <w:vAlign w:val="bottom"/>
          </w:tcPr>
          <w:p>
            <w:pPr>
              <w:spacing w:after="0"/>
              <w:rPr>
                <w:sz w:val="21"/>
                <w:szCs w:val="21"/>
                <w:color w:val="auto"/>
              </w:rPr>
            </w:pPr>
          </w:p>
        </w:tc>
        <w:tc>
          <w:tcPr>
            <w:tcW w:w="1000" w:type="dxa"/>
            <w:vAlign w:val="bottom"/>
          </w:tcPr>
          <w:p>
            <w:pPr>
              <w:jc w:val="right"/>
              <w:ind w:right="793"/>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19,670</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Municipal bonds</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6,306</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6,306</w:t>
            </w:r>
          </w:p>
        </w:tc>
        <w:tc>
          <w:tcPr>
            <w:tcW w:w="0" w:type="dxa"/>
            <w:vAlign w:val="bottom"/>
          </w:tcPr>
          <w:p>
            <w:pPr>
              <w:spacing w:after="0"/>
              <w:rPr>
                <w:sz w:val="1"/>
                <w:szCs w:val="1"/>
                <w:color w:val="auto"/>
              </w:rPr>
            </w:pPr>
          </w:p>
        </w:tc>
      </w:tr>
      <w:tr>
        <w:trPr>
          <w:trHeight w:val="270"/>
        </w:trPr>
        <w:tc>
          <w:tcPr>
            <w:tcW w:w="5560" w:type="dxa"/>
            <w:vAlign w:val="bottom"/>
            <w:tcBorders>
              <w:bottom w:val="single" w:sz="8" w:color="CCEEFF"/>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5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Total</w:t>
            </w:r>
          </w:p>
        </w:tc>
        <w:tc>
          <w:tcPr>
            <w:tcW w:w="1000" w:type="dxa"/>
            <w:vAlign w:val="bottom"/>
            <w:shd w:val="clear" w:color="auto" w:fill="CCEEFF"/>
          </w:tcPr>
          <w:p>
            <w:pPr>
              <w:jc w:val="right"/>
              <w:ind w:right="793"/>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25,976</w:t>
            </w: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793"/>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25,976</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Level 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2</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Level 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29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4320" w:type="dxa"/>
            <w:vAlign w:val="bottom"/>
            <w:vMerge w:val="restart"/>
          </w:tcPr>
          <w:p>
            <w:pPr>
              <w:ind w:left="40"/>
              <w:spacing w:after="0"/>
              <w:rPr>
                <w:sz w:val="20"/>
                <w:szCs w:val="20"/>
                <w:color w:val="auto"/>
              </w:rPr>
            </w:pPr>
            <w:r>
              <w:rPr>
                <w:rFonts w:ascii="Arial" w:cs="Arial" w:eastAsia="Arial" w:hAnsi="Arial"/>
                <w:sz w:val="13"/>
                <w:szCs w:val="13"/>
                <w:i w:val="1"/>
                <w:iCs w:val="1"/>
                <w:color w:val="auto"/>
              </w:rPr>
              <w:t>(In thousands)</w:t>
            </w: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4320" w:type="dxa"/>
            <w:vAlign w:val="bottom"/>
            <w:vMerge w:val="continue"/>
          </w:tcPr>
          <w:p>
            <w:pPr>
              <w:spacing w:after="0"/>
              <w:rPr>
                <w:sz w:val="22"/>
                <w:szCs w:val="22"/>
                <w:color w:val="auto"/>
              </w:rPr>
            </w:pPr>
          </w:p>
        </w:tc>
        <w:tc>
          <w:tcPr>
            <w:tcW w:w="8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2013</w:t>
            </w:r>
          </w:p>
        </w:tc>
        <w:tc>
          <w:tcPr>
            <w:tcW w:w="8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Corporate bonds and notes</w:t>
            </w:r>
          </w:p>
        </w:tc>
        <w:tc>
          <w:tcPr>
            <w:tcW w:w="840" w:type="dxa"/>
            <w:vAlign w:val="bottom"/>
          </w:tcPr>
          <w:p>
            <w:pPr>
              <w:jc w:val="right"/>
              <w:ind w:right="633"/>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18,857</w:t>
            </w:r>
          </w:p>
        </w:tc>
        <w:tc>
          <w:tcPr>
            <w:tcW w:w="140" w:type="dxa"/>
            <w:vAlign w:val="bottom"/>
          </w:tcPr>
          <w:p>
            <w:pPr>
              <w:spacing w:after="0"/>
              <w:rPr>
                <w:sz w:val="21"/>
                <w:szCs w:val="21"/>
                <w:color w:val="auto"/>
              </w:rPr>
            </w:pPr>
          </w:p>
        </w:tc>
        <w:tc>
          <w:tcPr>
            <w:tcW w:w="840" w:type="dxa"/>
            <w:vAlign w:val="bottom"/>
          </w:tcPr>
          <w:p>
            <w:pPr>
              <w:jc w:val="right"/>
              <w:ind w:right="633"/>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18,857</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Municipal bonds</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6,669</w:t>
            </w: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6,669</w:t>
            </w:r>
          </w:p>
        </w:tc>
        <w:tc>
          <w:tcPr>
            <w:tcW w:w="0" w:type="dxa"/>
            <w:vAlign w:val="bottom"/>
          </w:tcPr>
          <w:p>
            <w:pPr>
              <w:spacing w:after="0"/>
              <w:rPr>
                <w:sz w:val="1"/>
                <w:szCs w:val="1"/>
                <w:color w:val="auto"/>
              </w:rPr>
            </w:pPr>
          </w:p>
        </w:tc>
      </w:tr>
      <w:tr>
        <w:trPr>
          <w:trHeight w:val="270"/>
        </w:trPr>
        <w:tc>
          <w:tcPr>
            <w:tcW w:w="4320" w:type="dxa"/>
            <w:vAlign w:val="bottom"/>
            <w:tcBorders>
              <w:bottom w:val="single" w:sz="8" w:color="CCEEFF"/>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3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840" w:type="dxa"/>
            <w:vAlign w:val="bottom"/>
            <w:shd w:val="clear" w:color="auto" w:fill="CCEEFF"/>
          </w:tcPr>
          <w:p>
            <w:pPr>
              <w:jc w:val="right"/>
              <w:ind w:right="633"/>
              <w:spacing w:after="0"/>
              <w:rPr>
                <w:sz w:val="20"/>
                <w:szCs w:val="20"/>
                <w:color w:val="auto"/>
              </w:rPr>
            </w:pPr>
            <w:r>
              <w:rPr>
                <w:rFonts w:ascii="Arial" w:cs="Arial" w:eastAsia="Arial" w:hAnsi="Arial"/>
                <w:sz w:val="18"/>
                <w:szCs w:val="18"/>
                <w:color w:val="auto"/>
                <w:w w:val="99"/>
              </w:rPr>
              <w:t>$</w:t>
            </w:r>
          </w:p>
        </w:tc>
        <w:tc>
          <w:tcPr>
            <w:tcW w:w="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25,526</w:t>
            </w:r>
          </w:p>
        </w:tc>
        <w:tc>
          <w:tcPr>
            <w:tcW w:w="14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633"/>
              <w:spacing w:after="0"/>
              <w:rPr>
                <w:sz w:val="20"/>
                <w:szCs w:val="20"/>
                <w:color w:val="auto"/>
              </w:rPr>
            </w:pPr>
            <w:r>
              <w:rPr>
                <w:rFonts w:ascii="Arial" w:cs="Arial" w:eastAsia="Arial" w:hAnsi="Arial"/>
                <w:sz w:val="18"/>
                <w:szCs w:val="18"/>
                <w:color w:val="auto"/>
                <w:w w:val="99"/>
              </w:rPr>
              <w:t>$</w:t>
            </w: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25,526</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1" w:right="239" w:bottom="1440" w:gutter="0" w:footer="0" w:header="0"/>
          <w:type w:val="continuous"/>
        </w:sectPr>
      </w:pPr>
    </w:p>
    <w:bookmarkStart w:id="13" w:name="page14"/>
    <w:bookmarkEnd w:id="13"/>
    <w:p>
      <w:pPr>
        <w:jc w:val="center"/>
        <w:ind w:right="-119"/>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 – 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forecasted effective tax rate at June 30, 2014 was 34.7%, a 1.4% increase from the 33.3% effective tax rate recorded at December 31, 2013. Our forecasted effective tax rate could fluctuate significantly on a quarterly basis and could change to the extent that earnings, in countries with tax rates that differ from that of the U.S., differ from amounts anticipated at June 30, 2014.</w:t>
      </w:r>
    </w:p>
    <w:p>
      <w:pPr>
        <w:spacing w:after="0" w:line="18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After discrete benefit of $95, the effective tax rate for the six months ended June 30, 2014 was 30.0%. The discrete benefit is primarily attributable to tax benefits of share-based compensation.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Subsequent Events</w:t>
      </w:r>
    </w:p>
    <w:p>
      <w:pPr>
        <w:spacing w:after="0" w:line="22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Company evaluated its consolidated financial statements as of and for the six months ended June 30, 2014 for subsequent events through the date the financial statements were issued. The Company is not aware of any subsequent event which would require recognition or disclosure in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20"/>
          </w:cols>
          <w:pgMar w:left="240" w:top="121" w:right="3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spacing w:after="0" w:line="267" w:lineRule="auto"/>
        <w:rPr>
          <w:sz w:val="20"/>
          <w:szCs w:val="20"/>
          <w:color w:val="auto"/>
        </w:rPr>
      </w:pPr>
      <w:r>
        <w:rPr>
          <w:rFonts w:ascii="Arial" w:cs="Arial" w:eastAsia="Arial" w:hAnsi="Arial"/>
          <w:sz w:val="17"/>
          <w:szCs w:val="17"/>
          <w:i w:val="1"/>
          <w:iCs w:val="1"/>
          <w:color w:val="auto"/>
        </w:rPr>
        <w:t>This report on Form 10-Q includes “forward-looking statements” within the meaning of Section 27A of the Securities Act of 1933, as amended, and Section 21E of the Securities Exchange Act of 1934, as amended (the “Exchange Act”). All statements in this report, other than statements of historical fact, are forward-looking statements for purposes of these provisions, including any projections of earnings, revenues or other financial items, any statements of the plans and objectives of management for future operations, any statements concerning proposed new products or services, any statements regarding future economic conditions or performance, and any statements of assumptions underlying any of the foregoing. All forward-looking statements included in this report are made as of the date hereof and are based on information available to us as of such date. We assume no obligation to update any forward-looking statement. In some cases, forward-looking statements can be identified by the use of terminology such as “may,” “will,” “expects,” “plans,” “anticipates,” “intends,” “believes,” “estimates,” “potential,” or “continue,” or the negative thereof or other comparable terminology. Although we believe that the expectations reflected in the forward-looking statements contained herein are reasonable, there can be no assurance that any such expectations or any forward-looking statement will prove to be correct. Our actual results will vary, and may vary materially, from those projected or assumed in the forward-looking statements. Future financial condition and results of operations, as well as any forward-looking statements, are subject to inherent risks and uncertainties, including, without limitation, product recalls and product liability claims; infringement of our technology or assertion that our technology infringes the rights of other parties; termination of supplier relationships, or failure of suppliers to perform; inability to successfully manage growth; delays in obtaining regulatory approvals or the failure to maintain such approvals; concentration of our revenue among a few customers, products or procedures; development of new products and technology that could render our products obsolete; market acceptance of new products; introduction of products in a timely fashion; price and product competition, availability of labor and materials, cost increases, and fluctuations in and obsolescence of inventory; volatility of the market price of our common stock; foreign currency fluctuations; changes in key personnel; work stoppage or transportation risks; and other factors referred to in our press releases and reports filed with the SEC, including our Annual Report on Form 10-K for the year ended December 31, 2013. All subsequent forward-looking statements attributable to us or persons acting on our behalf are expressly qualified in their entirety by these cautionary statements. Additional factors that may have a direct bearing on our operating results are discussed in Part I, Item 1A “Risk Factors” in our Annual Report on Form 10-K for the year ended December 31, 2013.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ind w:right="580"/>
        <w:spacing w:after="0" w:line="264" w:lineRule="auto"/>
        <w:rPr>
          <w:sz w:val="20"/>
          <w:szCs w:val="20"/>
          <w:color w:val="auto"/>
        </w:rPr>
      </w:pPr>
      <w:r>
        <w:rPr>
          <w:rFonts w:ascii="Arial" w:cs="Arial" w:eastAsia="Arial" w:hAnsi="Arial"/>
          <w:sz w:val="18"/>
          <w:szCs w:val="18"/>
          <w:color w:val="auto"/>
        </w:rPr>
        <w:t>We are a global company that designs, develops and sells conferencing, collaboration, streaming and digital signage solutions for voice and visual communications. The performance and simplicity of our advanced comprehensive solutions offer unprecedented levels of functionality, reliability and scalability.</w:t>
      </w:r>
    </w:p>
    <w:p>
      <w:pPr>
        <w:spacing w:after="0" w:line="18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design, develop, market, and service a comprehensive line of high-quality conferencing products for personal use, as well as traditional tabletop, mid-tier premium and higher-end professional products for both large and small businesses. We occupy the number one global market share position, with nearly 50% market share in the professional audio conferencing market for our products used by large businesses and organizations such as enterprise, healthcare, education and distance learning, government, legal and finance. Our solutions save organizations time and money by creating a natural environment for collaboration and communication.</w:t>
      </w:r>
    </w:p>
    <w:p>
      <w:pPr>
        <w:spacing w:after="0" w:line="17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have an established history of product innovation and plan to continue to apply our expertise in audio, video and network engineering to develop and introduce innovative new products and enhance our existing products. Our end-users range from some of the world's largest and most prestigious companies and institutions to small and medium-sized businesses, higher education and government organizations, as well as individual consumers. We sell our commercial products to these end-users primarily through a global network of independent distributors who in turn sell our products to dealers, systems integrators and other value-added resellers.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Our business goals are to:</w:t>
      </w:r>
    </w:p>
    <w:p>
      <w:pPr>
        <w:spacing w:after="0" w:line="198"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Maintain our leading global market share in professional audio conferencing products for large businesses and organizations;</w:t>
      </w:r>
    </w:p>
    <w:p>
      <w:pPr>
        <w:spacing w:after="0" w:line="23" w:lineRule="exact"/>
        <w:rPr>
          <w:rFonts w:ascii="Arial" w:cs="Arial" w:eastAsia="Arial" w:hAnsi="Arial"/>
          <w:sz w:val="18"/>
          <w:szCs w:val="18"/>
          <w:color w:val="auto"/>
        </w:rPr>
      </w:pPr>
    </w:p>
    <w:p>
      <w:pPr>
        <w:ind w:left="660" w:right="5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Leverage the media collaboration, enterprise streaming and digital signage technologies we have acquired over the years to enter new growth markets;</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Focus on the small and medium business (SMB) market with scaled, lower cost and less complex products and solutions;</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22"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00" w:lineRule="exact"/>
        <w:rPr>
          <w:sz w:val="20"/>
          <w:szCs w:val="20"/>
          <w:color w:val="auto"/>
        </w:rPr>
      </w:pPr>
    </w:p>
    <w:p>
      <w:pPr>
        <w:spacing w:after="0" w:line="264"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Capitalize on the increasing adoption of unified communications and introduce new products through information technology channels;</w:t>
      </w:r>
    </w:p>
    <w:p>
      <w:pPr>
        <w:spacing w:after="0" w:line="23" w:lineRule="exact"/>
        <w:rPr>
          <w:rFonts w:ascii="Arial" w:cs="Arial" w:eastAsia="Arial" w:hAnsi="Arial"/>
          <w:sz w:val="18"/>
          <w:szCs w:val="18"/>
          <w:color w:val="auto"/>
        </w:rPr>
      </w:pPr>
    </w:p>
    <w:p>
      <w:pPr>
        <w:ind w:left="660" w:right="64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Capitalize on emerging market opportunities as audio visual, information technology, unified communications and traditional digital signage converge to meet enterprise and commercial multimedia needs; and</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Expand and strengthen our sales channels.</w:t>
      </w:r>
    </w:p>
    <w:p>
      <w:pPr>
        <w:spacing w:after="0" w:line="21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will continue to improve our existing high-quality products and develop new products for the burgeoning conferencing and collaboration and multimedia streaming markets and focus on strategic initiatives to achieve our business goals.</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revenues were $14.1 million and $11.7 million during the three months ended June 30, 2014 and 2013, respectively. This revenue increase is primarily due contributions from our acquisitions and from our flagship professional audio products. Our gross profit increased by $1.2 million during the three months ended June 30, 2014 compared to the three months ended June 30, 2013. Net income decreased by $111 thousand during the three months ended June 30, 2014 compared to the three months ended June 30, 2013, primarily due to higher operating expenses both due to acquisitions and internal investments in sales and marketing and research and development activities.</w:t>
      </w:r>
    </w:p>
    <w:p>
      <w:pPr>
        <w:spacing w:after="0" w:line="18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revenues were $26.8 million and $23.0 million during the six months ended June 30, 2014 and 2013, respectively. This revenue increase is primarily due to increased sales of professional audio products. Our gross profit increased by $1.9 million during the six months ended June 30, 2014 compared to the six months ended June 30, 2013. Net income decreased by $351 thousand during the six months ended June 30, 2014 compared to the six months ended June 30, 2013, primarily due to higher operating expenses both due to acquisitions and internal investments in sales and marketing and research and development activities.</w:t>
      </w:r>
    </w:p>
    <w:p>
      <w:pPr>
        <w:spacing w:after="0" w:line="188"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We expect continued growth in revenue from our acquisitions and our professional audio products. However, the prospects of growth and related magnitude in both revenues and profits in the near future will depend on the strength of the global economy and the degree of market penetration of our new products, including products added through acquisitions.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 detailed discussion of our results of operations follows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for the three and six months ended June 30, 2014 and 2013</w:t>
      </w:r>
    </w:p>
    <w:p>
      <w:pPr>
        <w:spacing w:after="0" w:line="225"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The following table sets forth certain items from our unaudited condensed consolidated statements of operations (dollars in thousands) for the three and six months ended June 30, 2014 and 2013, respectively, together with the percentage of total revenue which each such item represents: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w w:val="98"/>
              </w:rPr>
              <w:t>Three months ended June 30,</w:t>
            </w:r>
          </w:p>
        </w:tc>
        <w:tc>
          <w:tcPr>
            <w:tcW w:w="9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Six months ended June 30,</w:t>
            </w:r>
          </w:p>
        </w:tc>
        <w:tc>
          <w:tcPr>
            <w:tcW w:w="960" w:type="dxa"/>
            <w:vAlign w:val="bottom"/>
            <w:tcBorders>
              <w:bottom w:val="single" w:sz="8" w:color="auto"/>
            </w:tcBorders>
          </w:tcPr>
          <w:p>
            <w:pPr>
              <w:spacing w:after="0"/>
              <w:rPr>
                <w:sz w:val="16"/>
                <w:szCs w:val="16"/>
                <w:color w:val="auto"/>
              </w:rPr>
            </w:pPr>
          </w:p>
        </w:tc>
      </w:tr>
      <w:tr>
        <w:trPr>
          <w:trHeight w:val="264"/>
        </w:trPr>
        <w:tc>
          <w:tcPr>
            <w:tcW w:w="3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20"/>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 of Revenue</w:t>
            </w:r>
          </w:p>
        </w:tc>
        <w:tc>
          <w:tcPr>
            <w:tcW w:w="220" w:type="dxa"/>
            <w:vAlign w:val="bottom"/>
          </w:tcPr>
          <w:p>
            <w:pPr>
              <w:spacing w:after="0"/>
              <w:rPr>
                <w:sz w:val="22"/>
                <w:szCs w:val="22"/>
                <w:color w:val="auto"/>
              </w:rPr>
            </w:pPr>
          </w:p>
        </w:tc>
        <w:tc>
          <w:tcPr>
            <w:tcW w:w="700" w:type="dxa"/>
            <w:vAlign w:val="bottom"/>
          </w:tcPr>
          <w:p>
            <w:pPr>
              <w:jc w:val="right"/>
              <w:ind w:right="240"/>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 of Revenue</w:t>
            </w:r>
          </w:p>
        </w:tc>
        <w:tc>
          <w:tcPr>
            <w:tcW w:w="200" w:type="dxa"/>
            <w:vAlign w:val="bottom"/>
          </w:tcPr>
          <w:p>
            <w:pPr>
              <w:spacing w:after="0"/>
              <w:rPr>
                <w:sz w:val="22"/>
                <w:szCs w:val="22"/>
                <w:color w:val="auto"/>
              </w:rPr>
            </w:pPr>
          </w:p>
        </w:tc>
        <w:tc>
          <w:tcPr>
            <w:tcW w:w="700" w:type="dxa"/>
            <w:vAlign w:val="bottom"/>
          </w:tcPr>
          <w:p>
            <w:pPr>
              <w:jc w:val="right"/>
              <w:ind w:right="220"/>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 of Revenue</w:t>
            </w:r>
          </w:p>
        </w:tc>
        <w:tc>
          <w:tcPr>
            <w:tcW w:w="220" w:type="dxa"/>
            <w:vAlign w:val="bottom"/>
          </w:tcPr>
          <w:p>
            <w:pPr>
              <w:spacing w:after="0"/>
              <w:rPr>
                <w:sz w:val="22"/>
                <w:szCs w:val="22"/>
                <w:color w:val="auto"/>
              </w:rPr>
            </w:pPr>
          </w:p>
        </w:tc>
        <w:tc>
          <w:tcPr>
            <w:tcW w:w="700" w:type="dxa"/>
            <w:vAlign w:val="bottom"/>
          </w:tcPr>
          <w:p>
            <w:pPr>
              <w:jc w:val="right"/>
              <w:ind w:right="240"/>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w w:val="97"/>
              </w:rPr>
              <w:t>% of Revenue</w:t>
            </w:r>
          </w:p>
        </w:tc>
      </w:tr>
      <w:tr>
        <w:trPr>
          <w:trHeight w:val="236"/>
        </w:trPr>
        <w:tc>
          <w:tcPr>
            <w:tcW w:w="3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14,111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11,703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26,819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22,996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37"/>
        </w:trPr>
        <w:tc>
          <w:tcPr>
            <w:tcW w:w="3080" w:type="dxa"/>
            <w:vAlign w:val="bottom"/>
          </w:tcPr>
          <w:p>
            <w:pPr>
              <w:ind w:left="40"/>
              <w:spacing w:after="0"/>
              <w:rPr>
                <w:sz w:val="20"/>
                <w:szCs w:val="20"/>
                <w:color w:val="auto"/>
              </w:rPr>
            </w:pPr>
            <w:r>
              <w:rPr>
                <w:rFonts w:ascii="Arial" w:cs="Arial" w:eastAsia="Arial" w:hAnsi="Arial"/>
                <w:sz w:val="16"/>
                <w:szCs w:val="16"/>
                <w:color w:val="auto"/>
              </w:rPr>
              <w:t>Cost of goods sold</w:t>
            </w:r>
          </w:p>
        </w:tc>
        <w:tc>
          <w:tcPr>
            <w:tcW w:w="20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6,047</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4,839</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41%</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11,053</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9,133</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33"/>
        </w:trPr>
        <w:tc>
          <w:tcPr>
            <w:tcW w:w="3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3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Gross profit</w:t>
            </w: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8,064</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6,864</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15,766</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13,863</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w:t>
            </w:r>
          </w:p>
        </w:tc>
      </w:tr>
      <w:tr>
        <w:trPr>
          <w:trHeight w:val="237"/>
        </w:trPr>
        <w:tc>
          <w:tcPr>
            <w:tcW w:w="3080" w:type="dxa"/>
            <w:vAlign w:val="bottom"/>
          </w:tcPr>
          <w:p>
            <w:pPr>
              <w:ind w:left="40"/>
              <w:spacing w:after="0"/>
              <w:rPr>
                <w:sz w:val="20"/>
                <w:szCs w:val="20"/>
                <w:color w:val="auto"/>
              </w:rPr>
            </w:pPr>
            <w:r>
              <w:rPr>
                <w:rFonts w:ascii="Arial" w:cs="Arial" w:eastAsia="Arial" w:hAnsi="Arial"/>
                <w:sz w:val="16"/>
                <w:szCs w:val="16"/>
                <w:color w:val="auto"/>
              </w:rPr>
              <w:t>Sales and marketing</w:t>
            </w:r>
          </w:p>
        </w:tc>
        <w:tc>
          <w:tcPr>
            <w:tcW w:w="20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2,977</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2,088</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5,713</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4,356</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33"/>
        </w:trPr>
        <w:tc>
          <w:tcPr>
            <w:tcW w:w="3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Research and product development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2,330</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1,843</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4,571</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3,709</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37"/>
        </w:trPr>
        <w:tc>
          <w:tcPr>
            <w:tcW w:w="308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20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1,628</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1,437</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3,592</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3,234</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33"/>
        </w:trPr>
        <w:tc>
          <w:tcPr>
            <w:tcW w:w="3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3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Operating income</w:t>
            </w: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1,129</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1,496</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1,890</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2,564</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37"/>
        </w:trPr>
        <w:tc>
          <w:tcPr>
            <w:tcW w:w="3080" w:type="dxa"/>
            <w:vAlign w:val="bottom"/>
          </w:tcPr>
          <w:p>
            <w:pPr>
              <w:ind w:left="40"/>
              <w:spacing w:after="0"/>
              <w:rPr>
                <w:sz w:val="20"/>
                <w:szCs w:val="20"/>
                <w:color w:val="auto"/>
              </w:rPr>
            </w:pPr>
            <w:r>
              <w:rPr>
                <w:rFonts w:ascii="Arial" w:cs="Arial" w:eastAsia="Arial" w:hAnsi="Arial"/>
                <w:sz w:val="16"/>
                <w:szCs w:val="16"/>
                <w:color w:val="auto"/>
              </w:rPr>
              <w:t>Other income, net</w:t>
            </w:r>
          </w:p>
        </w:tc>
        <w:tc>
          <w:tcPr>
            <w:tcW w:w="20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145</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33"/>
        </w:trPr>
        <w:tc>
          <w:tcPr>
            <w:tcW w:w="3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3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Income before income taxes</w:t>
            </w: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1,193</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1,543</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2,035</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2,597</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37"/>
        </w:trPr>
        <w:tc>
          <w:tcPr>
            <w:tcW w:w="308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20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259</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498</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611</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822</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33"/>
        </w:trPr>
        <w:tc>
          <w:tcPr>
            <w:tcW w:w="3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3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income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934</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1,045</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1,424</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1,775</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0"/>
        </w:trPr>
        <w:tc>
          <w:tcPr>
            <w:tcW w:w="3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Revenue</w:t>
      </w:r>
    </w:p>
    <w:p>
      <w:pPr>
        <w:spacing w:after="0" w:line="22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Revenue for the three months ended June 30, 2014 was approximately $14.1 million, an increase of 21% compared to revenue of approximately $11.7 million for the three months ended June 30, 2013. The increase in revenue was due to increased demand in all regions and especially in North America and EMEA (Europe, Middle East, and Africa). The increase is also attributable to contributions of products acquired through acquisitions and growth in demand for our microphone products and other professional audio products partially offset by decline in unified communications and video products revenue.</w:t>
      </w:r>
    </w:p>
    <w:p>
      <w:pPr>
        <w:spacing w:after="0" w:line="154"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Revenue for the six months ended June 30, 2014 was approximately $26.8 million, an increase of 17% compared to revenue of approximately $23.0 million for the six months ended June 30, 2013. The revenue increase is primarily due to increased demand in North America and EMEA (Europe, Middle East, and Africa). The increase is also attributable to contributions of products acquired through acquisitions and growth in demand for our microphone products and other professional audio products partially offset by decline in unified communications and video products revenue.</w:t>
      </w:r>
    </w:p>
    <w:p>
      <w:pPr>
        <w:spacing w:after="0" w:line="171" w:lineRule="exact"/>
        <w:rPr>
          <w:sz w:val="20"/>
          <w:szCs w:val="20"/>
          <w:color w:val="auto"/>
        </w:rPr>
      </w:pPr>
    </w:p>
    <w:p>
      <w:pPr>
        <w:jc w:val="both"/>
        <w:ind w:right="80"/>
        <w:spacing w:after="0" w:line="279" w:lineRule="auto"/>
        <w:rPr>
          <w:sz w:val="20"/>
          <w:szCs w:val="20"/>
          <w:color w:val="auto"/>
        </w:rPr>
      </w:pPr>
      <w:r>
        <w:rPr>
          <w:rFonts w:ascii="Arial" w:cs="Arial" w:eastAsia="Arial" w:hAnsi="Arial"/>
          <w:sz w:val="17"/>
          <w:szCs w:val="17"/>
          <w:color w:val="auto"/>
        </w:rPr>
        <w:t>The net change in deferred revenue for the three months ended June 30, 2014 and 2013 was a net increase of deferred revenue of approximately $1.1 million and $108 thousand, respectively. The net change in deferred revenue for the six months ended June 30, 2014 and 2013 was a net increase of deferred revenue of approximately $1.1 million and $707 thousand, respectively. See “Critical Accounting Policies and Estimates” under “Revenue and Associated Allowance for Revenue Adjustments and Doubtful Accounts” below for a detailed discussion of deferred 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Costs of Goods Sold and Gross Profit</w:t>
      </w:r>
    </w:p>
    <w:p>
      <w:pPr>
        <w:spacing w:after="0" w:line="225"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Costs of goods sold include expenses associated with finished goods purchased from electronic manufacturing services (EMS) providers, in addition to other operating expenses, which include material and direct labor, our manufacturing and operations organization, property and equipment depreciation, warranty expenses, freight expenses, royalty payments, and the allocation of overhead expenses.</w:t>
      </w:r>
    </w:p>
    <w:p>
      <w:pPr>
        <w:spacing w:after="0" w:line="181"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Our Gross Profit Margin (GPM), which is gross profit as a percentage of revenue, was 57% and 59% for the quarters ended June 30, 2014 and June 30, 2013, respectively. Our GPM was 59% and 60% for the six months ended June 30, 2014 and 2013, respectively. The decrease in gross margin is primarily due to higher costs of goods sold resulting from higher overhead costs associated with such inventories sold, as well as lower margin on the wireless microphones business which is undergoing integration. These decreases in gross margin were partially offset by reduction in obsolescence charges.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Operating Expenses</w:t>
      </w:r>
    </w:p>
    <w:p>
      <w:pPr>
        <w:spacing w:after="0" w:line="18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Operating expenses for the quarter ended June 30, 2014 increased by approximately $1.6 million to $6.9 million compared to $5.4 million for the quarter ended June 30, 2013. Operating expenses for the six months ended June 30, 2014 increased by approximately $2.6 million to $13.9 million compared to $11.3 million for the six months ended June 30, 2013.</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Sales and Marketing (“S&amp;M”) Expenses. </w:t>
      </w:r>
      <w:r>
        <w:rPr>
          <w:rFonts w:ascii="Arial" w:cs="Arial" w:eastAsia="Arial" w:hAnsi="Arial"/>
          <w:sz w:val="18"/>
          <w:szCs w:val="18"/>
          <w:color w:val="auto"/>
        </w:rPr>
        <w:t>S&amp;M expenses include sales, customer service, and marketing expenses, such as employee-related costs, allocations</w:t>
      </w:r>
      <w:r>
        <w:rPr>
          <w:rFonts w:ascii="Arial" w:cs="Arial" w:eastAsia="Arial" w:hAnsi="Arial"/>
          <w:sz w:val="18"/>
          <w:szCs w:val="18"/>
          <w:i w:val="1"/>
          <w:iCs w:val="1"/>
          <w:color w:val="auto"/>
        </w:rPr>
        <w:t xml:space="preserve"> </w:t>
      </w:r>
      <w:r>
        <w:rPr>
          <w:rFonts w:ascii="Arial" w:cs="Arial" w:eastAsia="Arial" w:hAnsi="Arial"/>
          <w:sz w:val="18"/>
          <w:szCs w:val="18"/>
          <w:color w:val="auto"/>
        </w:rPr>
        <w:t>of overhead expenses, trade shows, and other advertising and sales expenses.</w:t>
      </w:r>
    </w:p>
    <w:p>
      <w:pPr>
        <w:spacing w:after="0" w:line="17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S&amp;M expenses of approximately $3.0 million for the quarter ended June 30, 2014 increased $889 thousand, or 43%, when compared to S&amp;M expenses of approximately $2.1 million for the quarter ended June 30, 2013. S&amp;M expenses of approximately $5.7 million for the six months ended June 30, 2014 increased $1.4 million, or 31%, when compared to S&amp;M expenses of approximately$4.4 million for the six months ended June 30, 2013. The quarterly and year-to-date S&amp;M expenses increased mainly due to increased commissions to sales persons and independent reps, increased headcount, additional expenses due to acquired operations and increase in trade-show related expenses.</w:t>
      </w:r>
    </w:p>
    <w:p>
      <w:pPr>
        <w:spacing w:after="0" w:line="18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 xml:space="preserve">Research and Development (“R&amp;D”) Expenses. </w:t>
      </w:r>
      <w:r>
        <w:rPr>
          <w:rFonts w:ascii="Arial" w:cs="Arial" w:eastAsia="Arial" w:hAnsi="Arial"/>
          <w:sz w:val="18"/>
          <w:szCs w:val="18"/>
          <w:color w:val="auto"/>
        </w:rPr>
        <w:t>R&amp;D expenses include research and development and product line management, including employee-related</w:t>
      </w:r>
      <w:r>
        <w:rPr>
          <w:rFonts w:ascii="Arial" w:cs="Arial" w:eastAsia="Arial" w:hAnsi="Arial"/>
          <w:sz w:val="18"/>
          <w:szCs w:val="18"/>
          <w:i w:val="1"/>
          <w:iCs w:val="1"/>
          <w:color w:val="auto"/>
        </w:rPr>
        <w:t xml:space="preserve"> </w:t>
      </w:r>
      <w:r>
        <w:rPr>
          <w:rFonts w:ascii="Arial" w:cs="Arial" w:eastAsia="Arial" w:hAnsi="Arial"/>
          <w:sz w:val="18"/>
          <w:szCs w:val="18"/>
          <w:color w:val="auto"/>
        </w:rPr>
        <w:t>costs, outside services, expensed materials and depreciation, and an allocation of overhead expenses.</w:t>
      </w:r>
    </w:p>
    <w:p>
      <w:pPr>
        <w:spacing w:after="0" w:line="170"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R&amp;D expenses of approximately $2.3 million for the quarter ended June 30, 2014 increased by $0.5 million, or 26%, when compared to R&amp;D expenses of approximately $1.8 million for the quarter ended June 30, 2013. R&amp;D expenses of approximately $4.6 million for the six months ended June 30, 2014 increased by $862 thousand, or 23%, when compared to</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00" w:lineRule="exact"/>
        <w:rPr>
          <w:sz w:val="20"/>
          <w:szCs w:val="20"/>
          <w:color w:val="auto"/>
        </w:rPr>
      </w:pPr>
    </w:p>
    <w:p>
      <w:pPr>
        <w:spacing w:after="0" w:line="26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R&amp;D expenses of approximately $3.7 million for the six months ended June 30, 2013. The changes in quarterly and year-to-date expenses were mainly due to increase in R&amp;D project costs and increased expenses on acquired operations.</w:t>
      </w:r>
    </w:p>
    <w:p>
      <w:pPr>
        <w:spacing w:after="0" w:line="170"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i w:val="1"/>
          <w:iCs w:val="1"/>
          <w:color w:val="auto"/>
        </w:rPr>
        <w:t xml:space="preserve">General and Administrative (“G&amp;A”) Expenses. </w:t>
      </w:r>
      <w:r>
        <w:rPr>
          <w:rFonts w:ascii="Arial" w:cs="Arial" w:eastAsia="Arial" w:hAnsi="Arial"/>
          <w:sz w:val="17"/>
          <w:szCs w:val="17"/>
          <w:color w:val="auto"/>
        </w:rPr>
        <w:t>G&amp;A expenses include employee-related costs, professional service fees, allocations of overhead expenses,</w:t>
      </w:r>
      <w:r>
        <w:rPr>
          <w:rFonts w:ascii="Arial" w:cs="Arial" w:eastAsia="Arial" w:hAnsi="Arial"/>
          <w:sz w:val="17"/>
          <w:szCs w:val="17"/>
          <w:i w:val="1"/>
          <w:iCs w:val="1"/>
          <w:color w:val="auto"/>
        </w:rPr>
        <w:t xml:space="preserve"> </w:t>
      </w:r>
      <w:r>
        <w:rPr>
          <w:rFonts w:ascii="Arial" w:cs="Arial" w:eastAsia="Arial" w:hAnsi="Arial"/>
          <w:sz w:val="17"/>
          <w:szCs w:val="17"/>
          <w:color w:val="auto"/>
        </w:rPr>
        <w:t>litigation costs, and corporate administrative costs, including finance, information technology and human resources costs.</w:t>
      </w:r>
    </w:p>
    <w:p>
      <w:pPr>
        <w:spacing w:after="0" w:line="14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G&amp;A expenses of approximately $1.6 million for the quarter ended June 30, 2014 increased by $191 thousand, or 13%, when compared to G&amp;A expenses of approximately $1.4 million for the quarter ended June 30, 2013. G&amp;A expenses of approximately $3.6 million for the six months ended June 30, 2014 increased by $358 thousand, or 11%, when compared to G&amp;A expenses of approximately $3.2 million for the six months ended June 30, 2013. The quarterly and year-to-date G&amp;A expenses increased mainly due to increased amortization expenses on acquired intangible assets, expenses on acquired operations, acquisition related expenses and accounting and auditing expenses. These increases were partially offset by reduction in legal expenses and recruitment related expenses.</w:t>
      </w:r>
    </w:p>
    <w:p>
      <w:pPr>
        <w:spacing w:after="0" w:line="19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During the six months ended June 30, 2014, we continued to incur high legal expenses due to various legal proceedings explained in detail in our Form 10-K for the year ended December 31, 2013 and the update provided under "Item 1. Legal Proceedings" of Part II to this report.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Other income (expense), net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 includes interest income, interest expense, and currency gain (loss).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Provision for income taxes</w:t>
      </w:r>
    </w:p>
    <w:p>
      <w:pPr>
        <w:spacing w:after="0" w:line="22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During the quarter ended June 30, 2014, we accrued income taxes at the expected annualized rate of 34.7% as compared to an annualized rate of 33.3% used for the accrual made for the quarter ended June 30, 2013. The 1.4% increase in the expected annualized rate was primarily due to the U.S. research and development tax credit, which was in effect for the quarter ended June 30, 2013, but has not been extended as of June 30, 2014. In addition, a discrete tax benefit of $95 thousand related to tax benefits of share-based compensation was recognized during the six months ended June 30, 2014.</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As of June 30, 2014, our cash, cash equivalents, and marketable securities were approximately $32.3 million, a decrease of $10.4 million compared to cash and cash equivalents of approximately $42.7 million as of December 31, 2013.</w:t>
      </w:r>
    </w:p>
    <w:p>
      <w:pPr>
        <w:spacing w:after="0" w:line="17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Net cash provided by operating activities was approximately $2.8 million during the six months ended June 30, 2014, an increase of $15.4 million compared to approximately $12.6 million in cash provided by operating activities during the six months ended June 30, 2013. The increase in cash flow was primarily due to absence of a large tax payment in the first half of 2014. In the first quarter of 2013 we paid income taxes related to arbitration settlement proceeds received in the last quarter of 2012. The increase in cash flow was also due to the timing of receipts and payments of working capital, which include accounts receivable, accounts payable, accrued expenses, inventories, and prepaid expenses and other assets.</w:t>
      </w:r>
    </w:p>
    <w:p>
      <w:pPr>
        <w:spacing w:after="0" w:line="17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Net cash used in investing activities during the six months ended June 30, 2014 was approximately $13.9 million, which consisted of the payments for the acquisition of the business of Sabine of $8.0 million, payments related to the acquiring of the Spontania product line of $5.1 million and approximately $371 thousand in payments towards purchases of equipment. Net cash used in investing activities during the six months ended June 30, 2013 was approximately $9.8 million, which includes proximately $9.3 million in payments towards the purchase of marketable securities and approximately $457 thousand towards the purchase of equipment.</w:t>
      </w:r>
    </w:p>
    <w:p>
      <w:pPr>
        <w:spacing w:after="0" w:line="18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Net cash provided by financing activities during the six months ended June 30, 2014 was approximately $131 thousand, which consisted of the acquisition of outstanding stock totaling $1.2 million, offset by $1.3 million in proceeds received through exercise of stock options and a net $35 thousand in tax benefits from the exercise of stock options and stock registration costs. During the six months ended June 30, 2013, net cash used in financing activities was $789 thousand, which consisted of the acquisition of outstanding stock totaling $991 thousand, offset by $202 thousand in proceeds and tax benefits received through the exercise of stock options.</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125" w:right="27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2014, our working capital was $30.3 million as compared to $39.4 million as of December 31, 2013.</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believe that our current cash balance, future income from operations and effective management of working capital will provide the liquidity needed to meet our short-term and long-term operating requirements and finance our growth plans. We also believe that our strong financial position and sound business structure will enable us to raise additional capital when needed to meet our short and long-term financing needs. In addition to capital expenditures, we may use cash in the near future for selective infusions of technology, sales &amp; marketing, infrastructure, and other investments to fuel our growth, as well as acquisitions that may strategically fit our business and are accretive to our performance. We may also use cash to finance the repurchase of our outstanding stock.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discussion and analysis of our results of operations and financial position are based upon our consolidated financial statements, which have been prepared in accordance with U.S. generally accepted accounting principles. We review the accounting policies used in reporting our financial results on a regular basis. The preparation of these financial statements requires us to make estimates and assumptions that affect the reported amounts of assets and liabilities and the disclosure of contingent assets and liabilities at the date of the financial statements and the reported amounts of revenue and expenses during the reporting period. We evaluate our assumptions and estimates on an ongoing basis and may employ outside experts to assist in our evaluations. We believe that the estimates we use are reasonable; however, actual results could differ from those estimates.</w:t>
      </w:r>
    </w:p>
    <w:p>
      <w:pPr>
        <w:spacing w:after="0" w:line="17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significant accounting policies are described in Note 2 of the Notes to the Consolidated Financial Statements included in our Annual Report on Form 10-K for the year ended December 31, 2013 and Note 1 to the Condensed Consolidated Financial Statements set forth in Part I, Item I herein. We believe the policies described below identify our most critical accounting policies, which are the policies that are both important to the representation of our financial condition and results and require our most difficult, subjective or complex judgments, often as a result of the need to make estimates about the effect of matters that are inherently uncertain.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Revenue and Associated Allowances for Revenue Adjustments and Doubtful Accounts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Included in continuing operations is product revenue, primarily from product sales to distributors, dealers, and end-users. Product revenue is recognized when</w:t>
      </w:r>
    </w:p>
    <w:p>
      <w:pPr>
        <w:spacing w:after="0" w:line="46" w:lineRule="exact"/>
        <w:rPr>
          <w:sz w:val="20"/>
          <w:szCs w:val="20"/>
          <w:color w:val="auto"/>
        </w:rPr>
      </w:pPr>
    </w:p>
    <w:p>
      <w:pPr>
        <w:ind w:right="60" w:firstLine="8"/>
        <w:spacing w:after="0" w:line="261" w:lineRule="auto"/>
        <w:tabs>
          <w:tab w:leader="none" w:pos="21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products are shipped and any right of return expires, (ii) persuasive evidence of an arrangement exists, (iii) the price is fixed and determinable, and (iv) collection is reasonably assured.</w:t>
      </w:r>
    </w:p>
    <w:p>
      <w:pPr>
        <w:spacing w:after="0" w:line="184"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We provide a right of return on product sales to major distributors under a product rotation program. Under this seldom-used program, once a quarter, a distributor is allowed to return products purchased during the prior quarter for a total value generally not exceeding 15% of the distributor’s net purchases during the preceding quarter. The distributor is, however, required to place a new purchase order for an amount not less than the value of products returned under the product rotation program. When products are returned, the associated revenue, cost of goods sold, inventory and accounts receivable originally recorded are reversed. When the new order is placed, the revenue, associated cost of goods sold, inventory and accounts receivable are recorded and the product revenue is subject to the deferral analysis described below. In a small number of cases, the distributors are also permitted to return the products for other business reasons.</w:t>
      </w:r>
    </w:p>
    <w:p>
      <w:pPr>
        <w:spacing w:after="0" w:line="18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Revenue from product sales to distributors is not recognized until the return privilege has expired or until it can be determined with reasonable certainty that the return privilege has expired, which approximates when the product is sold-through to customers of our distributors (dealers, system integrators, value-added resellers, and end-users), rather than when the product is initially shipped to a distributor. At each quarter-end, we evaluate the inventory in the distribution channel through information provided by our distributors. The level of inventory in the channel will fluctuate up or down each quarter based upon our distributors’ individual operations. Accordingly, each quarter-end deferral of revenue and associated cost of goods sold are calculated and recorded based upon the actual channel inventory reported at quarter-end. Further, with respect to distributors and other channel partners not reporting the channel inventory, the revenue and associated cost of goods sold are deferred until we receive payment for the product sales made to such distributors or channel partners.</w:t>
      </w:r>
    </w:p>
    <w:p>
      <w:pPr>
        <w:spacing w:after="0" w:line="16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The accuracy of the deferred revenue and costs depend to a large extent on the accuracy of the inventory reports provided by our distributors and other resellers and any material error in those reports would affect our revenue deferral. However, we believe that the controls we have in place, including periodic physical inventory verifications and analytical reviews, would help us identify and prevent any material errors in such reports.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amount of deferred cost of goods sold was included in consigned inventory. The following table details the amount of deferred revenue, cost of goods sold, and gross profit as of June 30, 2014 and December 31, 2013:</w:t>
      </w:r>
    </w:p>
    <w:p>
      <w:pPr>
        <w:spacing w:after="0" w:line="130"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7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gridSpan w:val="2"/>
          </w:tcPr>
          <w:p>
            <w:pPr>
              <w:ind w:left="120"/>
              <w:spacing w:after="0"/>
              <w:rPr>
                <w:sz w:val="20"/>
                <w:szCs w:val="20"/>
                <w:color w:val="auto"/>
              </w:rPr>
            </w:pPr>
            <w:r>
              <w:rPr>
                <w:rFonts w:ascii="Arial" w:cs="Arial" w:eastAsia="Arial" w:hAnsi="Arial"/>
                <w:sz w:val="16"/>
                <w:szCs w:val="16"/>
                <w:b w:val="1"/>
                <w:bCs w:val="1"/>
                <w:color w:val="auto"/>
              </w:rPr>
              <w:t>As of June 30, 2014</w:t>
            </w:r>
          </w:p>
        </w:tc>
        <w:tc>
          <w:tcPr>
            <w:tcW w:w="160" w:type="dxa"/>
            <w:vAlign w:val="bottom"/>
          </w:tcPr>
          <w:p>
            <w:pPr>
              <w:spacing w:after="0"/>
              <w:rPr>
                <w:sz w:val="18"/>
                <w:szCs w:val="18"/>
                <w:color w:val="auto"/>
              </w:rPr>
            </w:pPr>
          </w:p>
        </w:tc>
        <w:tc>
          <w:tcPr>
            <w:tcW w:w="1900" w:type="dxa"/>
            <w:vAlign w:val="bottom"/>
          </w:tcPr>
          <w:p>
            <w:pPr>
              <w:jc w:val="right"/>
              <w:ind w:right="92"/>
              <w:spacing w:after="0"/>
              <w:rPr>
                <w:sz w:val="20"/>
                <w:szCs w:val="20"/>
                <w:color w:val="auto"/>
              </w:rPr>
            </w:pPr>
            <w:r>
              <w:rPr>
                <w:rFonts w:ascii="Arial" w:cs="Arial" w:eastAsia="Arial" w:hAnsi="Arial"/>
                <w:sz w:val="16"/>
                <w:szCs w:val="16"/>
                <w:b w:val="1"/>
                <w:bCs w:val="1"/>
                <w:color w:val="auto"/>
                <w:w w:val="90"/>
              </w:rPr>
              <w:t>As of December 31, 2013</w:t>
            </w:r>
          </w:p>
        </w:tc>
      </w:tr>
      <w:tr>
        <w:trPr>
          <w:trHeight w:val="33"/>
        </w:trPr>
        <w:tc>
          <w:tcPr>
            <w:tcW w:w="7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37"/>
        </w:trPr>
        <w:tc>
          <w:tcPr>
            <w:tcW w:w="7160" w:type="dxa"/>
            <w:vAlign w:val="bottom"/>
          </w:tcPr>
          <w:p>
            <w:pPr>
              <w:spacing w:after="0"/>
              <w:rPr>
                <w:sz w:val="20"/>
                <w:szCs w:val="20"/>
                <w:color w:val="auto"/>
              </w:rPr>
            </w:pPr>
            <w:r>
              <w:rPr>
                <w:rFonts w:ascii="Arial" w:cs="Arial" w:eastAsia="Arial" w:hAnsi="Arial"/>
                <w:sz w:val="18"/>
                <w:szCs w:val="18"/>
                <w:color w:val="auto"/>
              </w:rPr>
              <w:t>Deferred revenue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12"/>
              <w:spacing w:after="0"/>
              <w:rPr>
                <w:sz w:val="20"/>
                <w:szCs w:val="20"/>
                <w:color w:val="auto"/>
              </w:rPr>
            </w:pPr>
            <w:r>
              <w:rPr>
                <w:rFonts w:ascii="Arial" w:cs="Arial" w:eastAsia="Arial" w:hAnsi="Arial"/>
                <w:sz w:val="18"/>
                <w:szCs w:val="18"/>
                <w:color w:val="auto"/>
              </w:rPr>
              <w:t>5,244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ind w:right="12"/>
              <w:spacing w:after="0"/>
              <w:rPr>
                <w:sz w:val="20"/>
                <w:szCs w:val="20"/>
                <w:color w:val="auto"/>
              </w:rPr>
            </w:pPr>
            <w:r>
              <w:rPr>
                <w:rFonts w:ascii="Arial" w:cs="Arial" w:eastAsia="Arial" w:hAnsi="Arial"/>
                <w:sz w:val="18"/>
                <w:szCs w:val="18"/>
                <w:color w:val="auto"/>
              </w:rPr>
              <w:t>4,158</w:t>
            </w:r>
          </w:p>
        </w:tc>
      </w:tr>
      <w:tr>
        <w:trPr>
          <w:trHeight w:val="270"/>
        </w:trPr>
        <w:tc>
          <w:tcPr>
            <w:tcW w:w="7160" w:type="dxa"/>
            <w:vAlign w:val="bottom"/>
          </w:tcPr>
          <w:p>
            <w:pPr>
              <w:spacing w:after="0"/>
              <w:rPr>
                <w:sz w:val="20"/>
                <w:szCs w:val="20"/>
                <w:color w:val="auto"/>
              </w:rPr>
            </w:pPr>
            <w:r>
              <w:rPr>
                <w:rFonts w:ascii="Arial" w:cs="Arial" w:eastAsia="Arial" w:hAnsi="Arial"/>
                <w:sz w:val="18"/>
                <w:szCs w:val="18"/>
                <w:color w:val="auto"/>
              </w:rPr>
              <w:t>Deferred cost of goods sold</w:t>
            </w:r>
          </w:p>
        </w:tc>
        <w:tc>
          <w:tcPr>
            <w:tcW w:w="240" w:type="dxa"/>
            <w:vAlign w:val="bottom"/>
          </w:tcPr>
          <w:p>
            <w:pPr>
              <w:spacing w:after="0"/>
              <w:rPr>
                <w:sz w:val="23"/>
                <w:szCs w:val="23"/>
                <w:color w:val="auto"/>
              </w:rPr>
            </w:pPr>
          </w:p>
        </w:tc>
        <w:tc>
          <w:tcPr>
            <w:tcW w:w="1820" w:type="dxa"/>
            <w:vAlign w:val="bottom"/>
          </w:tcPr>
          <w:p>
            <w:pPr>
              <w:jc w:val="right"/>
              <w:ind w:right="12"/>
              <w:spacing w:after="0"/>
              <w:rPr>
                <w:sz w:val="20"/>
                <w:szCs w:val="20"/>
                <w:color w:val="auto"/>
              </w:rPr>
            </w:pPr>
            <w:r>
              <w:rPr>
                <w:rFonts w:ascii="Arial" w:cs="Arial" w:eastAsia="Arial" w:hAnsi="Arial"/>
                <w:sz w:val="18"/>
                <w:szCs w:val="18"/>
                <w:color w:val="auto"/>
              </w:rPr>
              <w:t>1,795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900" w:type="dxa"/>
            <w:vAlign w:val="bottom"/>
          </w:tcPr>
          <w:p>
            <w:pPr>
              <w:jc w:val="right"/>
              <w:ind w:right="12"/>
              <w:spacing w:after="0"/>
              <w:rPr>
                <w:sz w:val="20"/>
                <w:szCs w:val="20"/>
                <w:color w:val="auto"/>
              </w:rPr>
            </w:pPr>
            <w:r>
              <w:rPr>
                <w:rFonts w:ascii="Arial" w:cs="Arial" w:eastAsia="Arial" w:hAnsi="Arial"/>
                <w:sz w:val="18"/>
                <w:szCs w:val="18"/>
                <w:color w:val="auto"/>
              </w:rPr>
              <w:t>1,520</w:t>
            </w:r>
          </w:p>
        </w:tc>
      </w:tr>
      <w:tr>
        <w:trPr>
          <w:trHeight w:val="27"/>
        </w:trPr>
        <w:tc>
          <w:tcPr>
            <w:tcW w:w="7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57"/>
        </w:trPr>
        <w:tc>
          <w:tcPr>
            <w:tcW w:w="7160" w:type="dxa"/>
            <w:vAlign w:val="bottom"/>
          </w:tcPr>
          <w:p>
            <w:pPr>
              <w:spacing w:after="0"/>
              <w:rPr>
                <w:sz w:val="20"/>
                <w:szCs w:val="20"/>
                <w:color w:val="auto"/>
              </w:rPr>
            </w:pPr>
            <w:r>
              <w:rPr>
                <w:rFonts w:ascii="Arial" w:cs="Arial" w:eastAsia="Arial" w:hAnsi="Arial"/>
                <w:sz w:val="18"/>
                <w:szCs w:val="18"/>
                <w:color w:val="auto"/>
              </w:rPr>
              <w:t>Deferred gross profit</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3,449</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2,638</w:t>
            </w:r>
          </w:p>
        </w:tc>
      </w:tr>
      <w:tr>
        <w:trPr>
          <w:trHeight w:val="20"/>
        </w:trPr>
        <w:tc>
          <w:tcPr>
            <w:tcW w:w="7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offer rebates and market development funds to certain of our distributors, dealers/resellers, and end-users based upon volume of product purchased by them. We record rebates as a reduction of revenue in accordance with GAAP.</w:t>
      </w:r>
    </w:p>
    <w:p>
      <w:pPr>
        <w:spacing w:after="0" w:line="170"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We offer credit terms on the sale of our products to a majority of our customers and perform ongoing credit evaluations of our customers’ financial condition. We maintain an allowance for doubtful accounts for estimated losses resulting from the inability or unwillingness of our customers to make required payments based upon our historical collection experience and expected collectability of all accounts receivable. Our actual bad debts in future periods may differ from our current estimates and the differences may be material, which may have an adverse impact on our future accounts receivable and cash position.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Impairment of Goodwill and Intangible Assets</w:t>
      </w:r>
    </w:p>
    <w:p>
      <w:pPr>
        <w:spacing w:after="0" w:line="117" w:lineRule="exact"/>
        <w:rPr>
          <w:sz w:val="20"/>
          <w:szCs w:val="20"/>
          <w:color w:val="auto"/>
        </w:rPr>
      </w:pPr>
    </w:p>
    <w:p>
      <w:pPr>
        <w:jc w:val="both"/>
        <w:ind w:right="80"/>
        <w:spacing w:after="0" w:line="297" w:lineRule="auto"/>
        <w:rPr>
          <w:sz w:val="20"/>
          <w:szCs w:val="20"/>
          <w:color w:val="auto"/>
        </w:rPr>
      </w:pPr>
      <w:r>
        <w:rPr>
          <w:rFonts w:ascii="Arial" w:cs="Arial" w:eastAsia="Arial" w:hAnsi="Arial"/>
          <w:sz w:val="16"/>
          <w:szCs w:val="16"/>
          <w:color w:val="auto"/>
        </w:rPr>
        <w:t>Goodwill is measured as the excess of the cost of acquisition over the sum of the amounts assigned to tangible and identifiable intangible assets acquired less liabilities assumed. We perform impairment tests of goodwill and intangible assets with indefinite useful lives on an annual basis in the fourth fiscal quarter, or sooner if a triggering event occurs suggesting possible impairment of the values of these assets. There were no impairments recorded in 2014 and 2013 as no impairment indicators existed. However, due to uncertainty in the industrial, technological, and competitive environments in which we operate, we might be required to exit or dispose of the assets acquired through our acquisitions, which could result in an impairment of goodwill and intangible assets.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Impairment of Long-Lived Assets</w:t>
      </w:r>
    </w:p>
    <w:p>
      <w:pPr>
        <w:spacing w:after="0" w:line="11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assess the impairment of long-lived assets, such as property and equipment and definite-lived intangibles subject to amortization, annually or whenever events or changes in circumstances indicate that the carrying value of an asset may not be recoverable. Recoverability of assets to be held and used is measured by a comparison of the carrying amount of an asset or asset group to estimated future undiscounted net cash flows of the related asset or group of assets over their remaining lives. If the carrying amount of an asset exceeds its estimated future undiscounted cash flows, an impairment charge is recognized for the amount by which the carrying amount exceeds the estimated fair value of the asset. Impairment of long-lived assets is assessed at the lowest levels for which there are identifiable cash flows that are independent of other groups of assets. The impairment of long-lived assets requires judgments and estimates. If circumstances change, such estimates could also change. Assets held for sale are reported at the lower of the carrying amount or fair value, less the estimated costs to sell.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Accounting for Income Taxes</w:t>
      </w:r>
    </w:p>
    <w:p>
      <w:pPr>
        <w:spacing w:after="0" w:line="11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We are subject to income taxes in both the United States and in certain foreign jurisdictions. We estimate our current tax position together with our future tax consequences attributable to temporary differences resulting from differing treatment of items, such as deferred revenue, depreciation, and other reserves for tax and accounting purposes. These temporary differences result in deferred tax assets and liabilities. We must then assess the likelihood that our deferred tax assets will be recovered from future taxable income, prior-year carryback, or future reversals of existing taxable temporary differences. To the extent we believe that recovery is not more likely than not, we establish a valuation allowance against these deferred tax assets. Significant judgment is required in determining our provision for income taxes, our deferred tax assets and liabilities, and any valuation allowance recorded against our deferred tax assets.</w:t>
      </w:r>
    </w:p>
    <w:p>
      <w:pPr>
        <w:spacing w:after="0" w:line="16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To the extent we establish a valuation allowance in a period, we must include and expense the allowance within the tax provision in the consolidated statement of operations. In accordance with ASC Topic 740, "Accounting for Income Taxes", we analyzed our valuation allowance at December 31, 2013 and determined that based upon available evidence it is more likely than not that certain of our deferred tax assets related to capital loss carryovers, state research and development credits, and foreign net operating loss carryovers will not be realized and, accordingly, we have recorded a valuation allowance against these deferred tax assets in the amount of $378 thousand.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Lower-of-Cost or Market Adjustments and Reserves for Excess and Obsolete Inventory</w:t>
      </w:r>
    </w:p>
    <w:p>
      <w:pPr>
        <w:spacing w:after="0" w:line="11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account for our inventory on a first-in, first-out basis, and make appropriate adjustments on a quarterly basis to write down the value of inventory to the lower-of-cost or market. In addition to the price of the product purchased, the cost of inventory includes our internal manufacturing costs, including warehousing, material purchasing, quality and product planning expenses.</w:t>
      </w:r>
    </w:p>
    <w:p>
      <w:pPr>
        <w:spacing w:after="0" w:line="18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perform a quarterly analysis of obsolete and slow-moving inventory to determine if any inventory needs to be written down. In general, we write down our excess and obsolete inventory by an amount that is equal to the difference between the cost of the inventory and its estimated market value if market value is less than cost, based upon assumptions about future product life-cycles, product demand, shelf life of the product, inter-changeability of the product and market conditions. Those items that are found to have a supply in excess of our estimated current demand are considered to be slow-moving or obsolete and classified as long-term. An appropriate reserve is made to write down the value of that inventory to its expected realizable value. These charges are recorded in cost of goods sold. The reserve against slow-moving or obsolete inventory is increased or reduced based on several factors which, among other things, require us to make an estimate of a product’s life-cycle, potential demand and our ability to sell these products at estimated price levels. While we make considerable efforts to calculate reasonable estimates of these variables, actual results may vary. If there were to be a sudden and significant decrease in demand for our products, or if there were a higher incidence of inventory obsolescence because of changing technology and customer requirements, we could be required to increase our inventory allowances and our gross profit could be adversely affected.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Share-Based Compensation</w:t>
      </w:r>
    </w:p>
    <w:p>
      <w:pPr>
        <w:spacing w:after="0" w:line="11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December 2004, the FASB issued guidelines now contained under FASB ASC Topic 718, "Compensation – Stock Compensation". ASC Topic 718 establishes standards for the accounting for transactions in which an entity exchanges its equity instruments for goods or services. Primarily, ASC Topic 718 focuses on accounting for transactions in which an entity obtains employee services in share-based payment transactions. It also addresses transactions in which an entity incurs liabilities in exchange for goods or services that are based on the fair value of the entity’s equity instruments or that may be settled by the issuance of those equity instruments.</w:t>
      </w:r>
    </w:p>
    <w:p>
      <w:pPr>
        <w:spacing w:after="0" w:line="18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Under ASC Topic 718, we measure the cost of employee services received in exchange for an award of equity instruments based on the grant date fair value of the award (with limited exceptions). That cost will be recognized over the period during which an employee is required to provide services in exchange for the awards – the requisite service period (usually the vesting period). No compensation cost is recognized for equity instruments for which employees do not render the requisite service. Therefore, if an employee does not ultimately render the requisite service, the costs associated with the unvested options will not be recognized cumulatively.</w:t>
      </w:r>
    </w:p>
    <w:p>
      <w:pPr>
        <w:spacing w:after="0" w:line="18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Under ASC Topic 718, we recognize compensation cost net of an anticipated forfeiture rate and recognize the associated compensation cost for those awards expected to vest on a straight-line basis over the requisite service period. We use judgment in determining the fair value of the share-based payments on the date of grant using an option-pricing model with assumptions regarding a number of highly complex and subjective variables. These variables include, but are not limited to, the risk-free interest rate of the awards, the expected life of the awards, the expected volatility over the term of the awards, the expected dividends of the awards, and an estimate of the amount of awards that are expected to be forfeited. If assumptions change in the application of ASC Topic 718 and its fair value recognition provisions in future periods, the stock-based compensation cost ultimately recorded under the guidelines of ASC Topic 718 may differ significantly from what was recorded in the current period.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An evaluation of the effectiveness of our disclosure controls and procedures (as defined in Rules 13a-15(e) and 15d-15(e) of the Exchange Act) as of June 30, 2014 was performed under the supervision and with the participation of our management, including our Chief Executive Officer and our Chief Financial Officer. Based on this evaluation, our management, including our Chief Executive Officer and Chief Financial Officer, concluded that our disclosure controls and procedures are effective as of June 30, 2014 to ensure that information required to be disclosed by us in reports we file or submit under the Exchange Act is recorded, processed, summarized and reported as specified in the SEC’s rules and forms.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CLEARONE, INC.</w:t>
      </w:r>
    </w:p>
    <w:p>
      <w:pPr>
        <w:spacing w:after="0" w:line="200" w:lineRule="exact"/>
        <w:rPr>
          <w:sz w:val="20"/>
          <w:szCs w:val="20"/>
          <w:color w:val="auto"/>
        </w:rPr>
      </w:pP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was no change in our internal control over financial reporting during the quarter ended June 30, 2014 that materially affected, or that we believe is reasonably likely to materially affect, our internal control over financial reporting.</w:t>
      </w:r>
    </w:p>
    <w:p>
      <w:pPr>
        <w:spacing w:after="0" w:line="200" w:lineRule="exact"/>
        <w:rPr>
          <w:sz w:val="20"/>
          <w:szCs w:val="20"/>
          <w:color w:val="auto"/>
        </w:rPr>
      </w:pPr>
    </w:p>
    <w:p>
      <w:pPr>
        <w:spacing w:after="0" w:line="214"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240" w:top="121" w:right="65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following is an update to the status of the legal proceedings and commitments and contingencies reported in our Form 10-K for the year ended December 31, 2013 under Part I, Item 3. Legal Proceedings and Note 8 - Commitments and Contingencies of the Notes to Consolidated Financial Statements (Part II, Item 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Former Officer Indemnification</w:t>
      </w:r>
    </w:p>
    <w:p>
      <w:pPr>
        <w:spacing w:after="0" w:line="221" w:lineRule="exact"/>
        <w:rPr>
          <w:sz w:val="20"/>
          <w:szCs w:val="20"/>
          <w:color w:val="auto"/>
        </w:rPr>
      </w:pPr>
    </w:p>
    <w:p>
      <w:pPr>
        <w:ind w:right="60"/>
        <w:spacing w:after="0" w:line="303" w:lineRule="auto"/>
        <w:rPr>
          <w:sz w:val="20"/>
          <w:szCs w:val="20"/>
          <w:color w:val="auto"/>
        </w:rPr>
      </w:pPr>
      <w:r>
        <w:rPr>
          <w:rFonts w:ascii="Arial" w:cs="Arial" w:eastAsia="Arial" w:hAnsi="Arial"/>
          <w:sz w:val="16"/>
          <w:szCs w:val="16"/>
          <w:b w:val="1"/>
          <w:bCs w:val="1"/>
          <w:color w:val="auto"/>
        </w:rPr>
        <w:t>Flood</w:t>
      </w:r>
      <w:r>
        <w:rPr>
          <w:rFonts w:ascii="Arial" w:cs="Arial" w:eastAsia="Arial" w:hAnsi="Arial"/>
          <w:sz w:val="16"/>
          <w:szCs w:val="16"/>
          <w:color w:val="auto"/>
        </w:rPr>
        <w:t>: On or about March 1, 2013, Flood filed for personal bankruptcy in the U.S. Bankruptcy Court for the Eastern District of Virginia. On March 19, 2013,</w:t>
      </w:r>
      <w:r>
        <w:rPr>
          <w:rFonts w:ascii="Arial" w:cs="Arial" w:eastAsia="Arial" w:hAnsi="Arial"/>
          <w:sz w:val="16"/>
          <w:szCs w:val="16"/>
          <w:b w:val="1"/>
          <w:bCs w:val="1"/>
          <w:color w:val="auto"/>
        </w:rPr>
        <w:t xml:space="preserve"> </w:t>
      </w:r>
      <w:r>
        <w:rPr>
          <w:rFonts w:ascii="Arial" w:cs="Arial" w:eastAsia="Arial" w:hAnsi="Arial"/>
          <w:sz w:val="16"/>
          <w:szCs w:val="16"/>
          <w:color w:val="auto"/>
        </w:rPr>
        <w:t>the District Court issued an order staying the Utah case. On June 2, 2014, on the parties’ cross-motions for summary judgment, the bankruptcy judge ruled that Flood’s debt to ClearOne for the criminal defense fees advanced on her behalf is dischargeable in bankruptcy. On August 5, 2014 ClearOne and Flood entered into a settlement agreement whereby ClearOne released Flood from any claims in exchange for Flood's release of ClearOne.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table below summarizes information about our purchases of our equity securities registered pursuant to Section 12 of the Exchange Act of 1934, as amended, during the quarterly period ended June 30, 2014.</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Maximum Approximate</w:t>
            </w: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Total Number of Shares</w:t>
            </w:r>
          </w:p>
        </w:tc>
        <w:tc>
          <w:tcPr>
            <w:tcW w:w="1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Dollar Value of Shares</w:t>
            </w: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5"/>
              </w:rPr>
              <w:t>that May Yet Be</w:t>
            </w: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 Number of</w:t>
            </w:r>
          </w:p>
        </w:tc>
        <w:tc>
          <w:tcPr>
            <w:tcW w:w="16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Average Price Paid Per</w:t>
            </w:r>
          </w:p>
        </w:tc>
        <w:tc>
          <w:tcPr>
            <w:tcW w:w="1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Purchased as Part of</w:t>
            </w:r>
          </w:p>
        </w:tc>
        <w:tc>
          <w:tcPr>
            <w:tcW w:w="140" w:type="dxa"/>
            <w:vAlign w:val="bottom"/>
          </w:tcPr>
          <w:p>
            <w:pPr>
              <w:spacing w:after="0"/>
              <w:rPr>
                <w:sz w:val="12"/>
                <w:szCs w:val="12"/>
                <w:color w:val="auto"/>
              </w:rPr>
            </w:pPr>
          </w:p>
        </w:tc>
        <w:tc>
          <w:tcPr>
            <w:tcW w:w="146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1"/>
              </w:rPr>
              <w:t>Purchased under the</w:t>
            </w:r>
          </w:p>
        </w:tc>
        <w:tc>
          <w:tcPr>
            <w:tcW w:w="0" w:type="dxa"/>
            <w:vAlign w:val="bottom"/>
          </w:tcPr>
          <w:p>
            <w:pPr>
              <w:spacing w:after="0"/>
              <w:rPr>
                <w:sz w:val="1"/>
                <w:szCs w:val="1"/>
                <w:color w:val="auto"/>
              </w:rPr>
            </w:pPr>
          </w:p>
        </w:tc>
      </w:tr>
      <w:tr>
        <w:trPr>
          <w:trHeight w:val="149"/>
        </w:trPr>
        <w:tc>
          <w:tcPr>
            <w:tcW w:w="48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600" w:type="dxa"/>
            <w:vAlign w:val="bottom"/>
            <w:gridSpan w:val="3"/>
            <w:vMerge w:val="continue"/>
          </w:tcPr>
          <w:p>
            <w:pPr>
              <w:spacing w:after="0"/>
              <w:rPr>
                <w:sz w:val="12"/>
                <w:szCs w:val="12"/>
                <w:color w:val="auto"/>
              </w:rPr>
            </w:pPr>
          </w:p>
        </w:tc>
        <w:tc>
          <w:tcPr>
            <w:tcW w:w="1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Publicly Announced</w:t>
            </w:r>
          </w:p>
        </w:tc>
        <w:tc>
          <w:tcPr>
            <w:tcW w:w="140" w:type="dxa"/>
            <w:vAlign w:val="bottom"/>
          </w:tcPr>
          <w:p>
            <w:pPr>
              <w:spacing w:after="0"/>
              <w:rPr>
                <w:sz w:val="12"/>
                <w:szCs w:val="12"/>
                <w:color w:val="auto"/>
              </w:rPr>
            </w:pPr>
          </w:p>
        </w:tc>
        <w:tc>
          <w:tcPr>
            <w:tcW w:w="146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4"/>
              </w:rPr>
              <w:t>Plans or Program (in</w:t>
            </w:r>
          </w:p>
        </w:tc>
        <w:tc>
          <w:tcPr>
            <w:tcW w:w="0" w:type="dxa"/>
            <w:vAlign w:val="bottom"/>
          </w:tcPr>
          <w:p>
            <w:pPr>
              <w:spacing w:after="0"/>
              <w:rPr>
                <w:sz w:val="1"/>
                <w:szCs w:val="1"/>
                <w:color w:val="auto"/>
              </w:rPr>
            </w:pPr>
          </w:p>
        </w:tc>
      </w:tr>
      <w:tr>
        <w:trPr>
          <w:trHeight w:val="192"/>
        </w:trPr>
        <w:tc>
          <w:tcPr>
            <w:tcW w:w="48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5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96"/>
              </w:rPr>
              <w:t>Shares Purchased (1)</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Share (2)</w:t>
            </w:r>
          </w:p>
        </w:tc>
        <w:tc>
          <w:tcPr>
            <w:tcW w:w="100" w:type="dxa"/>
            <w:vAlign w:val="bottom"/>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Plans or Programs (1)</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3"/>
              </w:rPr>
              <w:t>millions)</w:t>
            </w:r>
          </w:p>
        </w:tc>
        <w:tc>
          <w:tcPr>
            <w:tcW w:w="0" w:type="dxa"/>
            <w:vAlign w:val="bottom"/>
          </w:tcPr>
          <w:p>
            <w:pPr>
              <w:spacing w:after="0"/>
              <w:rPr>
                <w:sz w:val="1"/>
                <w:szCs w:val="1"/>
                <w:color w:val="auto"/>
              </w:rPr>
            </w:pPr>
          </w:p>
        </w:tc>
      </w:tr>
      <w:tr>
        <w:trPr>
          <w:trHeight w:val="243"/>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April 1, 2014 through April 30, 2014</w:t>
            </w:r>
          </w:p>
        </w:tc>
        <w:tc>
          <w:tcPr>
            <w:tcW w:w="1500" w:type="dxa"/>
            <w:vAlign w:val="bottom"/>
          </w:tcPr>
          <w:p>
            <w:pPr>
              <w:jc w:val="right"/>
              <w:ind w:right="36"/>
              <w:spacing w:after="0"/>
              <w:rPr>
                <w:sz w:val="20"/>
                <w:szCs w:val="20"/>
                <w:color w:val="auto"/>
              </w:rPr>
            </w:pPr>
            <w:r>
              <w:rPr>
                <w:rFonts w:ascii="Arial" w:cs="Arial" w:eastAsia="Arial" w:hAnsi="Arial"/>
                <w:sz w:val="18"/>
                <w:szCs w:val="18"/>
                <w:color w:val="auto"/>
              </w:rPr>
              <w:t>45,416</w:t>
            </w:r>
          </w:p>
        </w:tc>
        <w:tc>
          <w:tcPr>
            <w:tcW w:w="120" w:type="dxa"/>
            <w:vAlign w:val="bottom"/>
          </w:tcPr>
          <w:p>
            <w:pPr>
              <w:spacing w:after="0"/>
              <w:rPr>
                <w:sz w:val="21"/>
                <w:szCs w:val="21"/>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9.94</w:t>
            </w:r>
          </w:p>
        </w:tc>
        <w:tc>
          <w:tcPr>
            <w:tcW w:w="100" w:type="dxa"/>
            <w:vAlign w:val="bottom"/>
          </w:tcPr>
          <w:p>
            <w:pPr>
              <w:spacing w:after="0"/>
              <w:rPr>
                <w:sz w:val="21"/>
                <w:szCs w:val="21"/>
                <w:color w:val="auto"/>
              </w:rPr>
            </w:pPr>
          </w:p>
        </w:tc>
        <w:tc>
          <w:tcPr>
            <w:tcW w:w="1580" w:type="dxa"/>
            <w:vAlign w:val="bottom"/>
          </w:tcPr>
          <w:p>
            <w:pPr>
              <w:jc w:val="right"/>
              <w:ind w:right="19"/>
              <w:spacing w:after="0"/>
              <w:rPr>
                <w:sz w:val="20"/>
                <w:szCs w:val="20"/>
                <w:color w:val="auto"/>
              </w:rPr>
            </w:pPr>
            <w:r>
              <w:rPr>
                <w:rFonts w:ascii="Arial" w:cs="Arial" w:eastAsia="Arial" w:hAnsi="Arial"/>
                <w:sz w:val="18"/>
                <w:szCs w:val="18"/>
                <w:color w:val="auto"/>
              </w:rPr>
              <w:t>451,362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9"/>
              <w:spacing w:after="0"/>
              <w:rPr>
                <w:sz w:val="20"/>
                <w:szCs w:val="20"/>
                <w:color w:val="auto"/>
              </w:rPr>
            </w:pPr>
            <w:r>
              <w:rPr>
                <w:rFonts w:ascii="Arial" w:cs="Arial" w:eastAsia="Arial" w:hAnsi="Arial"/>
                <w:sz w:val="18"/>
                <w:szCs w:val="18"/>
                <w:color w:val="auto"/>
              </w:rPr>
              <w:t>6,746,823</w:t>
            </w:r>
          </w:p>
        </w:tc>
        <w:tc>
          <w:tcPr>
            <w:tcW w:w="0" w:type="dxa"/>
            <w:vAlign w:val="bottom"/>
          </w:tcPr>
          <w:p>
            <w:pPr>
              <w:spacing w:after="0"/>
              <w:rPr>
                <w:sz w:val="1"/>
                <w:szCs w:val="1"/>
                <w:color w:val="auto"/>
              </w:rPr>
            </w:pPr>
          </w:p>
        </w:tc>
      </w:tr>
      <w:tr>
        <w:trPr>
          <w:trHeight w:val="270"/>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May 1, 2014 through May 31, 2014</w:t>
            </w:r>
          </w:p>
        </w:tc>
        <w:tc>
          <w:tcPr>
            <w:tcW w:w="1500" w:type="dxa"/>
            <w:vAlign w:val="bottom"/>
          </w:tcPr>
          <w:p>
            <w:pPr>
              <w:jc w:val="right"/>
              <w:ind w:right="36"/>
              <w:spacing w:after="0"/>
              <w:rPr>
                <w:sz w:val="20"/>
                <w:szCs w:val="20"/>
                <w:color w:val="auto"/>
              </w:rPr>
            </w:pPr>
            <w:r>
              <w:rPr>
                <w:rFonts w:ascii="Arial" w:cs="Arial" w:eastAsia="Arial" w:hAnsi="Arial"/>
                <w:sz w:val="18"/>
                <w:szCs w:val="18"/>
                <w:color w:val="auto"/>
              </w:rPr>
              <w:t>46,045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9.81</w:t>
            </w:r>
          </w:p>
        </w:tc>
        <w:tc>
          <w:tcPr>
            <w:tcW w:w="100" w:type="dxa"/>
            <w:vAlign w:val="bottom"/>
          </w:tcPr>
          <w:p>
            <w:pPr>
              <w:spacing w:after="0"/>
              <w:rPr>
                <w:sz w:val="23"/>
                <w:szCs w:val="23"/>
                <w:color w:val="auto"/>
              </w:rPr>
            </w:pPr>
          </w:p>
        </w:tc>
        <w:tc>
          <w:tcPr>
            <w:tcW w:w="1580" w:type="dxa"/>
            <w:vAlign w:val="bottom"/>
          </w:tcPr>
          <w:p>
            <w:pPr>
              <w:jc w:val="right"/>
              <w:ind w:right="19"/>
              <w:spacing w:after="0"/>
              <w:rPr>
                <w:sz w:val="20"/>
                <w:szCs w:val="20"/>
                <w:color w:val="auto"/>
              </w:rPr>
            </w:pPr>
            <w:r>
              <w:rPr>
                <w:rFonts w:ascii="Arial" w:cs="Arial" w:eastAsia="Arial" w:hAnsi="Arial"/>
                <w:sz w:val="18"/>
                <w:szCs w:val="18"/>
                <w:color w:val="auto"/>
              </w:rPr>
              <w:t>451,481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60" w:type="dxa"/>
            <w:vAlign w:val="bottom"/>
          </w:tcPr>
          <w:p>
            <w:pPr>
              <w:jc w:val="right"/>
              <w:ind w:right="19"/>
              <w:spacing w:after="0"/>
              <w:rPr>
                <w:sz w:val="20"/>
                <w:szCs w:val="20"/>
                <w:color w:val="auto"/>
              </w:rPr>
            </w:pPr>
            <w:r>
              <w:rPr>
                <w:rFonts w:ascii="Arial" w:cs="Arial" w:eastAsia="Arial" w:hAnsi="Arial"/>
                <w:sz w:val="18"/>
                <w:szCs w:val="18"/>
                <w:color w:val="auto"/>
              </w:rPr>
              <w:t>6,295,342</w:t>
            </w:r>
          </w:p>
        </w:tc>
        <w:tc>
          <w:tcPr>
            <w:tcW w:w="0" w:type="dxa"/>
            <w:vAlign w:val="bottom"/>
          </w:tcPr>
          <w:p>
            <w:pPr>
              <w:spacing w:after="0"/>
              <w:rPr>
                <w:sz w:val="1"/>
                <w:szCs w:val="1"/>
                <w:color w:val="auto"/>
              </w:rPr>
            </w:pPr>
          </w:p>
        </w:tc>
      </w:tr>
      <w:tr>
        <w:trPr>
          <w:trHeight w:val="270"/>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June 1, 2014 through June 30, 2014</w:t>
            </w:r>
          </w:p>
        </w:tc>
        <w:tc>
          <w:tcPr>
            <w:tcW w:w="1500" w:type="dxa"/>
            <w:vAlign w:val="bottom"/>
          </w:tcPr>
          <w:p>
            <w:pPr>
              <w:jc w:val="right"/>
              <w:ind w:right="36"/>
              <w:spacing w:after="0"/>
              <w:rPr>
                <w:sz w:val="20"/>
                <w:szCs w:val="20"/>
                <w:color w:val="auto"/>
              </w:rPr>
            </w:pPr>
            <w:r>
              <w:rPr>
                <w:rFonts w:ascii="Arial" w:cs="Arial" w:eastAsia="Arial" w:hAnsi="Arial"/>
                <w:sz w:val="18"/>
                <w:szCs w:val="18"/>
                <w:color w:val="auto"/>
              </w:rPr>
              <w:t>27,058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9.86</w:t>
            </w:r>
          </w:p>
        </w:tc>
        <w:tc>
          <w:tcPr>
            <w:tcW w:w="100" w:type="dxa"/>
            <w:vAlign w:val="bottom"/>
          </w:tcPr>
          <w:p>
            <w:pPr>
              <w:spacing w:after="0"/>
              <w:rPr>
                <w:sz w:val="23"/>
                <w:szCs w:val="23"/>
                <w:color w:val="auto"/>
              </w:rPr>
            </w:pPr>
          </w:p>
        </w:tc>
        <w:tc>
          <w:tcPr>
            <w:tcW w:w="1580" w:type="dxa"/>
            <w:vAlign w:val="bottom"/>
          </w:tcPr>
          <w:p>
            <w:pPr>
              <w:jc w:val="right"/>
              <w:ind w:right="19"/>
              <w:spacing w:after="0"/>
              <w:rPr>
                <w:sz w:val="20"/>
                <w:szCs w:val="20"/>
                <w:color w:val="auto"/>
              </w:rPr>
            </w:pPr>
            <w:r>
              <w:rPr>
                <w:rFonts w:ascii="Arial" w:cs="Arial" w:eastAsia="Arial" w:hAnsi="Arial"/>
                <w:sz w:val="18"/>
                <w:szCs w:val="18"/>
                <w:color w:val="auto"/>
              </w:rPr>
              <w:t>266,719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60" w:type="dxa"/>
            <w:vAlign w:val="bottom"/>
          </w:tcPr>
          <w:p>
            <w:pPr>
              <w:jc w:val="right"/>
              <w:ind w:right="19"/>
              <w:spacing w:after="0"/>
              <w:rPr>
                <w:sz w:val="20"/>
                <w:szCs w:val="20"/>
                <w:color w:val="auto"/>
              </w:rPr>
            </w:pPr>
            <w:r>
              <w:rPr>
                <w:rFonts w:ascii="Arial" w:cs="Arial" w:eastAsia="Arial" w:hAnsi="Arial"/>
                <w:sz w:val="18"/>
                <w:szCs w:val="18"/>
                <w:color w:val="auto"/>
              </w:rPr>
              <w:t>6,028,623</w:t>
            </w:r>
          </w:p>
        </w:tc>
        <w:tc>
          <w:tcPr>
            <w:tcW w:w="0" w:type="dxa"/>
            <w:vAlign w:val="bottom"/>
          </w:tcPr>
          <w:p>
            <w:pPr>
              <w:spacing w:after="0"/>
              <w:rPr>
                <w:sz w:val="1"/>
                <w:szCs w:val="1"/>
                <w:color w:val="auto"/>
              </w:rPr>
            </w:pPr>
          </w:p>
        </w:tc>
      </w:tr>
      <w:tr>
        <w:trPr>
          <w:trHeight w:val="27"/>
        </w:trPr>
        <w:tc>
          <w:tcPr>
            <w:tcW w:w="4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20" w:type="dxa"/>
            <w:vAlign w:val="bottom"/>
            <w:gridSpan w:val="2"/>
          </w:tcPr>
          <w:p>
            <w:pPr>
              <w:ind w:left="2200"/>
              <w:spacing w:after="0"/>
              <w:rPr>
                <w:sz w:val="20"/>
                <w:szCs w:val="20"/>
                <w:color w:val="auto"/>
              </w:rPr>
            </w:pPr>
            <w:r>
              <w:rPr>
                <w:rFonts w:ascii="Arial" w:cs="Arial" w:eastAsia="Arial" w:hAnsi="Arial"/>
                <w:sz w:val="18"/>
                <w:szCs w:val="18"/>
                <w:b w:val="1"/>
                <w:bCs w:val="1"/>
                <w:color w:val="auto"/>
              </w:rPr>
              <w:t>Total</w:t>
            </w:r>
          </w:p>
        </w:tc>
        <w:tc>
          <w:tcPr>
            <w:tcW w:w="1500" w:type="dxa"/>
            <w:vAlign w:val="bottom"/>
          </w:tcPr>
          <w:p>
            <w:pPr>
              <w:jc w:val="right"/>
              <w:ind w:right="36"/>
              <w:spacing w:after="0"/>
              <w:rPr>
                <w:sz w:val="20"/>
                <w:szCs w:val="20"/>
                <w:color w:val="auto"/>
              </w:rPr>
            </w:pPr>
            <w:r>
              <w:rPr>
                <w:rFonts w:ascii="Arial" w:cs="Arial" w:eastAsia="Arial" w:hAnsi="Arial"/>
                <w:sz w:val="18"/>
                <w:szCs w:val="18"/>
                <w:b w:val="1"/>
                <w:bCs w:val="1"/>
                <w:color w:val="auto"/>
              </w:rPr>
              <w:t>118,519</w:t>
            </w:r>
          </w:p>
        </w:tc>
        <w:tc>
          <w:tcPr>
            <w:tcW w:w="120" w:type="dxa"/>
            <w:vAlign w:val="bottom"/>
          </w:tcPr>
          <w:p>
            <w:pPr>
              <w:spacing w:after="0"/>
              <w:rPr>
                <w:sz w:val="20"/>
                <w:szCs w:val="20"/>
                <w:color w:val="auto"/>
              </w:rPr>
            </w:pPr>
          </w:p>
        </w:tc>
        <w:tc>
          <w:tcPr>
            <w:tcW w:w="300" w:type="dxa"/>
            <w:vAlign w:val="bottom"/>
          </w:tcPr>
          <w:p>
            <w:pPr>
              <w:ind w:left="4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34"/>
              <w:spacing w:after="0"/>
              <w:rPr>
                <w:sz w:val="20"/>
                <w:szCs w:val="20"/>
                <w:color w:val="auto"/>
              </w:rPr>
            </w:pPr>
            <w:r>
              <w:rPr>
                <w:rFonts w:ascii="Arial" w:cs="Arial" w:eastAsia="Arial" w:hAnsi="Arial"/>
                <w:sz w:val="18"/>
                <w:szCs w:val="18"/>
                <w:b w:val="1"/>
                <w:bCs w:val="1"/>
                <w:color w:val="auto"/>
              </w:rPr>
              <w:t>9.87</w:t>
            </w:r>
          </w:p>
        </w:tc>
        <w:tc>
          <w:tcPr>
            <w:tcW w:w="10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8"/>
                <w:szCs w:val="18"/>
                <w:b w:val="1"/>
                <w:bCs w:val="1"/>
                <w:color w:val="auto"/>
              </w:rPr>
              <w:t>1,169,562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Pr>
          <w:p>
            <w:pPr>
              <w:jc w:val="right"/>
              <w:ind w:right="19"/>
              <w:spacing w:after="0"/>
              <w:rPr>
                <w:sz w:val="20"/>
                <w:szCs w:val="20"/>
                <w:color w:val="auto"/>
              </w:rPr>
            </w:pPr>
            <w:r>
              <w:rPr>
                <w:rFonts w:ascii="Arial" w:cs="Arial" w:eastAsia="Arial" w:hAnsi="Arial"/>
                <w:sz w:val="18"/>
                <w:szCs w:val="18"/>
                <w:b w:val="1"/>
                <w:bCs w:val="1"/>
                <w:color w:val="auto"/>
              </w:rPr>
              <w:t>6,028,623</w:t>
            </w:r>
          </w:p>
        </w:tc>
        <w:tc>
          <w:tcPr>
            <w:tcW w:w="0" w:type="dxa"/>
            <w:vAlign w:val="bottom"/>
          </w:tcPr>
          <w:p>
            <w:pPr>
              <w:spacing w:after="0"/>
              <w:rPr>
                <w:sz w:val="1"/>
                <w:szCs w:val="1"/>
                <w:color w:val="auto"/>
              </w:rPr>
            </w:pPr>
          </w:p>
        </w:tc>
      </w:tr>
      <w:tr>
        <w:trPr>
          <w:trHeight w:val="27"/>
        </w:trPr>
        <w:tc>
          <w:tcPr>
            <w:tcW w:w="4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line="271" w:lineRule="auto"/>
        <w:tabs>
          <w:tab w:leader="none" w:pos="3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 May 2012, our Board of Directors authorized a stock repurchase program. Under the program, we were originally authorized to repurchase up to $2 million of our outstanding common stock from time to time over the following 12 months. Any stock repurchases may be made through open market and privately negotiated transactions, at times and in such amounts as management deems appropriate, including pursuant to one or more Rule 10b5-1 trading plans. Rule 10b5-1 permits us to establish, while not in possession of material nonpublic information, prearranged plans to buy stock at a specific price in the future, regardless of any subsequent possession of material nonpublic information. The timing and actual number of shares repurchased will depend on a variety of factors, including market conditions and other factors. The stock repurchase program may be suspended or discontinued at any time without prior notice. On July 30, 2012, the Board of Directors increased the repurchase amount to $3 million from the original $2 million. On February 20, 2013, the Board of Directors increased the repurchase amount to $10 million from $3 million.</w:t>
      </w:r>
    </w:p>
    <w:p>
      <w:pPr>
        <w:spacing w:after="0" w:line="178" w:lineRule="exact"/>
        <w:rPr>
          <w:rFonts w:ascii="Arial" w:cs="Arial" w:eastAsia="Arial" w:hAnsi="Arial"/>
          <w:sz w:val="17"/>
          <w:szCs w:val="17"/>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price paid per share of common stock includes the related transaction costs.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right"/>
        <w:ind w:right="3759"/>
        <w:spacing w:after="0"/>
        <w:rPr>
          <w:sz w:val="20"/>
          <w:szCs w:val="20"/>
          <w:color w:val="auto"/>
        </w:rPr>
      </w:pPr>
      <w:r>
        <w:rPr>
          <w:rFonts w:ascii="Arial" w:cs="Arial" w:eastAsia="Arial" w:hAnsi="Arial"/>
          <w:sz w:val="18"/>
          <w:szCs w:val="18"/>
          <w:b w:val="1"/>
          <w:bCs w:val="1"/>
          <w:color w:val="auto"/>
        </w:rPr>
        <w:t>CLEARONE, INC.</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7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Arial" w:cs="Arial" w:eastAsia="Arial" w:hAnsi="Arial"/>
                <w:sz w:val="18"/>
                <w:szCs w:val="18"/>
                <w:b w:val="1"/>
                <w:bCs w:val="1"/>
                <w:color w:val="auto"/>
                <w:w w:val="91"/>
              </w:rPr>
              <w:t>Exhibit No.</w:t>
            </w:r>
          </w:p>
        </w:tc>
        <w:tc>
          <w:tcPr>
            <w:tcW w:w="720" w:type="dxa"/>
            <w:vAlign w:val="bottom"/>
          </w:tcPr>
          <w:p>
            <w:pPr>
              <w:spacing w:after="0"/>
              <w:rPr>
                <w:sz w:val="17"/>
                <w:szCs w:val="17"/>
                <w:color w:val="auto"/>
              </w:rPr>
            </w:pPr>
          </w:p>
        </w:tc>
        <w:tc>
          <w:tcPr>
            <w:tcW w:w="3980" w:type="dxa"/>
            <w:vAlign w:val="bottom"/>
            <w:gridSpan w:val="3"/>
          </w:tcPr>
          <w:p>
            <w:pPr>
              <w:spacing w:after="0"/>
              <w:rPr>
                <w:sz w:val="20"/>
                <w:szCs w:val="20"/>
                <w:color w:val="auto"/>
              </w:rPr>
            </w:pPr>
            <w:r>
              <w:rPr>
                <w:rFonts w:ascii="Arial" w:cs="Arial" w:eastAsia="Arial" w:hAnsi="Arial"/>
                <w:sz w:val="18"/>
                <w:szCs w:val="18"/>
                <w:b w:val="1"/>
                <w:bCs w:val="1"/>
                <w:color w:val="auto"/>
              </w:rPr>
              <w:t>Title of Document</w:t>
            </w:r>
          </w:p>
        </w:tc>
      </w:tr>
      <w:tr>
        <w:trPr>
          <w:trHeight w:val="20"/>
        </w:trPr>
        <w:tc>
          <w:tcPr>
            <w:tcW w:w="8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291"/>
        </w:trPr>
        <w:tc>
          <w:tcPr>
            <w:tcW w:w="880" w:type="dxa"/>
            <w:vAlign w:val="bottom"/>
          </w:tcPr>
          <w:p>
            <w:pPr>
              <w:spacing w:after="0"/>
              <w:rPr>
                <w:sz w:val="20"/>
                <w:szCs w:val="20"/>
                <w:color w:val="auto"/>
              </w:rPr>
            </w:pPr>
            <w:r>
              <w:rPr>
                <w:rFonts w:ascii="Arial" w:cs="Arial" w:eastAsia="Arial" w:hAnsi="Arial"/>
                <w:sz w:val="18"/>
                <w:szCs w:val="18"/>
                <w:color w:val="auto"/>
              </w:rPr>
              <w:t>31.1</w:t>
            </w:r>
          </w:p>
        </w:tc>
        <w:tc>
          <w:tcPr>
            <w:tcW w:w="7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0"/>
              </w:rPr>
              <w:t>Section 302</w:t>
            </w:r>
          </w:p>
        </w:tc>
        <w:tc>
          <w:tcPr>
            <w:tcW w:w="3100" w:type="dxa"/>
            <w:vAlign w:val="bottom"/>
            <w:gridSpan w:val="2"/>
          </w:tcPr>
          <w:p>
            <w:pPr>
              <w:ind w:left="20"/>
              <w:spacing w:after="0"/>
              <w:rPr>
                <w:sz w:val="20"/>
                <w:szCs w:val="20"/>
                <w:color w:val="auto"/>
              </w:rPr>
            </w:pPr>
            <w:r>
              <w:rPr>
                <w:rFonts w:ascii="Arial" w:cs="Arial" w:eastAsia="Arial" w:hAnsi="Arial"/>
                <w:sz w:val="18"/>
                <w:szCs w:val="18"/>
                <w:color w:val="auto"/>
              </w:rPr>
              <w:t>Certification of Chief Executive Officer</w:t>
            </w:r>
          </w:p>
        </w:tc>
      </w:tr>
      <w:tr>
        <w:trPr>
          <w:trHeight w:val="459"/>
        </w:trPr>
        <w:tc>
          <w:tcPr>
            <w:tcW w:w="880" w:type="dxa"/>
            <w:vAlign w:val="bottom"/>
          </w:tcPr>
          <w:p>
            <w:pPr>
              <w:spacing w:after="0"/>
              <w:rPr>
                <w:sz w:val="20"/>
                <w:szCs w:val="20"/>
                <w:color w:val="auto"/>
              </w:rPr>
            </w:pPr>
            <w:r>
              <w:rPr>
                <w:rFonts w:ascii="Arial" w:cs="Arial" w:eastAsia="Arial" w:hAnsi="Arial"/>
                <w:sz w:val="18"/>
                <w:szCs w:val="18"/>
                <w:color w:val="auto"/>
              </w:rPr>
              <w:t>31.2</w:t>
            </w:r>
          </w:p>
        </w:tc>
        <w:tc>
          <w:tcPr>
            <w:tcW w:w="7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0"/>
              </w:rPr>
              <w:t>Section 302</w:t>
            </w:r>
          </w:p>
        </w:tc>
        <w:tc>
          <w:tcPr>
            <w:tcW w:w="3100" w:type="dxa"/>
            <w:vAlign w:val="bottom"/>
            <w:gridSpan w:val="2"/>
          </w:tcPr>
          <w:p>
            <w:pPr>
              <w:ind w:left="20"/>
              <w:spacing w:after="0"/>
              <w:rPr>
                <w:sz w:val="20"/>
                <w:szCs w:val="20"/>
                <w:color w:val="auto"/>
              </w:rPr>
            </w:pPr>
            <w:r>
              <w:rPr>
                <w:rFonts w:ascii="Arial" w:cs="Arial" w:eastAsia="Arial" w:hAnsi="Arial"/>
                <w:sz w:val="18"/>
                <w:szCs w:val="18"/>
                <w:color w:val="auto"/>
                <w:w w:val="94"/>
              </w:rPr>
              <w:t>Certification of Principal Financial Officer</w:t>
            </w:r>
          </w:p>
        </w:tc>
      </w:tr>
      <w:tr>
        <w:trPr>
          <w:trHeight w:val="459"/>
        </w:trPr>
        <w:tc>
          <w:tcPr>
            <w:tcW w:w="880" w:type="dxa"/>
            <w:vAlign w:val="bottom"/>
          </w:tcPr>
          <w:p>
            <w:pPr>
              <w:spacing w:after="0"/>
              <w:rPr>
                <w:sz w:val="20"/>
                <w:szCs w:val="20"/>
                <w:color w:val="auto"/>
              </w:rPr>
            </w:pPr>
            <w:r>
              <w:rPr>
                <w:rFonts w:ascii="Arial" w:cs="Arial" w:eastAsia="Arial" w:hAnsi="Arial"/>
                <w:sz w:val="18"/>
                <w:szCs w:val="18"/>
                <w:color w:val="auto"/>
              </w:rPr>
              <w:t>32.1</w:t>
            </w:r>
          </w:p>
        </w:tc>
        <w:tc>
          <w:tcPr>
            <w:tcW w:w="7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0"/>
              </w:rPr>
              <w:t>Section 906</w:t>
            </w:r>
          </w:p>
        </w:tc>
        <w:tc>
          <w:tcPr>
            <w:tcW w:w="3100" w:type="dxa"/>
            <w:vAlign w:val="bottom"/>
            <w:gridSpan w:val="2"/>
          </w:tcPr>
          <w:p>
            <w:pPr>
              <w:ind w:left="20"/>
              <w:spacing w:after="0"/>
              <w:rPr>
                <w:sz w:val="20"/>
                <w:szCs w:val="20"/>
                <w:color w:val="auto"/>
              </w:rPr>
            </w:pPr>
            <w:r>
              <w:rPr>
                <w:rFonts w:ascii="Arial" w:cs="Arial" w:eastAsia="Arial" w:hAnsi="Arial"/>
                <w:sz w:val="18"/>
                <w:szCs w:val="18"/>
                <w:color w:val="auto"/>
              </w:rPr>
              <w:t>Certification of Chief Executive Officer</w:t>
            </w:r>
          </w:p>
        </w:tc>
      </w:tr>
      <w:tr>
        <w:trPr>
          <w:trHeight w:val="459"/>
        </w:trPr>
        <w:tc>
          <w:tcPr>
            <w:tcW w:w="880" w:type="dxa"/>
            <w:vAlign w:val="bottom"/>
          </w:tcPr>
          <w:p>
            <w:pPr>
              <w:spacing w:after="0"/>
              <w:rPr>
                <w:sz w:val="20"/>
                <w:szCs w:val="20"/>
                <w:color w:val="auto"/>
              </w:rPr>
            </w:pPr>
            <w:r>
              <w:rPr>
                <w:rFonts w:ascii="Arial" w:cs="Arial" w:eastAsia="Arial" w:hAnsi="Arial"/>
                <w:sz w:val="18"/>
                <w:szCs w:val="18"/>
                <w:color w:val="auto"/>
              </w:rPr>
              <w:t>32.2</w:t>
            </w:r>
          </w:p>
        </w:tc>
        <w:tc>
          <w:tcPr>
            <w:tcW w:w="7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0"/>
              </w:rPr>
              <w:t>Section 906</w:t>
            </w:r>
          </w:p>
        </w:tc>
        <w:tc>
          <w:tcPr>
            <w:tcW w:w="3100" w:type="dxa"/>
            <w:vAlign w:val="bottom"/>
            <w:gridSpan w:val="2"/>
          </w:tcPr>
          <w:p>
            <w:pPr>
              <w:ind w:left="20"/>
              <w:spacing w:after="0"/>
              <w:rPr>
                <w:sz w:val="20"/>
                <w:szCs w:val="20"/>
                <w:color w:val="auto"/>
              </w:rPr>
            </w:pPr>
            <w:r>
              <w:rPr>
                <w:rFonts w:ascii="Arial" w:cs="Arial" w:eastAsia="Arial" w:hAnsi="Arial"/>
                <w:sz w:val="18"/>
                <w:szCs w:val="18"/>
                <w:color w:val="auto"/>
                <w:w w:val="94"/>
              </w:rPr>
              <w:t>Certification of Principal Financial Officer</w:t>
            </w:r>
          </w:p>
        </w:tc>
      </w:tr>
      <w:tr>
        <w:trPr>
          <w:trHeight w:val="459"/>
        </w:trPr>
        <w:tc>
          <w:tcPr>
            <w:tcW w:w="880" w:type="dxa"/>
            <w:vAlign w:val="bottom"/>
          </w:tcPr>
          <w:p>
            <w:pPr>
              <w:spacing w:after="0"/>
              <w:rPr>
                <w:sz w:val="20"/>
                <w:szCs w:val="20"/>
                <w:color w:val="auto"/>
              </w:rPr>
            </w:pPr>
            <w:r>
              <w:rPr>
                <w:rFonts w:ascii="Arial" w:cs="Arial" w:eastAsia="Arial" w:hAnsi="Arial"/>
                <w:sz w:val="18"/>
                <w:szCs w:val="18"/>
                <w:color w:val="auto"/>
              </w:rPr>
              <w:t>101.INS</w:t>
            </w:r>
          </w:p>
        </w:tc>
        <w:tc>
          <w:tcPr>
            <w:tcW w:w="720" w:type="dxa"/>
            <w:vAlign w:val="bottom"/>
          </w:tcPr>
          <w:p>
            <w:pPr>
              <w:spacing w:after="0"/>
              <w:rPr>
                <w:sz w:val="24"/>
                <w:szCs w:val="24"/>
                <w:color w:val="auto"/>
              </w:rPr>
            </w:pPr>
          </w:p>
        </w:tc>
        <w:tc>
          <w:tcPr>
            <w:tcW w:w="3980" w:type="dxa"/>
            <w:vAlign w:val="bottom"/>
            <w:gridSpan w:val="3"/>
          </w:tcPr>
          <w:p>
            <w:pPr>
              <w:spacing w:after="0"/>
              <w:rPr>
                <w:sz w:val="20"/>
                <w:szCs w:val="20"/>
                <w:color w:val="auto"/>
              </w:rPr>
            </w:pPr>
            <w:r>
              <w:rPr>
                <w:rFonts w:ascii="Arial" w:cs="Arial" w:eastAsia="Arial" w:hAnsi="Arial"/>
                <w:sz w:val="18"/>
                <w:szCs w:val="18"/>
                <w:color w:val="auto"/>
              </w:rPr>
              <w:t>XBRL Instance Document</w:t>
            </w:r>
          </w:p>
        </w:tc>
      </w:tr>
      <w:tr>
        <w:trPr>
          <w:trHeight w:val="459"/>
        </w:trPr>
        <w:tc>
          <w:tcPr>
            <w:tcW w:w="880" w:type="dxa"/>
            <w:vAlign w:val="bottom"/>
          </w:tcPr>
          <w:p>
            <w:pPr>
              <w:spacing w:after="0"/>
              <w:rPr>
                <w:sz w:val="20"/>
                <w:szCs w:val="20"/>
                <w:color w:val="auto"/>
              </w:rPr>
            </w:pPr>
            <w:r>
              <w:rPr>
                <w:rFonts w:ascii="Arial" w:cs="Arial" w:eastAsia="Arial" w:hAnsi="Arial"/>
                <w:sz w:val="18"/>
                <w:szCs w:val="18"/>
                <w:color w:val="auto"/>
              </w:rPr>
              <w:t>101.SCH</w:t>
            </w:r>
          </w:p>
        </w:tc>
        <w:tc>
          <w:tcPr>
            <w:tcW w:w="720" w:type="dxa"/>
            <w:vAlign w:val="bottom"/>
          </w:tcPr>
          <w:p>
            <w:pPr>
              <w:spacing w:after="0"/>
              <w:rPr>
                <w:sz w:val="24"/>
                <w:szCs w:val="24"/>
                <w:color w:val="auto"/>
              </w:rPr>
            </w:pPr>
          </w:p>
        </w:tc>
        <w:tc>
          <w:tcPr>
            <w:tcW w:w="3980" w:type="dxa"/>
            <w:vAlign w:val="bottom"/>
            <w:gridSpan w:val="3"/>
          </w:tcPr>
          <w:p>
            <w:pPr>
              <w:spacing w:after="0"/>
              <w:rPr>
                <w:sz w:val="20"/>
                <w:szCs w:val="20"/>
                <w:color w:val="auto"/>
              </w:rPr>
            </w:pPr>
            <w:r>
              <w:rPr>
                <w:rFonts w:ascii="Arial" w:cs="Arial" w:eastAsia="Arial" w:hAnsi="Arial"/>
                <w:sz w:val="18"/>
                <w:szCs w:val="18"/>
                <w:color w:val="auto"/>
              </w:rPr>
              <w:t>XBRL Taxonomy Extension Schema</w:t>
            </w:r>
          </w:p>
        </w:tc>
      </w:tr>
      <w:tr>
        <w:trPr>
          <w:trHeight w:val="459"/>
        </w:trPr>
        <w:tc>
          <w:tcPr>
            <w:tcW w:w="880" w:type="dxa"/>
            <w:vAlign w:val="bottom"/>
          </w:tcPr>
          <w:p>
            <w:pPr>
              <w:spacing w:after="0"/>
              <w:rPr>
                <w:sz w:val="20"/>
                <w:szCs w:val="20"/>
                <w:color w:val="auto"/>
              </w:rPr>
            </w:pPr>
            <w:r>
              <w:rPr>
                <w:rFonts w:ascii="Arial" w:cs="Arial" w:eastAsia="Arial" w:hAnsi="Arial"/>
                <w:sz w:val="18"/>
                <w:szCs w:val="18"/>
                <w:color w:val="auto"/>
              </w:rPr>
              <w:t>101.CAL</w:t>
            </w:r>
          </w:p>
        </w:tc>
        <w:tc>
          <w:tcPr>
            <w:tcW w:w="720" w:type="dxa"/>
            <w:vAlign w:val="bottom"/>
          </w:tcPr>
          <w:p>
            <w:pPr>
              <w:spacing w:after="0"/>
              <w:rPr>
                <w:sz w:val="24"/>
                <w:szCs w:val="24"/>
                <w:color w:val="auto"/>
              </w:rPr>
            </w:pPr>
          </w:p>
        </w:tc>
        <w:tc>
          <w:tcPr>
            <w:tcW w:w="3980" w:type="dxa"/>
            <w:vAlign w:val="bottom"/>
            <w:gridSpan w:val="3"/>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459"/>
        </w:trPr>
        <w:tc>
          <w:tcPr>
            <w:tcW w:w="880" w:type="dxa"/>
            <w:vAlign w:val="bottom"/>
          </w:tcPr>
          <w:p>
            <w:pPr>
              <w:spacing w:after="0"/>
              <w:rPr>
                <w:sz w:val="20"/>
                <w:szCs w:val="20"/>
                <w:color w:val="auto"/>
              </w:rPr>
            </w:pPr>
            <w:r>
              <w:rPr>
                <w:rFonts w:ascii="Arial" w:cs="Arial" w:eastAsia="Arial" w:hAnsi="Arial"/>
                <w:sz w:val="18"/>
                <w:szCs w:val="18"/>
                <w:color w:val="auto"/>
              </w:rPr>
              <w:t>101.DEF</w:t>
            </w:r>
          </w:p>
        </w:tc>
        <w:tc>
          <w:tcPr>
            <w:tcW w:w="720" w:type="dxa"/>
            <w:vAlign w:val="bottom"/>
          </w:tcPr>
          <w:p>
            <w:pPr>
              <w:spacing w:after="0"/>
              <w:rPr>
                <w:sz w:val="24"/>
                <w:szCs w:val="24"/>
                <w:color w:val="auto"/>
              </w:rPr>
            </w:pPr>
          </w:p>
        </w:tc>
        <w:tc>
          <w:tcPr>
            <w:tcW w:w="3980" w:type="dxa"/>
            <w:vAlign w:val="bottom"/>
            <w:gridSpan w:val="3"/>
          </w:tcPr>
          <w:p>
            <w:pPr>
              <w:spacing w:after="0"/>
              <w:rPr>
                <w:sz w:val="20"/>
                <w:szCs w:val="20"/>
                <w:color w:val="auto"/>
              </w:rPr>
            </w:pPr>
            <w:r>
              <w:rPr>
                <w:rFonts w:ascii="Arial" w:cs="Arial" w:eastAsia="Arial" w:hAnsi="Arial"/>
                <w:sz w:val="18"/>
                <w:szCs w:val="18"/>
                <w:color w:val="auto"/>
              </w:rPr>
              <w:t>XBRL Taxonomy Extension Definitions Linkbase</w:t>
            </w:r>
          </w:p>
        </w:tc>
      </w:tr>
      <w:tr>
        <w:trPr>
          <w:trHeight w:val="459"/>
        </w:trPr>
        <w:tc>
          <w:tcPr>
            <w:tcW w:w="880" w:type="dxa"/>
            <w:vAlign w:val="bottom"/>
          </w:tcPr>
          <w:p>
            <w:pPr>
              <w:spacing w:after="0"/>
              <w:rPr>
                <w:sz w:val="20"/>
                <w:szCs w:val="20"/>
                <w:color w:val="auto"/>
              </w:rPr>
            </w:pPr>
            <w:r>
              <w:rPr>
                <w:rFonts w:ascii="Arial" w:cs="Arial" w:eastAsia="Arial" w:hAnsi="Arial"/>
                <w:sz w:val="18"/>
                <w:szCs w:val="18"/>
                <w:color w:val="auto"/>
              </w:rPr>
              <w:t>101.LAB</w:t>
            </w:r>
          </w:p>
        </w:tc>
        <w:tc>
          <w:tcPr>
            <w:tcW w:w="720" w:type="dxa"/>
            <w:vAlign w:val="bottom"/>
          </w:tcPr>
          <w:p>
            <w:pPr>
              <w:spacing w:after="0"/>
              <w:rPr>
                <w:sz w:val="24"/>
                <w:szCs w:val="24"/>
                <w:color w:val="auto"/>
              </w:rPr>
            </w:pPr>
          </w:p>
        </w:tc>
        <w:tc>
          <w:tcPr>
            <w:tcW w:w="3980" w:type="dxa"/>
            <w:vAlign w:val="bottom"/>
            <w:gridSpan w:val="3"/>
          </w:tcPr>
          <w:p>
            <w:pPr>
              <w:spacing w:after="0"/>
              <w:rPr>
                <w:sz w:val="20"/>
                <w:szCs w:val="20"/>
                <w:color w:val="auto"/>
              </w:rPr>
            </w:pPr>
            <w:r>
              <w:rPr>
                <w:rFonts w:ascii="Arial" w:cs="Arial" w:eastAsia="Arial" w:hAnsi="Arial"/>
                <w:sz w:val="18"/>
                <w:szCs w:val="18"/>
                <w:color w:val="auto"/>
              </w:rPr>
              <w:t>XBRL Taxonomy Extension Label Linkbase</w:t>
            </w:r>
          </w:p>
        </w:tc>
      </w:tr>
      <w:tr>
        <w:trPr>
          <w:trHeight w:val="459"/>
        </w:trPr>
        <w:tc>
          <w:tcPr>
            <w:tcW w:w="880" w:type="dxa"/>
            <w:vAlign w:val="bottom"/>
          </w:tcPr>
          <w:p>
            <w:pPr>
              <w:spacing w:after="0"/>
              <w:rPr>
                <w:sz w:val="20"/>
                <w:szCs w:val="20"/>
                <w:color w:val="auto"/>
              </w:rPr>
            </w:pPr>
            <w:r>
              <w:rPr>
                <w:rFonts w:ascii="Arial" w:cs="Arial" w:eastAsia="Arial" w:hAnsi="Arial"/>
                <w:sz w:val="18"/>
                <w:szCs w:val="18"/>
                <w:color w:val="auto"/>
              </w:rPr>
              <w:t>101.PRE</w:t>
            </w:r>
          </w:p>
        </w:tc>
        <w:tc>
          <w:tcPr>
            <w:tcW w:w="720" w:type="dxa"/>
            <w:vAlign w:val="bottom"/>
          </w:tcPr>
          <w:p>
            <w:pPr>
              <w:spacing w:after="0"/>
              <w:rPr>
                <w:sz w:val="24"/>
                <w:szCs w:val="24"/>
                <w:color w:val="auto"/>
              </w:rPr>
            </w:pPr>
          </w:p>
        </w:tc>
        <w:tc>
          <w:tcPr>
            <w:tcW w:w="3980" w:type="dxa"/>
            <w:vAlign w:val="bottom"/>
            <w:gridSpan w:val="3"/>
          </w:tcPr>
          <w:p>
            <w:pPr>
              <w:spacing w:after="0"/>
              <w:rPr>
                <w:sz w:val="20"/>
                <w:szCs w:val="20"/>
                <w:color w:val="auto"/>
              </w:rPr>
            </w:pPr>
            <w:r>
              <w:rPr>
                <w:rFonts w:ascii="Arial" w:cs="Arial" w:eastAsia="Arial" w:hAnsi="Arial"/>
                <w:sz w:val="18"/>
                <w:szCs w:val="18"/>
                <w:color w:val="auto"/>
                <w:w w:val="98"/>
              </w:rPr>
              <w:t>XBRL Taxonomy Extension Presentation Linkbase</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219"/>
          </w:cols>
          <w:pgMar w:left="240" w:top="121" w:right="1440"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839"/>
        <w:spacing w:after="0"/>
        <w:rPr>
          <w:sz w:val="20"/>
          <w:szCs w:val="20"/>
          <w:color w:val="auto"/>
        </w:rPr>
      </w:pPr>
      <w:r>
        <w:rPr>
          <w:rFonts w:ascii="Arial" w:cs="Arial" w:eastAsia="Arial" w:hAnsi="Arial"/>
          <w:sz w:val="18"/>
          <w:szCs w:val="18"/>
          <w:b w:val="1"/>
          <w:bCs w:val="1"/>
          <w:color w:val="auto"/>
        </w:rPr>
        <w:t>CLEARONE, INC.</w:t>
      </w:r>
    </w:p>
    <w:p>
      <w:pPr>
        <w:spacing w:after="0" w:line="232"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33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ClearOne, Inc.,</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(Registrant)</w:t>
      </w:r>
    </w:p>
    <w:p>
      <w:pPr>
        <w:spacing w:after="0" w:line="170" w:lineRule="exact"/>
        <w:rPr>
          <w:sz w:val="20"/>
          <w:szCs w:val="20"/>
          <w:color w:val="auto"/>
        </w:rPr>
      </w:pPr>
    </w:p>
    <w:p>
      <w:pPr>
        <w:ind w:left="40"/>
        <w:spacing w:after="0"/>
        <w:tabs>
          <w:tab w:leader="none" w:pos="5500" w:val="left"/>
          <w:tab w:leader="none" w:pos="5960" w:val="left"/>
        </w:tabs>
        <w:rPr>
          <w:sz w:val="20"/>
          <w:szCs w:val="20"/>
          <w:color w:val="auto"/>
        </w:rPr>
      </w:pPr>
      <w:r>
        <w:rPr>
          <w:rFonts w:ascii="Arial" w:cs="Arial" w:eastAsia="Arial" w:hAnsi="Arial"/>
          <w:sz w:val="18"/>
          <w:szCs w:val="18"/>
          <w:color w:val="auto"/>
        </w:rPr>
        <w:t>August 14,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(Principal Executive Officer)</w:t>
      </w:r>
    </w:p>
    <w:p>
      <w:pPr>
        <w:spacing w:after="0" w:line="170" w:lineRule="exact"/>
        <w:rPr>
          <w:sz w:val="20"/>
          <w:szCs w:val="20"/>
          <w:color w:val="auto"/>
        </w:rPr>
      </w:pPr>
    </w:p>
    <w:p>
      <w:pPr>
        <w:ind w:left="40"/>
        <w:spacing w:after="0"/>
        <w:tabs>
          <w:tab w:leader="none" w:pos="5500" w:val="left"/>
          <w:tab w:leader="none" w:pos="5960" w:val="left"/>
        </w:tabs>
        <w:rPr>
          <w:sz w:val="20"/>
          <w:szCs w:val="20"/>
          <w:color w:val="auto"/>
        </w:rPr>
      </w:pPr>
      <w:r>
        <w:rPr>
          <w:rFonts w:ascii="Arial" w:cs="Arial" w:eastAsia="Arial" w:hAnsi="Arial"/>
          <w:sz w:val="18"/>
          <w:szCs w:val="18"/>
          <w:color w:val="auto"/>
        </w:rPr>
        <w:t>August 14,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Narsi Narayanan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Narsi Narayanan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Senior Vice President of Finance</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600"/>
          </w:cols>
          <w:pgMar w:left="240" w:top="121" w:right="105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Zeynep Hakimoglu, certify that:</w:t>
      </w:r>
    </w:p>
    <w:p>
      <w:pPr>
        <w:spacing w:after="0" w:line="117"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of ClearOne, Inc. on Form 10-Q;</w:t>
      </w:r>
    </w:p>
    <w:p>
      <w:pPr>
        <w:spacing w:after="0" w:line="117"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820" w:right="380" w:hanging="488"/>
        <w:spacing w:after="0" w:line="264" w:lineRule="auto"/>
        <w:tabs>
          <w:tab w:leader="none" w:pos="8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820" w:right="80" w:hanging="488"/>
        <w:spacing w:after="0" w:line="264" w:lineRule="auto"/>
        <w:tabs>
          <w:tab w:leader="none" w:pos="8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820" w:right="880" w:hanging="488"/>
        <w:spacing w:after="0" w:line="342" w:lineRule="auto"/>
        <w:tabs>
          <w:tab w:leader="none" w:pos="82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820" w:right="100" w:hanging="488"/>
        <w:spacing w:after="0" w:line="264" w:lineRule="auto"/>
        <w:tabs>
          <w:tab w:leader="none" w:pos="8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3"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820" w:right="300" w:hanging="488"/>
        <w:spacing w:after="0" w:line="277" w:lineRule="auto"/>
        <w:tabs>
          <w:tab w:leader="none" w:pos="8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820" w:right="240" w:hanging="488"/>
        <w:spacing w:after="0" w:line="277" w:lineRule="auto"/>
        <w:tabs>
          <w:tab w:leader="none" w:pos="8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0"/>
        <w:spacing w:after="0"/>
        <w:tabs>
          <w:tab w:leader="none" w:pos="5500" w:val="left"/>
          <w:tab w:leader="none" w:pos="5960" w:val="left"/>
        </w:tabs>
        <w:rPr>
          <w:sz w:val="20"/>
          <w:szCs w:val="20"/>
          <w:color w:val="auto"/>
        </w:rPr>
      </w:pPr>
      <w:r>
        <w:rPr>
          <w:rFonts w:ascii="Arial" w:cs="Arial" w:eastAsia="Arial" w:hAnsi="Arial"/>
          <w:sz w:val="18"/>
          <w:szCs w:val="18"/>
          <w:color w:val="auto"/>
        </w:rPr>
        <w:t>August 14,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186690</wp:posOffset>
            </wp:positionV>
            <wp:extent cx="34734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300"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580"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Narsi Narayanan, certify that:</w:t>
      </w:r>
    </w:p>
    <w:p>
      <w:pPr>
        <w:spacing w:after="0" w:line="90"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of ClearOne, Inc. on Form 10-Q;</w:t>
      </w:r>
    </w:p>
    <w:p>
      <w:pPr>
        <w:spacing w:after="0" w:line="117"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820" w:right="380" w:hanging="488"/>
        <w:spacing w:after="0" w:line="264" w:lineRule="auto"/>
        <w:tabs>
          <w:tab w:leader="none" w:pos="8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820" w:right="80" w:hanging="488"/>
        <w:spacing w:after="0" w:line="264" w:lineRule="auto"/>
        <w:tabs>
          <w:tab w:leader="none" w:pos="8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820" w:right="880" w:hanging="488"/>
        <w:spacing w:after="0" w:line="342" w:lineRule="auto"/>
        <w:tabs>
          <w:tab w:leader="none" w:pos="82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820" w:right="100" w:hanging="488"/>
        <w:spacing w:after="0" w:line="264" w:lineRule="auto"/>
        <w:tabs>
          <w:tab w:leader="none" w:pos="8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3"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820" w:right="300" w:hanging="488"/>
        <w:spacing w:after="0" w:line="277" w:lineRule="auto"/>
        <w:tabs>
          <w:tab w:leader="none" w:pos="8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820" w:right="240" w:hanging="488"/>
        <w:spacing w:after="0" w:line="277" w:lineRule="auto"/>
        <w:tabs>
          <w:tab w:leader="none" w:pos="8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0"/>
        <w:spacing w:after="0"/>
        <w:tabs>
          <w:tab w:leader="none" w:pos="5620" w:val="left"/>
          <w:tab w:leader="none" w:pos="6080" w:val="left"/>
        </w:tabs>
        <w:rPr>
          <w:sz w:val="20"/>
          <w:szCs w:val="20"/>
          <w:color w:val="auto"/>
        </w:rPr>
      </w:pPr>
      <w:r>
        <w:rPr>
          <w:rFonts w:ascii="Arial" w:cs="Arial" w:eastAsia="Arial" w:hAnsi="Arial"/>
          <w:sz w:val="18"/>
          <w:szCs w:val="18"/>
          <w:color w:val="auto"/>
        </w:rPr>
        <w:t>August 14,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Narsi Narayanan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186690</wp:posOffset>
            </wp:positionV>
            <wp:extent cx="33959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00"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Narsi Narayanan</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Senior Vice President of Finance</w:t>
      </w:r>
    </w:p>
    <w:p>
      <w:pPr>
        <w:spacing w:after="0" w:line="9" w:lineRule="exact"/>
        <w:rPr>
          <w:sz w:val="20"/>
          <w:szCs w:val="20"/>
          <w:color w:val="auto"/>
        </w:rPr>
      </w:pPr>
    </w:p>
    <w:p>
      <w:pPr>
        <w:ind w:left="6100"/>
        <w:spacing w:after="0"/>
        <w:rPr>
          <w:sz w:val="20"/>
          <w:szCs w:val="20"/>
          <w:color w:val="auto"/>
        </w:rPr>
      </w:pPr>
      <w:r>
        <w:rPr>
          <w:rFonts w:ascii="Arial" w:cs="Arial" w:eastAsia="Arial" w:hAnsi="Arial"/>
          <w:sz w:val="18"/>
          <w:szCs w:val="18"/>
          <w:i w:val="1"/>
          <w:iCs w:val="1"/>
          <w:color w:val="auto"/>
        </w:rPr>
        <w:t>(Principal Financial and Accounting Officer)</w:t>
      </w:r>
    </w:p>
    <w:p>
      <w:pPr>
        <w:sectPr>
          <w:pgSz w:w="11900" w:h="16838" w:orient="portrait"/>
          <w:cols w:equalWidth="0" w:num="1">
            <w:col w:w="11420"/>
          </w:cols>
          <w:pgMar w:left="240" w:top="580"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 Zeynep Hakimoglu, certify, to my best knowledge and belief, pursuant to 18 U.S.C. Section 1350, as adopted pursuant to Section 906 of the Sarbanes-Oxley Act of 2002, that the Quarterly Report of ClearOne, Inc. on Form 10-Q for the quarter ended March 31, 2014 fully complies with the requirements of Section 13(a) or 15(d) of the Securities Exchange Act of 1934 and that information contained in such Quarterly Report on Form 10-Q fairly presents, in all material respects, the financial condition and results of operations of ClearOne, Inc.</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0"/>
        <w:spacing w:after="0"/>
        <w:tabs>
          <w:tab w:leader="none" w:pos="5620" w:val="left"/>
          <w:tab w:leader="none" w:pos="6080" w:val="left"/>
        </w:tabs>
        <w:rPr>
          <w:sz w:val="20"/>
          <w:szCs w:val="20"/>
          <w:color w:val="auto"/>
        </w:rPr>
      </w:pPr>
      <w:r>
        <w:rPr>
          <w:rFonts w:ascii="Arial" w:cs="Arial" w:eastAsia="Arial" w:hAnsi="Arial"/>
          <w:sz w:val="18"/>
          <w:szCs w:val="18"/>
          <w:color w:val="auto"/>
        </w:rPr>
        <w:t>August 14,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186690</wp:posOffset>
            </wp:positionV>
            <wp:extent cx="33959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00"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10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580"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 Narsi Narayanan, certify, to my best knowledge and belief, pursuant to 18 U.S.C. Section 1350, as adopted pursuant to Section 906 of the Sarbanes-Oxley Act of 2002, that the Quarterly Report of ClearOne, Inc. on Form 10-Q for the quarter ended March 31, 2014, fully complies with the requirements of Section 13(a) or 15(d) of the Securities Exchange Act of 1934 and that information contained in such Quarterly Report on Form 10-Q fairly presents, in all material respects, the financial condition and results of operations of ClearOne, Inc.</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0"/>
        <w:spacing w:after="0"/>
        <w:tabs>
          <w:tab w:leader="none" w:pos="5500" w:val="left"/>
          <w:tab w:leader="none" w:pos="5960" w:val="left"/>
        </w:tabs>
        <w:rPr>
          <w:sz w:val="20"/>
          <w:szCs w:val="20"/>
          <w:color w:val="auto"/>
        </w:rPr>
      </w:pPr>
      <w:r>
        <w:rPr>
          <w:rFonts w:ascii="Arial" w:cs="Arial" w:eastAsia="Arial" w:hAnsi="Arial"/>
          <w:sz w:val="18"/>
          <w:szCs w:val="18"/>
          <w:color w:val="auto"/>
        </w:rPr>
        <w:t>August 14,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Narsi Narayanan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186690</wp:posOffset>
            </wp:positionV>
            <wp:extent cx="34734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300"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Narsi Narayanan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Senior Vice President of Finance</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(Principal Financial and Accounting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lowerRoman"/>
      <w:start w:val="10"/>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1)"/>
      <w:numFmt w:val="decimal"/>
      <w:start w:val="3"/>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lowerRoman"/>
      <w:start w:val="1"/>
    </w:lvl>
  </w:abstractNum>
  <w:abstractNum w:abstractNumId="9">
    <w:nsid w:val="1F16E9E8"/>
    <w:multiLevelType w:val="hybridMultilevel"/>
    <w:lvl w:ilvl="0">
      <w:lvlJc w:val="left"/>
      <w:lvlText w:val="(%1)"/>
      <w:numFmt w:val="decimal"/>
      <w:start w:val="1"/>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2019-12-06T02:37:02Z</dcterms:created>
  <dcterms:modified xsi:type="dcterms:W3CDTF">2019-12-06T02:37:02Z</dcterms:modified>
</cp:coreProperties>
</file>