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380"/>
        <w:spacing w:after="0"/>
        <w:rPr>
          <w:sz w:val="20"/>
          <w:szCs w:val="20"/>
          <w:color w:val="auto"/>
        </w:rPr>
      </w:pPr>
      <w:r>
        <w:rPr>
          <w:rFonts w:ascii="Courier New" w:cs="Courier New" w:eastAsia="Courier New" w:hAnsi="Courier New"/>
          <w:sz w:val="18"/>
          <w:szCs w:val="18"/>
          <w:color w:val="auto"/>
        </w:rPr>
        <w:t>UNITED STATES</w:t>
      </w:r>
    </w:p>
    <w:p>
      <w:pPr>
        <w:ind w:left="23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10-QSB</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860" w:right="2419" w:hanging="852"/>
        <w:spacing w:after="0" w:line="235"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2"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quarterly period ended September 30, 1997</w:t>
      </w:r>
    </w:p>
    <w:p>
      <w:pPr>
        <w:ind w:left="4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860" w:right="2319" w:hanging="852"/>
        <w:spacing w:after="0" w:line="235" w:lineRule="auto"/>
        <w:tabs>
          <w:tab w:leader="none" w:pos="22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]Transition Report Pursuant to Section 13 or 15(d) of the Securities Exchange Act of 1934</w:t>
      </w:r>
    </w:p>
    <w:p>
      <w:pPr>
        <w:spacing w:after="0" w:line="203"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For the transition period from _______________ to _______________</w:t>
      </w:r>
    </w:p>
    <w:p>
      <w:pPr>
        <w:spacing w:after="0" w:line="200" w:lineRule="exact"/>
        <w:rPr>
          <w:sz w:val="24"/>
          <w:szCs w:val="24"/>
          <w:color w:val="auto"/>
        </w:rPr>
      </w:pPr>
    </w:p>
    <w:p>
      <w:pPr>
        <w:spacing w:after="0" w:line="204" w:lineRule="exact"/>
        <w:rPr>
          <w:sz w:val="24"/>
          <w:szCs w:val="24"/>
          <w:color w:val="auto"/>
        </w:rPr>
      </w:pPr>
    </w:p>
    <w:p>
      <w:pPr>
        <w:ind w:left="1160"/>
        <w:spacing w:after="0"/>
        <w:tabs>
          <w:tab w:leader="none" w:pos="3780" w:val="left"/>
        </w:tabs>
        <w:rPr>
          <w:sz w:val="20"/>
          <w:szCs w:val="20"/>
          <w:color w:val="auto"/>
        </w:rPr>
      </w:pPr>
      <w:r>
        <w:rPr>
          <w:rFonts w:ascii="Courier New" w:cs="Courier New" w:eastAsia="Courier New" w:hAnsi="Courier New"/>
          <w:sz w:val="18"/>
          <w:szCs w:val="18"/>
          <w:color w:val="auto"/>
        </w:rPr>
        <w:t>Commission file number:</w:t>
      </w:r>
      <w:r>
        <w:rPr>
          <w:sz w:val="20"/>
          <w:szCs w:val="20"/>
          <w:color w:val="auto"/>
        </w:rPr>
        <w:tab/>
      </w:r>
      <w:r>
        <w:rPr>
          <w:rFonts w:ascii="Courier New" w:cs="Courier New" w:eastAsia="Courier New" w:hAnsi="Courier New"/>
          <w:sz w:val="16"/>
          <w:szCs w:val="16"/>
          <w:color w:val="auto"/>
        </w:rPr>
        <w:t>0-17219</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GENTNER COMMUNICATIONS CORPORATION</w:t>
      </w:r>
    </w:p>
    <w:p>
      <w:pPr>
        <w:ind w:left="2120"/>
        <w:spacing w:after="0" w:line="238" w:lineRule="auto"/>
        <w:rPr>
          <w:sz w:val="20"/>
          <w:szCs w:val="20"/>
          <w:color w:val="auto"/>
        </w:rPr>
      </w:pPr>
      <w:r>
        <w:rPr>
          <w:rFonts w:ascii="Courier New" w:cs="Courier New" w:eastAsia="Courier New" w:hAnsi="Courier New"/>
          <w:sz w:val="18"/>
          <w:szCs w:val="18"/>
          <w:color w:val="auto"/>
        </w:rPr>
        <w:t>----------------------------------</w:t>
      </w:r>
    </w:p>
    <w:p>
      <w:pPr>
        <w:ind w:left="116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Utah</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ind w:left="120"/>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87-0398877</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(IRS Employer</w:t>
      </w:r>
    </w:p>
    <w:p>
      <w:pPr>
        <w:spacing w:after="0" w:line="238" w:lineRule="auto"/>
        <w:rPr>
          <w:sz w:val="20"/>
          <w:szCs w:val="20"/>
          <w:color w:val="auto"/>
        </w:rPr>
      </w:pPr>
      <w:r>
        <w:rPr>
          <w:rFonts w:ascii="Courier New" w:cs="Courier New" w:eastAsia="Courier New" w:hAnsi="Courier New"/>
          <w:sz w:val="18"/>
          <w:szCs w:val="18"/>
          <w:color w:val="auto"/>
        </w:rPr>
        <w:t>Identification No.)</w:t>
      </w:r>
    </w:p>
    <w:p>
      <w:pPr>
        <w:spacing w:after="0" w:line="200" w:lineRule="exact"/>
        <w:rPr>
          <w:sz w:val="24"/>
          <w:szCs w:val="24"/>
          <w:color w:val="auto"/>
        </w:rPr>
      </w:pPr>
    </w:p>
    <w:p>
      <w:pPr>
        <w:sectPr>
          <w:pgSz w:w="11900" w:h="16838" w:orient="portrait"/>
          <w:cols w:equalWidth="0" w:num="2">
            <w:col w:w="5500" w:space="720"/>
            <w:col w:w="399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Page 1</w:t>
      </w:r>
    </w:p>
    <w:p>
      <w:pPr>
        <w:sectPr>
          <w:pgSz w:w="11900" w:h="16838" w:orient="portrait"/>
          <w:cols w:equalWidth="0" w:num="1">
            <w:col w:w="10219"/>
          </w:cols>
          <w:pgMar w:left="240" w:top="244"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1825 Research Way, Salt Lake City, Utah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8"/>
          <w:szCs w:val="18"/>
          <w:color w:val="auto"/>
        </w:rPr>
        <w:t>84119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0"/>
          <w:szCs w:val="20"/>
          <w:color w:val="auto"/>
        </w:rPr>
      </w:pPr>
    </w:p>
    <w:p>
      <w:pPr>
        <w:sectPr>
          <w:pgSz w:w="11900" w:h="16838" w:orient="portrait"/>
          <w:cols w:equalWidth="0" w:num="2">
            <w:col w:w="5600" w:space="720"/>
            <w:col w:w="3899"/>
          </w:cols>
          <w:pgMar w:left="240" w:top="514" w:right="1440" w:bottom="1440" w:gutter="0" w:footer="0" w:header="0"/>
        </w:sectPr>
      </w:pPr>
    </w:p>
    <w:p>
      <w:pPr>
        <w:spacing w:after="0" w:line="204" w:lineRule="exact"/>
        <w:rPr>
          <w:sz w:val="20"/>
          <w:szCs w:val="20"/>
          <w:color w:val="auto"/>
        </w:rPr>
      </w:pPr>
    </w:p>
    <w:p>
      <w:pPr>
        <w:ind w:left="540"/>
        <w:spacing w:after="0"/>
        <w:tabs>
          <w:tab w:leader="none" w:pos="610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(801) 975-7200</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2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(Former name, former address and former fiscal year, if changed since last report.)</w:t>
      </w:r>
    </w:p>
    <w:p>
      <w:pPr>
        <w:spacing w:after="0" w:line="200" w:lineRule="exact"/>
        <w:rPr>
          <w:sz w:val="20"/>
          <w:szCs w:val="20"/>
          <w:color w:val="auto"/>
        </w:rPr>
      </w:pPr>
    </w:p>
    <w:p>
      <w:pPr>
        <w:spacing w:after="0" w:line="211" w:lineRule="exact"/>
        <w:rPr>
          <w:sz w:val="20"/>
          <w:szCs w:val="20"/>
          <w:color w:val="auto"/>
        </w:rPr>
      </w:pPr>
    </w:p>
    <w:p>
      <w:pPr>
        <w:ind w:right="1999" w:firstLine="527"/>
        <w:spacing w:after="0" w:line="275" w:lineRule="auto"/>
        <w:rPr>
          <w:sz w:val="20"/>
          <w:szCs w:val="20"/>
          <w:color w:val="auto"/>
        </w:rPr>
      </w:pPr>
      <w:r>
        <w:rPr>
          <w:rFonts w:ascii="Courier New" w:cs="Courier New" w:eastAsia="Courier New" w:hAnsi="Courier New"/>
          <w:sz w:val="16"/>
          <w:szCs w:val="16"/>
          <w:color w:val="auto"/>
        </w:rPr>
        <w:t>Check whether the issuer (1) filed all reports required to be filed by Section 13 or 15(d) of the Exchange Act during the preceding 12 months (or for such shorter period that the registrant was required to file such reports), and (2) has been subject to such filing requirements for the past 90 days.</w:t>
      </w:r>
    </w:p>
    <w:p>
      <w:pPr>
        <w:spacing w:after="0" w:line="177" w:lineRule="exact"/>
        <w:rPr>
          <w:sz w:val="20"/>
          <w:szCs w:val="20"/>
          <w:color w:val="auto"/>
        </w:rPr>
      </w:pPr>
    </w:p>
    <w:p>
      <w:pPr>
        <w:ind w:left="3060"/>
        <w:spacing w:after="0"/>
        <w:tabs>
          <w:tab w:leader="none" w:pos="4200" w:val="left"/>
          <w:tab w:leader="none" w:pos="4720" w:val="left"/>
        </w:tabs>
        <w:rPr>
          <w:sz w:val="20"/>
          <w:szCs w:val="20"/>
          <w:color w:val="auto"/>
        </w:rPr>
      </w:pPr>
      <w:r>
        <w:rPr>
          <w:rFonts w:ascii="Courier New" w:cs="Courier New" w:eastAsia="Courier New" w:hAnsi="Courier New"/>
          <w:sz w:val="18"/>
          <w:szCs w:val="18"/>
          <w:color w:val="auto"/>
        </w:rPr>
        <w:t>[X] Yes</w:t>
      </w:r>
      <w:r>
        <w:rPr>
          <w:sz w:val="20"/>
          <w:szCs w:val="20"/>
          <w:color w:val="auto"/>
        </w:rPr>
        <w:tab/>
      </w:r>
      <w:r>
        <w:rPr>
          <w:rFonts w:ascii="Courier New" w:cs="Courier New" w:eastAsia="Courier New" w:hAnsi="Courier New"/>
          <w:sz w:val="18"/>
          <w:szCs w:val="18"/>
          <w:color w:val="auto"/>
        </w:rPr>
        <w:t>[ ]</w:t>
        <w:tab/>
        <w:t>No</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State the number of shares outstanding of each of the issuer's classes of common equity, as of the latest practicable date.</w:t>
      </w:r>
    </w:p>
    <w:p>
      <w:pPr>
        <w:sectPr>
          <w:pgSz w:w="11900" w:h="16838" w:orient="portrait"/>
          <w:cols w:equalWidth="0" w:num="1">
            <w:col w:w="10219"/>
          </w:cols>
          <w:pgMar w:left="240" w:top="514" w:right="1440" w:bottom="1440" w:gutter="0" w:footer="0" w:header="0"/>
          <w:type w:val="continuous"/>
        </w:sectPr>
      </w:pPr>
    </w:p>
    <w:p>
      <w:pPr>
        <w:spacing w:after="0" w:line="20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Class of Common Stock</w:t>
      </w:r>
    </w:p>
    <w:p>
      <w:pPr>
        <w:spacing w:after="0" w:line="21"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$0.001 par value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12, 1997</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7,676,203 shares</w:t>
      </w:r>
    </w:p>
    <w:p>
      <w:pPr>
        <w:spacing w:after="0" w:line="200" w:lineRule="exact"/>
        <w:rPr>
          <w:sz w:val="20"/>
          <w:szCs w:val="20"/>
          <w:color w:val="auto"/>
        </w:rPr>
      </w:pPr>
    </w:p>
    <w:p>
      <w:pPr>
        <w:sectPr>
          <w:pgSz w:w="11900" w:h="16838" w:orient="portrait"/>
          <w:cols w:equalWidth="0" w:num="2">
            <w:col w:w="4980" w:space="720"/>
            <w:col w:w="4519"/>
          </w:cols>
          <w:pgMar w:left="240" w:top="514" w:right="1440" w:bottom="1440" w:gutter="0" w:footer="0" w:header="0"/>
          <w:type w:val="continuous"/>
        </w:sectPr>
      </w:pPr>
    </w:p>
    <w:p>
      <w:pPr>
        <w:spacing w:after="0" w:line="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Transitional Small Business Disclosure Format (check one)</w:t>
      </w:r>
    </w:p>
    <w:p>
      <w:pPr>
        <w:sectPr>
          <w:pgSz w:w="11900" w:h="16838" w:orient="portrait"/>
          <w:cols w:equalWidth="0" w:num="1">
            <w:col w:w="10219"/>
          </w:cols>
          <w:pgMar w:left="240" w:top="514"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8"/>
          <w:szCs w:val="18"/>
          <w:color w:val="auto"/>
        </w:rPr>
        <w:t>X</w:t>
      </w:r>
    </w:p>
    <w:p>
      <w:pPr>
        <w:spacing w:after="0" w:line="4" w:lineRule="exact"/>
        <w:rPr>
          <w:sz w:val="20"/>
          <w:szCs w:val="20"/>
          <w:color w:val="auto"/>
        </w:rPr>
      </w:pPr>
    </w:p>
    <w:p>
      <w:pPr>
        <w:jc w:val="center"/>
        <w:ind w:right="83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4">
            <w:col w:w="320" w:space="100"/>
            <w:col w:w="320" w:space="540"/>
            <w:col w:w="200" w:space="100"/>
            <w:col w:w="8639"/>
          </w:cols>
          <w:pgMar w:left="24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w:t>
      </w:r>
    </w:p>
    <w:p>
      <w:pPr>
        <w:sectPr>
          <w:pgSz w:w="11900" w:h="16838" w:orient="portrait"/>
          <w:cols w:equalWidth="0" w:num="1">
            <w:col w:w="10219"/>
          </w:cols>
          <w:pgMar w:left="240" w:top="514" w:right="1440" w:bottom="1440" w:gutter="0" w:footer="0" w:header="0"/>
          <w:type w:val="continuous"/>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jc w:val="center"/>
        <w:ind w:right="2419"/>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INDEX</w:t>
      </w:r>
    </w:p>
    <w:p>
      <w:pPr>
        <w:spacing w:after="0" w:line="201" w:lineRule="exact"/>
        <w:rPr>
          <w:sz w:val="20"/>
          <w:szCs w:val="20"/>
          <w:color w:val="auto"/>
        </w:rPr>
      </w:pPr>
    </w:p>
    <w:p>
      <w:pPr>
        <w:jc w:val="center"/>
        <w:ind w:left="4400"/>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0"/>
          <w:szCs w:val="20"/>
          <w:color w:val="auto"/>
        </w:rPr>
      </w:pPr>
    </w:p>
    <w:p>
      <w:pPr>
        <w:jc w:val="center"/>
        <w:ind w:left="4400"/>
        <w:spacing w:after="0"/>
        <w:rPr>
          <w:sz w:val="20"/>
          <w:szCs w:val="20"/>
          <w:color w:val="auto"/>
        </w:rPr>
      </w:pPr>
      <w:r>
        <w:rPr>
          <w:rFonts w:ascii="Courier New" w:cs="Courier New" w:eastAsia="Courier New" w:hAnsi="Courier New"/>
          <w:sz w:val="16"/>
          <w:szCs w:val="16"/>
          <w:color w:val="auto"/>
        </w:rPr>
        <w:t>Number</w:t>
      </w:r>
    </w:p>
    <w:p>
      <w:pPr>
        <w:spacing w:after="0" w:line="21" w:lineRule="exact"/>
        <w:rPr>
          <w:sz w:val="20"/>
          <w:szCs w:val="20"/>
          <w:color w:val="auto"/>
        </w:rPr>
      </w:pPr>
    </w:p>
    <w:p>
      <w:pPr>
        <w:ind w:left="76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PART I - FINANCIAL</w:t>
      </w:r>
      <w:r>
        <w:rPr>
          <w:sz w:val="20"/>
          <w:szCs w:val="20"/>
          <w:color w:val="auto"/>
        </w:rPr>
        <w:tab/>
      </w:r>
      <w:r>
        <w:rPr>
          <w:rFonts w:ascii="Courier New" w:cs="Courier New" w:eastAsia="Courier New" w:hAnsi="Courier New"/>
          <w:sz w:val="16"/>
          <w:szCs w:val="16"/>
          <w:color w:val="auto"/>
        </w:rPr>
        <w:t>INFORMATION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1. Financial Statements Balance Sheets</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September 30, 1997 (unaudited) and June 30, 1997 . . . . . . . 4</w:t>
      </w:r>
    </w:p>
    <w:p>
      <w:pPr>
        <w:spacing w:after="0" w:line="200" w:lineRule="exact"/>
        <w:rPr>
          <w:sz w:val="20"/>
          <w:szCs w:val="20"/>
          <w:color w:val="auto"/>
        </w:rPr>
      </w:pPr>
    </w:p>
    <w:p>
      <w:pPr>
        <w:spacing w:after="0" w:line="22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Statements of Operations</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Three Months Ended September 30, 1997 and 1996 (unaudited) . . 6</w:t>
      </w:r>
    </w:p>
    <w:p>
      <w:pPr>
        <w:spacing w:after="0" w:line="200" w:lineRule="exact"/>
        <w:rPr>
          <w:sz w:val="20"/>
          <w:szCs w:val="20"/>
          <w:color w:val="auto"/>
        </w:rPr>
      </w:pPr>
    </w:p>
    <w:p>
      <w:pPr>
        <w:spacing w:after="0" w:line="221"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Condensed Statements of Cash Flows</w:t>
      </w:r>
    </w:p>
    <w:p>
      <w:pPr>
        <w:spacing w:after="0" w:line="4" w:lineRule="exact"/>
        <w:rPr>
          <w:sz w:val="20"/>
          <w:szCs w:val="20"/>
          <w:color w:val="auto"/>
        </w:rPr>
      </w:pPr>
    </w:p>
    <w:p>
      <w:pPr>
        <w:ind w:left="1380"/>
        <w:spacing w:after="0"/>
        <w:rPr>
          <w:sz w:val="20"/>
          <w:szCs w:val="20"/>
          <w:color w:val="auto"/>
        </w:rPr>
      </w:pPr>
      <w:r>
        <w:rPr>
          <w:rFonts w:ascii="Courier New" w:cs="Courier New" w:eastAsia="Courier New" w:hAnsi="Courier New"/>
          <w:sz w:val="16"/>
          <w:szCs w:val="16"/>
          <w:color w:val="auto"/>
        </w:rPr>
        <w:t>Three Months Ended September 30, 1997 and 1996 (unaudited) . . 7</w:t>
      </w:r>
    </w:p>
    <w:p>
      <w:pPr>
        <w:spacing w:after="0" w:line="200" w:lineRule="exact"/>
        <w:rPr>
          <w:sz w:val="20"/>
          <w:szCs w:val="20"/>
          <w:color w:val="auto"/>
        </w:rPr>
      </w:pPr>
    </w:p>
    <w:p>
      <w:pPr>
        <w:spacing w:after="0" w:line="221" w:lineRule="exact"/>
        <w:rPr>
          <w:sz w:val="20"/>
          <w:szCs w:val="20"/>
          <w:color w:val="auto"/>
        </w:rPr>
      </w:pPr>
    </w:p>
    <w:p>
      <w:pPr>
        <w:ind w:left="1380"/>
        <w:spacing w:after="0"/>
        <w:tabs>
          <w:tab w:leader="none" w:pos="4620" w:val="left"/>
        </w:tabs>
        <w:rPr>
          <w:sz w:val="20"/>
          <w:szCs w:val="20"/>
          <w:color w:val="auto"/>
        </w:rPr>
      </w:pPr>
      <w:r>
        <w:rPr>
          <w:rFonts w:ascii="Courier New" w:cs="Courier New" w:eastAsia="Courier New" w:hAnsi="Courier New"/>
          <w:sz w:val="18"/>
          <w:szCs w:val="18"/>
          <w:color w:val="auto"/>
        </w:rPr>
        <w:t>Notes to Financial Statements</w:t>
      </w:r>
      <w:r>
        <w:rPr>
          <w:sz w:val="20"/>
          <w:szCs w:val="20"/>
          <w:color w:val="auto"/>
        </w:rPr>
        <w:tab/>
      </w:r>
      <w:r>
        <w:rPr>
          <w:rFonts w:ascii="Courier New" w:cs="Courier New" w:eastAsia="Courier New" w:hAnsi="Courier New"/>
          <w:sz w:val="16"/>
          <w:szCs w:val="16"/>
          <w:color w:val="auto"/>
        </w:rPr>
        <w:t>. . . . . . . . . . . . . . . . 9</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Item 2. Management's Discussion and Analysis of Financial</w:t>
      </w:r>
    </w:p>
    <w:p>
      <w:pPr>
        <w:spacing w:after="0" w:line="4" w:lineRule="exact"/>
        <w:rPr>
          <w:sz w:val="20"/>
          <w:szCs w:val="20"/>
          <w:color w:val="auto"/>
        </w:rPr>
      </w:pPr>
    </w:p>
    <w:p>
      <w:pPr>
        <w:ind w:right="2099" w:firstLine="1369"/>
        <w:spacing w:after="0" w:line="558" w:lineRule="auto"/>
        <w:rPr>
          <w:sz w:val="20"/>
          <w:szCs w:val="20"/>
          <w:color w:val="auto"/>
        </w:rPr>
      </w:pPr>
      <w:r>
        <w:rPr>
          <w:rFonts w:ascii="Courier New" w:cs="Courier New" w:eastAsia="Courier New" w:hAnsi="Courier New"/>
          <w:sz w:val="16"/>
          <w:szCs w:val="16"/>
          <w:color w:val="auto"/>
        </w:rPr>
        <w:t>Condition and Results of Operations . . . . . . . . . . . . .10 PART II - OTHER INFORMATION . . . . . . . . . . . . . . . . . . . . . .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w:t>
      </w:r>
    </w:p>
    <w:p>
      <w:pPr>
        <w:sectPr>
          <w:pgSz w:w="11900" w:h="16838" w:orient="portrait"/>
          <w:cols w:equalWidth="0" w:num="1">
            <w:col w:w="10219"/>
          </w:cols>
          <w:pgMar w:left="240" w:top="514"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GENTNER COMMUNICATIONS CORPORATION</w:t>
            </w: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BALANCE SHEETS</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03"/>
        </w:trPr>
        <w:tc>
          <w:tcPr>
            <w:tcW w:w="4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(Unaudited)</w:t>
            </w:r>
          </w:p>
        </w:tc>
        <w:tc>
          <w:tcPr>
            <w:tcW w:w="132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200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September 30,</w:t>
            </w:r>
          </w:p>
        </w:tc>
        <w:tc>
          <w:tcPr>
            <w:tcW w:w="1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1997</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ind w:right="2272"/>
              <w:spacing w:after="0" w:line="203" w:lineRule="exact"/>
              <w:rPr>
                <w:sz w:val="20"/>
                <w:szCs w:val="20"/>
                <w:color w:val="auto"/>
              </w:rPr>
            </w:pPr>
            <w:r>
              <w:rPr>
                <w:rFonts w:ascii="Courier New" w:cs="Courier New" w:eastAsia="Courier New" w:hAnsi="Courier New"/>
                <w:sz w:val="18"/>
                <w:szCs w:val="18"/>
                <w:color w:val="auto"/>
              </w:rPr>
              <w:t>ASSETS</w:t>
            </w: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Cash and cash equivalents . . . . . .</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7,087</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63,992</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Accounts receivable . . . . . . . . .</w:t>
            </w:r>
          </w:p>
        </w:tc>
        <w:tc>
          <w:tcPr>
            <w:tcW w:w="480" w:type="dxa"/>
            <w:vAlign w:val="bottom"/>
          </w:tcPr>
          <w:p>
            <w:pPr>
              <w:spacing w:after="0"/>
              <w:rPr>
                <w:sz w:val="17"/>
                <w:szCs w:val="17"/>
                <w:color w:val="auto"/>
              </w:rPr>
            </w:pP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1,945,645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1,682,254</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Refundable income taxes . . . . . . .</w:t>
            </w:r>
          </w:p>
        </w:tc>
        <w:tc>
          <w:tcPr>
            <w:tcW w:w="480" w:type="dxa"/>
            <w:vAlign w:val="bottom"/>
          </w:tcPr>
          <w:p>
            <w:pPr>
              <w:spacing w:after="0"/>
              <w:rPr>
                <w:sz w:val="17"/>
                <w:szCs w:val="17"/>
                <w:color w:val="auto"/>
              </w:rPr>
            </w:pPr>
          </w:p>
        </w:tc>
        <w:tc>
          <w:tcPr>
            <w:tcW w:w="152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Inventory . . . . . . . . . . . . . .</w:t>
            </w:r>
          </w:p>
        </w:tc>
        <w:tc>
          <w:tcPr>
            <w:tcW w:w="480" w:type="dxa"/>
            <w:vAlign w:val="bottom"/>
          </w:tcPr>
          <w:p>
            <w:pPr>
              <w:spacing w:after="0"/>
              <w:rPr>
                <w:sz w:val="17"/>
                <w:szCs w:val="17"/>
                <w:color w:val="auto"/>
              </w:rPr>
            </w:pP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2,693,098</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2,668,761</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Other current assets  . . . . . . . .</w:t>
            </w:r>
          </w:p>
        </w:tc>
        <w:tc>
          <w:tcPr>
            <w:tcW w:w="480" w:type="dxa"/>
            <w:vAlign w:val="bottom"/>
          </w:tcPr>
          <w:p>
            <w:pPr>
              <w:spacing w:after="0"/>
              <w:rPr>
                <w:sz w:val="17"/>
                <w:szCs w:val="17"/>
                <w:color w:val="auto"/>
              </w:rPr>
            </w:pP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131,585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136,177</w:t>
            </w:r>
          </w:p>
        </w:tc>
      </w:tr>
      <w:tr>
        <w:trPr>
          <w:trHeight w:val="203"/>
        </w:trPr>
        <w:tc>
          <w:tcPr>
            <w:tcW w:w="44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Total current assets . . . . . . .</w:t>
            </w:r>
          </w:p>
        </w:tc>
        <w:tc>
          <w:tcPr>
            <w:tcW w:w="480" w:type="dxa"/>
            <w:vAlign w:val="bottom"/>
          </w:tcPr>
          <w:p>
            <w:pPr>
              <w:spacing w:after="0"/>
              <w:rPr>
                <w:sz w:val="17"/>
                <w:szCs w:val="17"/>
                <w:color w:val="auto"/>
              </w:rPr>
            </w:pP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4"/>
              </w:rPr>
              <w:t>4,777,415</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4,551,184</w:t>
            </w:r>
          </w:p>
        </w:tc>
      </w:tr>
      <w:tr>
        <w:trPr>
          <w:trHeight w:val="405"/>
        </w:trPr>
        <w:tc>
          <w:tcPr>
            <w:tcW w:w="4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Property and equipment, net . . . . . .</w:t>
            </w:r>
          </w:p>
        </w:tc>
        <w:tc>
          <w:tcPr>
            <w:tcW w:w="480" w:type="dxa"/>
            <w:vAlign w:val="bottom"/>
          </w:tcPr>
          <w:p>
            <w:pPr>
              <w:spacing w:after="0"/>
              <w:rPr>
                <w:sz w:val="24"/>
                <w:szCs w:val="24"/>
                <w:color w:val="auto"/>
              </w:rPr>
            </w:pPr>
          </w:p>
        </w:tc>
        <w:tc>
          <w:tcPr>
            <w:tcW w:w="15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4"/>
              </w:rPr>
              <w:t>2,419,658</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2,493,287</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Related party note receivable . . . . .</w:t>
            </w:r>
          </w:p>
        </w:tc>
        <w:tc>
          <w:tcPr>
            <w:tcW w:w="480" w:type="dxa"/>
            <w:vAlign w:val="bottom"/>
          </w:tcPr>
          <w:p>
            <w:pPr>
              <w:spacing w:after="0"/>
              <w:rPr>
                <w:sz w:val="17"/>
                <w:szCs w:val="17"/>
                <w:color w:val="auto"/>
              </w:rPr>
            </w:pP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136,776</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139,000</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Other assets, net . . . . . . . . . . .</w:t>
            </w:r>
          </w:p>
        </w:tc>
        <w:tc>
          <w:tcPr>
            <w:tcW w:w="480" w:type="dxa"/>
            <w:vAlign w:val="bottom"/>
          </w:tcPr>
          <w:p>
            <w:pPr>
              <w:spacing w:after="0"/>
              <w:rPr>
                <w:sz w:val="17"/>
                <w:szCs w:val="17"/>
                <w:color w:val="auto"/>
              </w:rPr>
            </w:pP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141,522</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152,383</w:t>
            </w:r>
          </w:p>
        </w:tc>
      </w:tr>
      <w:tr>
        <w:trPr>
          <w:trHeight w:val="203"/>
        </w:trPr>
        <w:tc>
          <w:tcPr>
            <w:tcW w:w="44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Total assets . . . . . . . . . . .</w:t>
            </w: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$7,475,371</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$7,335,854</w:t>
            </w:r>
          </w:p>
        </w:tc>
      </w:tr>
      <w:tr>
        <w:trPr>
          <w:trHeight w:val="203"/>
        </w:trPr>
        <w:tc>
          <w:tcPr>
            <w:tcW w:w="4480" w:type="dxa"/>
            <w:vAlign w:val="bottom"/>
          </w:tcPr>
          <w:p>
            <w:pPr>
              <w:spacing w:after="0"/>
              <w:rPr>
                <w:sz w:val="17"/>
                <w:szCs w:val="17"/>
                <w:color w:val="auto"/>
              </w:rPr>
            </w:pPr>
          </w:p>
        </w:tc>
        <w:tc>
          <w:tcPr>
            <w:tcW w:w="200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w:t>
      </w:r>
    </w:p>
    <w:p>
      <w:pPr>
        <w:sectPr>
          <w:pgSz w:w="11900" w:h="16838" w:orient="portrait"/>
          <w:cols w:equalWidth="0" w:num="1">
            <w:col w:w="10219"/>
          </w:cols>
          <w:pgMar w:left="240" w:top="514" w:right="1440" w:bottom="1440"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9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48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19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 . . . . . . . . . . . .</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767,037</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722,997</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 . . . . . . . . .</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420,486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471,072</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 . . . . . . . . .</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401,066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356,446</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long-term debt</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263,920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257,164</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portion of capital lease</w:t>
            </w:r>
          </w:p>
        </w:tc>
        <w:tc>
          <w:tcPr>
            <w:tcW w:w="19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obligations . . . . . . . . . . . .</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251,831</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254,951</w:t>
            </w:r>
          </w:p>
        </w:tc>
      </w:tr>
      <w:tr>
        <w:trPr>
          <w:trHeight w:val="203"/>
        </w:trPr>
        <w:tc>
          <w:tcPr>
            <w:tcW w:w="4480" w:type="dxa"/>
            <w:vAlign w:val="bottom"/>
          </w:tcPr>
          <w:p>
            <w:pPr>
              <w:spacing w:after="0"/>
              <w:rPr>
                <w:sz w:val="17"/>
                <w:szCs w:val="17"/>
                <w:color w:val="auto"/>
              </w:rPr>
            </w:pP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Total current liabilities. . . . .</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2,104,340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2,062,630</w:t>
            </w:r>
          </w:p>
        </w:tc>
      </w:tr>
      <w:tr>
        <w:trPr>
          <w:trHeight w:val="405"/>
        </w:trPr>
        <w:tc>
          <w:tcPr>
            <w:tcW w:w="4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Long-term debt  . . . . . . . . . . . .</w:t>
            </w:r>
          </w:p>
        </w:tc>
        <w:tc>
          <w:tcPr>
            <w:tcW w:w="19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619,624</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687,274</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Capital lease obligations . . . . . . .</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733,102</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784,354</w:t>
            </w:r>
          </w:p>
        </w:tc>
      </w:tr>
      <w:tr>
        <w:trPr>
          <w:trHeight w:val="203"/>
        </w:trPr>
        <w:tc>
          <w:tcPr>
            <w:tcW w:w="4480" w:type="dxa"/>
            <w:vAlign w:val="bottom"/>
          </w:tcPr>
          <w:p>
            <w:pPr>
              <w:spacing w:after="0"/>
              <w:rPr>
                <w:sz w:val="17"/>
                <w:szCs w:val="17"/>
                <w:color w:val="auto"/>
              </w:rPr>
            </w:pP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Total liabilities  . . . . . . . .</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3,457,066</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3,534,258</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9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50,000,000 shares</w:t>
            </w:r>
          </w:p>
        </w:tc>
        <w:tc>
          <w:tcPr>
            <w:tcW w:w="19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authorized, par value $.001,</w:t>
            </w:r>
          </w:p>
        </w:tc>
        <w:tc>
          <w:tcPr>
            <w:tcW w:w="19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7,675,443 and 7,663,405 shares</w:t>
            </w:r>
          </w:p>
        </w:tc>
        <w:tc>
          <w:tcPr>
            <w:tcW w:w="19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issued and outstanding at</w:t>
            </w:r>
          </w:p>
        </w:tc>
        <w:tc>
          <w:tcPr>
            <w:tcW w:w="19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September 30, 1997 and</w:t>
            </w:r>
          </w:p>
        </w:tc>
        <w:tc>
          <w:tcPr>
            <w:tcW w:w="19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June 30, 1996 . . . . . . . . . . .</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7,675</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7,663</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Additional paid-in capital  . . . . .</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4,432,000</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4,423,482</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Accumulated deficit . . . . . . . . .</w:t>
            </w:r>
          </w:p>
        </w:tc>
        <w:tc>
          <w:tcPr>
            <w:tcW w:w="1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(421,370)</w:t>
            </w:r>
          </w:p>
        </w:tc>
        <w:tc>
          <w:tcPr>
            <w:tcW w:w="1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(629,549)</w:t>
            </w:r>
          </w:p>
        </w:tc>
      </w:tr>
      <w:tr>
        <w:trPr>
          <w:trHeight w:val="203"/>
        </w:trPr>
        <w:tc>
          <w:tcPr>
            <w:tcW w:w="4480" w:type="dxa"/>
            <w:vAlign w:val="bottom"/>
          </w:tcPr>
          <w:p>
            <w:pPr>
              <w:spacing w:after="0"/>
              <w:rPr>
                <w:sz w:val="17"/>
                <w:szCs w:val="17"/>
                <w:color w:val="auto"/>
              </w:rPr>
            </w:pP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Total shareholders' equity . . . .</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4,018,305</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3,801,596</w:t>
            </w:r>
          </w:p>
        </w:tc>
      </w:tr>
      <w:tr>
        <w:trPr>
          <w:trHeight w:val="203"/>
        </w:trPr>
        <w:tc>
          <w:tcPr>
            <w:tcW w:w="4480" w:type="dxa"/>
            <w:vAlign w:val="bottom"/>
          </w:tcPr>
          <w:p>
            <w:pPr>
              <w:spacing w:after="0"/>
              <w:rPr>
                <w:sz w:val="17"/>
                <w:szCs w:val="17"/>
                <w:color w:val="auto"/>
              </w:rPr>
            </w:pP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190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shareholders' equity . . . . .</w:t>
            </w: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$7,475,371</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$7,335,854</w:t>
            </w:r>
          </w:p>
        </w:tc>
      </w:tr>
      <w:tr>
        <w:trPr>
          <w:trHeight w:val="203"/>
        </w:trPr>
        <w:tc>
          <w:tcPr>
            <w:tcW w:w="4480" w:type="dxa"/>
            <w:vAlign w:val="bottom"/>
          </w:tcPr>
          <w:p>
            <w:pPr>
              <w:spacing w:after="0"/>
              <w:rPr>
                <w:sz w:val="17"/>
                <w:szCs w:val="17"/>
                <w:color w:val="auto"/>
              </w:rPr>
            </w:pPr>
          </w:p>
        </w:tc>
        <w:tc>
          <w:tcPr>
            <w:tcW w:w="19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w:t>
      </w:r>
    </w:p>
    <w:p>
      <w:pPr>
        <w:sectPr>
          <w:pgSz w:w="11900" w:h="16838" w:orient="portrait"/>
          <w:cols w:equalWidth="0" w:num="1">
            <w:col w:w="10219"/>
          </w:cols>
          <w:pgMar w:left="240" w:top="514" w:right="1440" w:bottom="1440" w:gutter="0" w:footer="0" w:header="0"/>
        </w:sectPr>
      </w:pPr>
    </w:p>
    <w:bookmarkStart w:id="8" w:name="page9"/>
    <w:bookmarkEnd w:id="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STATEMENTS OF OPERATIONS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gridSpan w:val="2"/>
          </w:tcPr>
          <w:p>
            <w:pPr>
              <w:ind w:left="780"/>
              <w:spacing w:after="0"/>
              <w:rPr>
                <w:sz w:val="20"/>
                <w:szCs w:val="20"/>
                <w:color w:val="auto"/>
              </w:rPr>
            </w:pPr>
            <w:r>
              <w:rPr>
                <w:rFonts w:ascii="Courier New" w:cs="Courier New" w:eastAsia="Courier New" w:hAnsi="Courier New"/>
                <w:sz w:val="18"/>
                <w:szCs w:val="18"/>
                <w:color w:val="auto"/>
                <w:w w:val="95"/>
              </w:rPr>
              <w:t>(Unaudited)</w:t>
            </w:r>
          </w:p>
        </w:tc>
        <w:tc>
          <w:tcPr>
            <w:tcW w:w="1060" w:type="dxa"/>
            <w:vAlign w:val="bottom"/>
          </w:tcPr>
          <w:p>
            <w:pPr>
              <w:spacing w:after="0"/>
              <w:rPr>
                <w:sz w:val="17"/>
                <w:szCs w:val="17"/>
                <w:color w:val="auto"/>
              </w:rPr>
            </w:pP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0" w:type="dxa"/>
            <w:vAlign w:val="bottom"/>
            <w:gridSpan w:val="3"/>
          </w:tcPr>
          <w:p>
            <w:pPr>
              <w:ind w:left="780"/>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1997</w:t>
            </w:r>
          </w:p>
        </w:tc>
        <w:tc>
          <w:tcPr>
            <w:tcW w:w="5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Net sales . . . . . . . . . . . . . . .</w:t>
            </w:r>
          </w:p>
        </w:tc>
        <w:tc>
          <w:tcPr>
            <w:tcW w:w="19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$ 3,724,979</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$ 2,940,205</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Cost of goods sold  . . . . . . . . . .</w:t>
            </w:r>
          </w:p>
        </w:tc>
        <w:tc>
          <w:tcPr>
            <w:tcW w:w="54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1,827,190</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1,581,985</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Gross profit  . . . . . . . . . . . .</w:t>
            </w:r>
          </w:p>
        </w:tc>
        <w:tc>
          <w:tcPr>
            <w:tcW w:w="54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1,897,789</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1,358,220</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Marketing and selling . . . . . . . .</w:t>
            </w:r>
          </w:p>
        </w:tc>
        <w:tc>
          <w:tcPr>
            <w:tcW w:w="54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736,780</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777,172</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General and administrative  . . . . .</w:t>
            </w:r>
          </w:p>
        </w:tc>
        <w:tc>
          <w:tcPr>
            <w:tcW w:w="54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599,522</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436,152</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Product development . . . . . . . . .</w:t>
            </w:r>
          </w:p>
        </w:tc>
        <w:tc>
          <w:tcPr>
            <w:tcW w:w="54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296,489</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237,574</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Total operating expenses . . . . .</w:t>
            </w:r>
          </w:p>
        </w:tc>
        <w:tc>
          <w:tcPr>
            <w:tcW w:w="54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1,632,791</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1,450,898</w:t>
            </w:r>
          </w:p>
        </w:tc>
      </w:tr>
      <w:tr>
        <w:trPr>
          <w:trHeight w:val="405"/>
        </w:trPr>
        <w:tc>
          <w:tcPr>
            <w:tcW w:w="4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Operating income (loss). . . . . .</w:t>
            </w:r>
          </w:p>
        </w:tc>
        <w:tc>
          <w:tcPr>
            <w:tcW w:w="540" w:type="dxa"/>
            <w:vAlign w:val="bottom"/>
          </w:tcPr>
          <w:p>
            <w:pPr>
              <w:spacing w:after="0"/>
              <w:rPr>
                <w:sz w:val="24"/>
                <w:szCs w:val="24"/>
                <w:color w:val="auto"/>
              </w:rPr>
            </w:pP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264,998</w:t>
            </w:r>
          </w:p>
        </w:tc>
        <w:tc>
          <w:tcPr>
            <w:tcW w:w="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(92,678)</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5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Interest income . . . . . . . . . . .</w:t>
            </w:r>
          </w:p>
        </w:tc>
        <w:tc>
          <w:tcPr>
            <w:tcW w:w="54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3,717</w:t>
            </w:r>
          </w:p>
        </w:tc>
        <w:tc>
          <w:tcPr>
            <w:tcW w:w="5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Interest expense  . . . . . . . . . .</w:t>
            </w:r>
          </w:p>
        </w:tc>
        <w:tc>
          <w:tcPr>
            <w:tcW w:w="54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(64,554)</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(35,811)</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Other, net  . . . . . . . . . . . . .</w:t>
            </w:r>
          </w:p>
        </w:tc>
        <w:tc>
          <w:tcPr>
            <w:tcW w:w="54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4,018</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Total other income (expense) . . .</w:t>
            </w:r>
          </w:p>
        </w:tc>
        <w:tc>
          <w:tcPr>
            <w:tcW w:w="540" w:type="dxa"/>
            <w:vAlign w:val="bottom"/>
          </w:tcPr>
          <w:p>
            <w:pPr>
              <w:spacing w:after="0"/>
              <w:rPr>
                <w:sz w:val="17"/>
                <w:szCs w:val="17"/>
                <w:color w:val="auto"/>
              </w:rPr>
            </w:pPr>
          </w:p>
        </w:tc>
        <w:tc>
          <w:tcPr>
            <w:tcW w:w="14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(56,819)</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(35,700)</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Income (loss) before income taxes . . .</w:t>
            </w:r>
          </w:p>
        </w:tc>
        <w:tc>
          <w:tcPr>
            <w:tcW w:w="54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208,179</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(128,378)</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Provision for income taxes. . . . . . .</w:t>
            </w:r>
          </w:p>
        </w:tc>
        <w:tc>
          <w:tcPr>
            <w:tcW w:w="540" w:type="dxa"/>
            <w:vAlign w:val="bottom"/>
          </w:tcPr>
          <w:p>
            <w:pPr>
              <w:spacing w:after="0"/>
              <w:rPr>
                <w:sz w:val="17"/>
                <w:szCs w:val="17"/>
                <w:color w:val="auto"/>
              </w:rPr>
            </w:pPr>
          </w:p>
        </w:tc>
        <w:tc>
          <w:tcPr>
            <w:tcW w:w="14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5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Net income (loss). . . . . . . . .</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208,179</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(128,378)</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Net earnings (loss) per common share. .</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0.03</w:t>
            </w:r>
          </w:p>
        </w:tc>
        <w:tc>
          <w:tcPr>
            <w:tcW w:w="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(0.02)</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w:t>
      </w:r>
    </w:p>
    <w:p>
      <w:pPr>
        <w:sectPr>
          <w:pgSz w:w="11900" w:h="16838" w:orient="portrait"/>
          <w:cols w:equalWidth="0" w:num="1">
            <w:col w:w="10219"/>
          </w:cols>
          <w:pgMar w:left="240" w:top="514" w:right="1440" w:bottom="1440" w:gutter="0" w:footer="0" w:header="0"/>
        </w:sectPr>
      </w:pPr>
    </w:p>
    <w:bookmarkStart w:id="10" w:name="page11"/>
    <w:bookmarkEnd w:id="1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GENTNER COMMUNICATIONS CORPORATION</w:t>
            </w: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CONDENSED STATEMENTS OF CASH FLOWS</w:t>
            </w:r>
          </w:p>
        </w:tc>
        <w:tc>
          <w:tcPr>
            <w:tcW w:w="19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4480" w:type="dxa"/>
            <w:vAlign w:val="bottom"/>
          </w:tcPr>
          <w:p>
            <w:pPr>
              <w:spacing w:after="0"/>
              <w:rPr>
                <w:sz w:val="24"/>
                <w:szCs w:val="24"/>
                <w:color w:val="auto"/>
              </w:rPr>
            </w:pPr>
          </w:p>
        </w:tc>
        <w:tc>
          <w:tcPr>
            <w:tcW w:w="3540" w:type="dxa"/>
            <w:vAlign w:val="bottom"/>
            <w:gridSpan w:val="2"/>
          </w:tcPr>
          <w:p>
            <w:pPr>
              <w:ind w:left="1320"/>
              <w:spacing w:after="0"/>
              <w:rPr>
                <w:sz w:val="20"/>
                <w:szCs w:val="20"/>
                <w:color w:val="auto"/>
              </w:rPr>
            </w:pPr>
            <w:r>
              <w:rPr>
                <w:rFonts w:ascii="Courier New" w:cs="Courier New" w:eastAsia="Courier New" w:hAnsi="Courier New"/>
                <w:sz w:val="18"/>
                <w:szCs w:val="18"/>
                <w:color w:val="auto"/>
              </w:rPr>
              <w:t>(Unaudited)</w:t>
            </w:r>
          </w:p>
        </w:tc>
      </w:tr>
      <w:tr>
        <w:trPr>
          <w:trHeight w:val="203"/>
        </w:trPr>
        <w:tc>
          <w:tcPr>
            <w:tcW w:w="4480" w:type="dxa"/>
            <w:vAlign w:val="bottom"/>
          </w:tcPr>
          <w:p>
            <w:pPr>
              <w:spacing w:after="0"/>
              <w:rPr>
                <w:sz w:val="17"/>
                <w:szCs w:val="17"/>
                <w:color w:val="auto"/>
              </w:rPr>
            </w:pPr>
          </w:p>
        </w:tc>
        <w:tc>
          <w:tcPr>
            <w:tcW w:w="3540" w:type="dxa"/>
            <w:vAlign w:val="bottom"/>
            <w:gridSpan w:val="2"/>
          </w:tcPr>
          <w:p>
            <w:pPr>
              <w:jc w:val="right"/>
              <w:ind w:right="552"/>
              <w:spacing w:after="0" w:line="203" w:lineRule="exact"/>
              <w:rPr>
                <w:sz w:val="20"/>
                <w:szCs w:val="20"/>
                <w:color w:val="auto"/>
              </w:rPr>
            </w:pPr>
            <w:r>
              <w:rPr>
                <w:rFonts w:ascii="Courier New" w:cs="Courier New" w:eastAsia="Courier New" w:hAnsi="Courier New"/>
                <w:sz w:val="18"/>
                <w:szCs w:val="18"/>
                <w:color w:val="auto"/>
              </w:rPr>
              <w:t>Three Months Ended</w:t>
            </w:r>
          </w:p>
        </w:tc>
      </w:tr>
      <w:tr>
        <w:trPr>
          <w:trHeight w:val="203"/>
        </w:trPr>
        <w:tc>
          <w:tcPr>
            <w:tcW w:w="4480" w:type="dxa"/>
            <w:vAlign w:val="bottom"/>
          </w:tcPr>
          <w:p>
            <w:pPr>
              <w:spacing w:after="0"/>
              <w:rPr>
                <w:sz w:val="17"/>
                <w:szCs w:val="17"/>
                <w:color w:val="auto"/>
              </w:rPr>
            </w:pPr>
          </w:p>
        </w:tc>
        <w:tc>
          <w:tcPr>
            <w:tcW w:w="3540" w:type="dxa"/>
            <w:vAlign w:val="bottom"/>
            <w:gridSpan w:val="2"/>
          </w:tcPr>
          <w:p>
            <w:pPr>
              <w:ind w:left="1320"/>
              <w:spacing w:after="0" w:line="203" w:lineRule="exact"/>
              <w:rPr>
                <w:sz w:val="20"/>
                <w:szCs w:val="20"/>
                <w:color w:val="auto"/>
              </w:rPr>
            </w:pPr>
            <w:r>
              <w:rPr>
                <w:rFonts w:ascii="Courier New" w:cs="Courier New" w:eastAsia="Courier New" w:hAnsi="Courier New"/>
                <w:sz w:val="18"/>
                <w:szCs w:val="18"/>
                <w:color w:val="auto"/>
              </w:rPr>
              <w:t>September 30,</w:t>
            </w:r>
          </w:p>
        </w:tc>
      </w:tr>
      <w:tr>
        <w:trPr>
          <w:trHeight w:val="203"/>
        </w:trPr>
        <w:tc>
          <w:tcPr>
            <w:tcW w:w="4480" w:type="dxa"/>
            <w:vAlign w:val="bottom"/>
          </w:tcPr>
          <w:p>
            <w:pPr>
              <w:spacing w:after="0"/>
              <w:rPr>
                <w:sz w:val="17"/>
                <w:szCs w:val="17"/>
                <w:color w:val="auto"/>
              </w:rPr>
            </w:pP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1997</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480" w:type="dxa"/>
            <w:vAlign w:val="bottom"/>
          </w:tcPr>
          <w:p>
            <w:pPr>
              <w:spacing w:after="0"/>
              <w:rPr>
                <w:sz w:val="17"/>
                <w:szCs w:val="17"/>
                <w:color w:val="auto"/>
              </w:rPr>
            </w:pPr>
          </w:p>
        </w:tc>
        <w:tc>
          <w:tcPr>
            <w:tcW w:w="1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19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Cash received from customers. . . . .</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$ 3,451,258</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$ 2,927,293</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Cash paid to suppliers &amp; employees. .</w:t>
            </w:r>
          </w:p>
        </w:tc>
        <w:tc>
          <w:tcPr>
            <w:tcW w:w="1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(3,293,423)</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(2,578,655)</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Interest received . . . . . . . . . .</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3,717</w:t>
            </w:r>
          </w:p>
        </w:tc>
        <w:tc>
          <w:tcPr>
            <w:tcW w:w="15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Interest paid . . . . . . . . . . . .</w:t>
            </w:r>
          </w:p>
        </w:tc>
        <w:tc>
          <w:tcPr>
            <w:tcW w:w="1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(67,947)</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(36,497)</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Income taxes refunded (paid). . . . .</w:t>
            </w:r>
          </w:p>
        </w:tc>
        <w:tc>
          <w:tcPr>
            <w:tcW w:w="1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(900)</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19,900</w:t>
            </w:r>
          </w:p>
        </w:tc>
      </w:tr>
      <w:tr>
        <w:trPr>
          <w:trHeight w:val="203"/>
        </w:trPr>
        <w:tc>
          <w:tcPr>
            <w:tcW w:w="4480" w:type="dxa"/>
            <w:vAlign w:val="bottom"/>
          </w:tcPr>
          <w:p>
            <w:pPr>
              <w:spacing w:after="0"/>
              <w:rPr>
                <w:sz w:val="17"/>
                <w:szCs w:val="17"/>
                <w:color w:val="auto"/>
              </w:rPr>
            </w:pP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provided by operating</w:t>
            </w: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activities . . . . . . . . . . .</w:t>
            </w: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92,705</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332,041</w:t>
            </w:r>
          </w:p>
        </w:tc>
      </w:tr>
      <w:tr>
        <w:trPr>
          <w:trHeight w:val="203"/>
        </w:trPr>
        <w:tc>
          <w:tcPr>
            <w:tcW w:w="4480" w:type="dxa"/>
            <w:vAlign w:val="bottom"/>
          </w:tcPr>
          <w:p>
            <w:pPr>
              <w:spacing w:after="0"/>
              <w:rPr>
                <w:sz w:val="17"/>
                <w:szCs w:val="17"/>
                <w:color w:val="auto"/>
              </w:rPr>
            </w:pP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19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Purchases of property &amp; equipment . .</w:t>
            </w:r>
          </w:p>
        </w:tc>
        <w:tc>
          <w:tcPr>
            <w:tcW w:w="1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(74,309)</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(124,480)</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Increase in other assets. . . . . . .</w:t>
            </w:r>
          </w:p>
        </w:tc>
        <w:tc>
          <w:tcPr>
            <w:tcW w:w="1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(1,061)</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(33,517)</w:t>
            </w:r>
          </w:p>
        </w:tc>
      </w:tr>
      <w:tr>
        <w:trPr>
          <w:trHeight w:val="203"/>
        </w:trPr>
        <w:tc>
          <w:tcPr>
            <w:tcW w:w="4480" w:type="dxa"/>
            <w:vAlign w:val="bottom"/>
          </w:tcPr>
          <w:p>
            <w:pPr>
              <w:spacing w:after="0"/>
              <w:rPr>
                <w:sz w:val="17"/>
                <w:szCs w:val="17"/>
                <w:color w:val="auto"/>
              </w:rPr>
            </w:pPr>
          </w:p>
        </w:tc>
        <w:tc>
          <w:tcPr>
            <w:tcW w:w="1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cash (used in) investing</w:t>
            </w:r>
          </w:p>
        </w:tc>
        <w:tc>
          <w:tcPr>
            <w:tcW w:w="19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activities . . . . . . . . . . .</w:t>
            </w:r>
          </w:p>
        </w:tc>
        <w:tc>
          <w:tcPr>
            <w:tcW w:w="1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(75,370)</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(157,997)</w:t>
            </w:r>
          </w:p>
        </w:tc>
      </w:tr>
      <w:tr>
        <w:trPr>
          <w:trHeight w:val="203"/>
        </w:trPr>
        <w:tc>
          <w:tcPr>
            <w:tcW w:w="4480" w:type="dxa"/>
            <w:vAlign w:val="bottom"/>
          </w:tcPr>
          <w:p>
            <w:pPr>
              <w:spacing w:after="0"/>
              <w:rPr>
                <w:sz w:val="17"/>
                <w:szCs w:val="17"/>
                <w:color w:val="auto"/>
              </w:rPr>
            </w:pPr>
          </w:p>
        </w:tc>
        <w:tc>
          <w:tcPr>
            <w:tcW w:w="1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w:t>
      </w:r>
    </w:p>
    <w:p>
      <w:pPr>
        <w:sectPr>
          <w:pgSz w:w="11900" w:h="16838" w:orient="portrait"/>
          <w:cols w:equalWidth="0" w:num="1">
            <w:col w:w="10219"/>
          </w:cols>
          <w:pgMar w:left="240" w:top="514" w:right="1440"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448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Proceeds from issuance of</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common stock. . . . . . . . . . . .</w:t>
            </w:r>
          </w:p>
        </w:tc>
        <w:tc>
          <w:tcPr>
            <w:tcW w:w="74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8,530</w:t>
            </w:r>
          </w:p>
        </w:tc>
        <w:tc>
          <w:tcPr>
            <w:tcW w:w="5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borrowings (repayments) under</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line of credit  . . . . . . . . . .</w:t>
            </w:r>
          </w:p>
        </w:tc>
        <w:tc>
          <w:tcPr>
            <w:tcW w:w="74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44,040</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(52,092)</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of capital lease</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obligations . . . . . . . . . . . .</w:t>
            </w:r>
          </w:p>
        </w:tc>
        <w:tc>
          <w:tcPr>
            <w:tcW w:w="74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(65,916)</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(46,045)</w:t>
            </w: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Principal payments of long-term debt</w:t>
            </w:r>
          </w:p>
        </w:tc>
        <w:tc>
          <w:tcPr>
            <w:tcW w:w="74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(60,894)</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(41,345)</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Net cash (used in) financing</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activities . . . . . . . . . . .</w:t>
            </w:r>
          </w:p>
        </w:tc>
        <w:tc>
          <w:tcPr>
            <w:tcW w:w="740" w:type="dxa"/>
            <w:vAlign w:val="bottom"/>
          </w:tcPr>
          <w:p>
            <w:pPr>
              <w:spacing w:after="0"/>
              <w:rPr>
                <w:sz w:val="17"/>
                <w:szCs w:val="17"/>
                <w:color w:val="auto"/>
              </w:rPr>
            </w:pPr>
          </w:p>
        </w:tc>
        <w:tc>
          <w:tcPr>
            <w:tcW w:w="12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(74,240)</w:t>
            </w:r>
          </w:p>
        </w:tc>
        <w:tc>
          <w:tcPr>
            <w:tcW w:w="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(139,482)</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48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7"/>
              </w:rPr>
              <w:t>Net increase (decrease) in cash . . . .</w:t>
            </w:r>
          </w:p>
        </w:tc>
        <w:tc>
          <w:tcPr>
            <w:tcW w:w="740" w:type="dxa"/>
            <w:vAlign w:val="bottom"/>
          </w:tcPr>
          <w:p>
            <w:pPr>
              <w:spacing w:after="0"/>
              <w:rPr>
                <w:sz w:val="24"/>
                <w:szCs w:val="24"/>
                <w:color w:val="auto"/>
              </w:rPr>
            </w:pPr>
          </w:p>
        </w:tc>
        <w:tc>
          <w:tcPr>
            <w:tcW w:w="12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(56,905)</w:t>
            </w:r>
          </w:p>
        </w:tc>
        <w:tc>
          <w:tcPr>
            <w:tcW w:w="520" w:type="dxa"/>
            <w:vAlign w:val="bottom"/>
          </w:tcPr>
          <w:p>
            <w:pPr>
              <w:spacing w:after="0"/>
              <w:rPr>
                <w:sz w:val="24"/>
                <w:szCs w:val="24"/>
                <w:color w:val="auto"/>
              </w:rPr>
            </w:pP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34,562</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Cash at the beginning of the year . . .</w:t>
            </w:r>
          </w:p>
        </w:tc>
        <w:tc>
          <w:tcPr>
            <w:tcW w:w="740" w:type="dxa"/>
            <w:vAlign w:val="bottom"/>
          </w:tcPr>
          <w:p>
            <w:pPr>
              <w:spacing w:after="0"/>
              <w:rPr>
                <w:sz w:val="17"/>
                <w:szCs w:val="17"/>
                <w:color w:val="auto"/>
              </w:rPr>
            </w:pP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63,992</w:t>
            </w:r>
          </w:p>
        </w:tc>
        <w:tc>
          <w:tcPr>
            <w:tcW w:w="5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213,763</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7"/>
              </w:rPr>
              <w:t>Cash at the end of the period . . . . .</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7,087</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248,325</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gridSpan w:val="2"/>
          </w:tcPr>
          <w:p>
            <w:pPr>
              <w:spacing w:after="0"/>
              <w:rPr>
                <w:sz w:val="20"/>
                <w:szCs w:val="20"/>
                <w:color w:val="auto"/>
              </w:rPr>
            </w:pPr>
            <w:r>
              <w:rPr>
                <w:rFonts w:ascii="Courier New" w:cs="Courier New" w:eastAsia="Courier New" w:hAnsi="Courier New"/>
                <w:sz w:val="18"/>
                <w:szCs w:val="18"/>
                <w:color w:val="auto"/>
                <w:w w:val="98"/>
              </w:rPr>
              <w:t>Supplemental disclosure of cash flow information:</w:t>
            </w:r>
          </w:p>
        </w:tc>
        <w:tc>
          <w:tcPr>
            <w:tcW w:w="1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4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Property and equipment financed</w:t>
            </w:r>
          </w:p>
        </w:tc>
        <w:tc>
          <w:tcPr>
            <w:tcW w:w="7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48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by capital leases . . . . . . . . .</w:t>
            </w:r>
          </w:p>
        </w:tc>
        <w:tc>
          <w:tcPr>
            <w:tcW w:w="7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11,545</w:t>
            </w:r>
          </w:p>
        </w:tc>
        <w:tc>
          <w:tcPr>
            <w:tcW w:w="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293,701</w:t>
            </w:r>
          </w:p>
        </w:tc>
      </w:tr>
      <w:tr>
        <w:trPr>
          <w:trHeight w:val="203"/>
        </w:trPr>
        <w:tc>
          <w:tcPr>
            <w:tcW w:w="4480" w:type="dxa"/>
            <w:vAlign w:val="bottom"/>
          </w:tcPr>
          <w:p>
            <w:pPr>
              <w:spacing w:after="0"/>
              <w:rPr>
                <w:sz w:val="17"/>
                <w:szCs w:val="17"/>
                <w:color w:val="auto"/>
              </w:rPr>
            </w:pPr>
          </w:p>
        </w:tc>
        <w:tc>
          <w:tcPr>
            <w:tcW w:w="196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w:t>
      </w:r>
    </w:p>
    <w:p>
      <w:pPr>
        <w:sectPr>
          <w:pgSz w:w="11900" w:h="16838" w:orient="portrait"/>
          <w:cols w:equalWidth="0" w:num="1">
            <w:col w:w="10219"/>
          </w:cols>
          <w:pgMar w:left="240" w:top="514" w:right="1440" w:bottom="1440" w:gutter="0" w:footer="0" w:header="0"/>
        </w:sectPr>
      </w:pPr>
    </w:p>
    <w:bookmarkStart w:id="14" w:name="page15"/>
    <w:bookmarkEnd w:id="1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5" w:name="page16"/>
    <w:bookmarkEnd w:id="15"/>
    <w:p>
      <w:pPr>
        <w:ind w:left="232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NOTES TO FINANCIAL STATEMENTS</w:t>
      </w:r>
    </w:p>
    <w:p>
      <w:pPr>
        <w:ind w:left="3280"/>
        <w:spacing w:after="0" w:line="238" w:lineRule="auto"/>
        <w:rPr>
          <w:sz w:val="20"/>
          <w:szCs w:val="20"/>
          <w:color w:val="auto"/>
        </w:rPr>
      </w:pPr>
      <w:r>
        <w:rPr>
          <w:rFonts w:ascii="Courier New" w:cs="Courier New" w:eastAsia="Courier New" w:hAnsi="Courier New"/>
          <w:sz w:val="18"/>
          <w:szCs w:val="18"/>
          <w:color w:val="auto"/>
        </w:rPr>
        <w:t>September 30, 1997</w:t>
      </w:r>
    </w:p>
    <w:p>
      <w:pPr>
        <w:ind w:left="3700"/>
        <w:spacing w:after="0"/>
        <w:rPr>
          <w:sz w:val="20"/>
          <w:szCs w:val="20"/>
          <w:color w:val="auto"/>
        </w:rPr>
      </w:pPr>
      <w:r>
        <w:rPr>
          <w:rFonts w:ascii="Courier New" w:cs="Courier New" w:eastAsia="Courier New" w:hAnsi="Courier New"/>
          <w:sz w:val="18"/>
          <w:szCs w:val="18"/>
          <w:color w:val="auto"/>
        </w:rPr>
        <w:t>(Unaudited)</w:t>
      </w:r>
    </w:p>
    <w:p>
      <w:pPr>
        <w:spacing w:after="0" w:line="200" w:lineRule="exact"/>
        <w:rPr>
          <w:sz w:val="20"/>
          <w:szCs w:val="20"/>
          <w:color w:val="auto"/>
        </w:rPr>
      </w:pPr>
    </w:p>
    <w:p>
      <w:pPr>
        <w:spacing w:after="0" w:line="203"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accompanying unaudited financial statements have been prepared in accordance with generally accepted accounting principles for interim financial information and with the instructions to Form 10-QSB of Regulation S-B. Accordingly, certain information and footnote disclosures normally included in complete financial statements have been condensed or omitted. These financial statements should be read in conjunction with the financial statements and footnotes thereto included in the Company's 1997 Annual Report and Form 10 KSB.</w:t>
      </w:r>
    </w:p>
    <w:p>
      <w:pPr>
        <w:spacing w:after="0" w:line="212"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In the opinion of management, all adjustments (consisting of normal recurring adjustments) considered necessary for a fair presentation have been included. The results of operations for interim periods are not necessarily indicative of the results of operations to be expected for the full year.</w:t>
      </w:r>
    </w:p>
    <w:p>
      <w:pPr>
        <w:spacing w:after="0" w:line="177"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(Loss) Per Common Share</w:t>
      </w:r>
    </w:p>
    <w:p>
      <w:pPr>
        <w:spacing w:after="0" w:line="207" w:lineRule="exact"/>
        <w:rPr>
          <w:sz w:val="20"/>
          <w:szCs w:val="20"/>
          <w:color w:val="auto"/>
        </w:rPr>
      </w:pPr>
    </w:p>
    <w:p>
      <w:pPr>
        <w:ind w:right="2319" w:firstLine="527"/>
        <w:spacing w:after="0" w:line="272" w:lineRule="auto"/>
        <w:rPr>
          <w:sz w:val="20"/>
          <w:szCs w:val="20"/>
          <w:color w:val="auto"/>
        </w:rPr>
      </w:pPr>
      <w:r>
        <w:rPr>
          <w:rFonts w:ascii="Courier New" w:cs="Courier New" w:eastAsia="Courier New" w:hAnsi="Courier New"/>
          <w:sz w:val="16"/>
          <w:szCs w:val="16"/>
          <w:color w:val="auto"/>
        </w:rPr>
        <w:t>Earnings (loss) per common share was calculated using the modified treasury stock method. The weighted average number of common shares outstanding was 7,666,409 and 7,662,375 respectively, for the three months ended September 30, 1997 and 1996. Stock options and warrants to purchase common stock have been excluded from the presented computation of per share amounts inasmuch as the effects are either immaterial or antidilutive.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jc w:val="right"/>
              <w:ind w:right="2752"/>
              <w:spacing w:after="0"/>
              <w:rPr>
                <w:sz w:val="20"/>
                <w:szCs w:val="20"/>
                <w:color w:val="auto"/>
              </w:rPr>
            </w:pPr>
            <w:r>
              <w:rPr>
                <w:rFonts w:ascii="Courier New" w:cs="Courier New" w:eastAsia="Courier New" w:hAnsi="Courier New"/>
                <w:sz w:val="18"/>
                <w:szCs w:val="18"/>
                <w:color w:val="auto"/>
                <w:w w:val="96"/>
              </w:rPr>
              <w:t>3.   Inventory</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43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Inventory is summarized as follows:</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4320" w:type="dxa"/>
            <w:vAlign w:val="bottom"/>
          </w:tcPr>
          <w:p>
            <w:pPr>
              <w:spacing w:after="0"/>
              <w:rPr>
                <w:sz w:val="24"/>
                <w:szCs w:val="24"/>
                <w:color w:val="auto"/>
              </w:rPr>
            </w:pPr>
          </w:p>
        </w:tc>
        <w:tc>
          <w:tcPr>
            <w:tcW w:w="1640" w:type="dxa"/>
            <w:vAlign w:val="bottom"/>
            <w:gridSpan w:val="2"/>
          </w:tcPr>
          <w:p>
            <w:pPr>
              <w:ind w:left="120"/>
              <w:spacing w:after="0"/>
              <w:rPr>
                <w:sz w:val="20"/>
                <w:szCs w:val="20"/>
                <w:color w:val="auto"/>
              </w:rPr>
            </w:pPr>
            <w:r>
              <w:rPr>
                <w:rFonts w:ascii="Courier New" w:cs="Courier New" w:eastAsia="Courier New" w:hAnsi="Courier New"/>
                <w:sz w:val="18"/>
                <w:szCs w:val="18"/>
                <w:color w:val="auto"/>
              </w:rPr>
              <w:t>(Unaudited)</w:t>
            </w:r>
          </w:p>
        </w:tc>
        <w:tc>
          <w:tcPr>
            <w:tcW w:w="1420" w:type="dxa"/>
            <w:vAlign w:val="bottom"/>
          </w:tcPr>
          <w:p>
            <w:pPr>
              <w:spacing w:after="0"/>
              <w:rPr>
                <w:sz w:val="24"/>
                <w:szCs w:val="24"/>
                <w:color w:val="auto"/>
              </w:rPr>
            </w:pPr>
          </w:p>
        </w:tc>
      </w:tr>
      <w:tr>
        <w:trPr>
          <w:trHeight w:val="203"/>
        </w:trPr>
        <w:tc>
          <w:tcPr>
            <w:tcW w:w="4320" w:type="dxa"/>
            <w:vAlign w:val="bottom"/>
          </w:tcPr>
          <w:p>
            <w:pPr>
              <w:spacing w:after="0"/>
              <w:rPr>
                <w:sz w:val="17"/>
                <w:szCs w:val="17"/>
                <w:color w:val="auto"/>
              </w:rPr>
            </w:pPr>
          </w:p>
        </w:tc>
        <w:tc>
          <w:tcPr>
            <w:tcW w:w="1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September 30,</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4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1997</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4320" w:type="dxa"/>
            <w:vAlign w:val="bottom"/>
          </w:tcPr>
          <w:p>
            <w:pPr>
              <w:spacing w:after="0"/>
              <w:rPr>
                <w:sz w:val="17"/>
                <w:szCs w:val="17"/>
                <w:color w:val="auto"/>
              </w:rPr>
            </w:pPr>
          </w:p>
        </w:tc>
        <w:tc>
          <w:tcPr>
            <w:tcW w:w="1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Raw Materials . . . . . . . . . . .</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870,594</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897,481</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Work in progress. . . . . . . . . .</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840,609</w:t>
            </w:r>
          </w:p>
        </w:tc>
        <w:tc>
          <w:tcPr>
            <w:tcW w:w="142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648,712</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Finished Goods. . . . . . . . . . .</w:t>
            </w:r>
          </w:p>
        </w:tc>
        <w:tc>
          <w:tcPr>
            <w:tcW w:w="320" w:type="dxa"/>
            <w:vAlign w:val="bottom"/>
          </w:tcPr>
          <w:p>
            <w:pPr>
              <w:spacing w:after="0"/>
              <w:rPr>
                <w:sz w:val="17"/>
                <w:szCs w:val="17"/>
                <w:color w:val="auto"/>
              </w:rPr>
            </w:pP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981,895</w:t>
            </w:r>
          </w:p>
        </w:tc>
        <w:tc>
          <w:tcPr>
            <w:tcW w:w="14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1,122,568</w:t>
            </w:r>
          </w:p>
        </w:tc>
      </w:tr>
      <w:tr>
        <w:trPr>
          <w:trHeight w:val="203"/>
        </w:trPr>
        <w:tc>
          <w:tcPr>
            <w:tcW w:w="4320" w:type="dxa"/>
            <w:vAlign w:val="bottom"/>
          </w:tcPr>
          <w:p>
            <w:pPr>
              <w:spacing w:after="0"/>
              <w:rPr>
                <w:sz w:val="17"/>
                <w:szCs w:val="17"/>
                <w:color w:val="auto"/>
              </w:rPr>
            </w:pPr>
          </w:p>
        </w:tc>
        <w:tc>
          <w:tcPr>
            <w:tcW w:w="1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inventory . . . . . .</w:t>
            </w:r>
          </w:p>
        </w:tc>
        <w:tc>
          <w:tcPr>
            <w:tcW w:w="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2,693,098</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$ 2,668,761</w:t>
            </w:r>
          </w:p>
        </w:tc>
      </w:tr>
      <w:tr>
        <w:trPr>
          <w:trHeight w:val="203"/>
        </w:trPr>
        <w:tc>
          <w:tcPr>
            <w:tcW w:w="4320" w:type="dxa"/>
            <w:vAlign w:val="bottom"/>
          </w:tcPr>
          <w:p>
            <w:pPr>
              <w:spacing w:after="0"/>
              <w:rPr>
                <w:sz w:val="17"/>
                <w:szCs w:val="17"/>
                <w:color w:val="auto"/>
              </w:rPr>
            </w:pPr>
          </w:p>
        </w:tc>
        <w:tc>
          <w:tcPr>
            <w:tcW w:w="1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w:t>
      </w:r>
    </w:p>
    <w:p>
      <w:pPr>
        <w:sectPr>
          <w:pgSz w:w="11900" w:h="16838" w:orient="portrait"/>
          <w:cols w:equalWidth="0" w:num="1">
            <w:col w:w="10219"/>
          </w:cols>
          <w:pgMar w:left="240" w:top="514" w:right="1440" w:bottom="1440"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jc w:val="center"/>
        <w:ind w:right="2319"/>
        <w:spacing w:after="0"/>
        <w:rPr>
          <w:sz w:val="20"/>
          <w:szCs w:val="20"/>
          <w:color w:val="auto"/>
        </w:rPr>
      </w:pPr>
      <w:r>
        <w:rPr>
          <w:rFonts w:ascii="Courier New" w:cs="Courier New" w:eastAsia="Courier New" w:hAnsi="Courier New"/>
          <w:sz w:val="18"/>
          <w:szCs w:val="18"/>
          <w:color w:val="auto"/>
        </w:rPr>
        <w:t>MANAGEMENT'S DISCUSSION AND ANALYSIS OF FINANCIAL</w:t>
      </w:r>
    </w:p>
    <w:p>
      <w:pPr>
        <w:spacing w:after="0" w:line="4" w:lineRule="exact"/>
        <w:rPr>
          <w:sz w:val="20"/>
          <w:szCs w:val="20"/>
          <w:color w:val="auto"/>
        </w:rPr>
      </w:pPr>
    </w:p>
    <w:p>
      <w:pPr>
        <w:ind w:right="4419" w:firstLine="2107"/>
        <w:spacing w:after="0" w:line="470" w:lineRule="auto"/>
        <w:rPr>
          <w:sz w:val="20"/>
          <w:szCs w:val="20"/>
          <w:color w:val="auto"/>
        </w:rPr>
      </w:pPr>
      <w:r>
        <w:rPr>
          <w:rFonts w:ascii="Courier New" w:cs="Courier New" w:eastAsia="Courier New" w:hAnsi="Courier New"/>
          <w:sz w:val="18"/>
          <w:szCs w:val="18"/>
          <w:color w:val="auto"/>
        </w:rPr>
        <w:t>CONDITION AND RESULTS OF OPERATIONS Results of Operations</w:t>
      </w:r>
    </w:p>
    <w:p>
      <w:pPr>
        <w:spacing w:after="0" w:line="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Sales for the three months ended September 30, 1997 increased 27% compared to the same three-month period last year. This growth was made up of a 66% increase in the Teleconferencing segment (including both product and service), a 2% increase in the Broadcast segment and a 53% increase in the Assisted Listening Systems (ALS) segment.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Sales in the Teleconferencing segment increased 66% comparing first quarter of this fiscal year to the same quarter last year. Teleconferencing product sales increased by 47% over the same period, led by strong sales of the GT724 audioconferencing system. The Company began shipping this product June 1996. The GT724 is used in many different teleconferencing applications, particularly distance learning facilities and courtrooms. During the first quarter, the Company's Teleconferencing Service experienced a 190% sales growth over the same quarter of the last fiscal year. This increase in sales is a result of the Company's continued expansion of its dedicated sales staff to promote its conference calling service.</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Broadcast sales increased 2% in the first quarter of this year as compared to the first quarter of last year. During the quarter, the Company received better than expected orders for its new digital telephone hybrid line; however, the Company was unable to ship all of the backlog by the end of the first quarter and expects to fill the backlog early in the second quarter. In Remote Site Control, the Company saw GSC3000 sales increase significantly when comparing first quarters of 1998 over 1997. The GSC3000 monitors and adjusts the settings at one or more remote transmitter sites using one networked system. Using the GSC3000 an engineer can manually adjust the settings at the remote site via a personal computer.</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Assistive Listening Systems continues to show steady sales growth. First quarter ALS sales grew 53% compared to the corresponding period during the last fiscal year. The Company's strong market presence, product quality and overall value continue to drive strong customer demand and sales growth.</w:t>
      </w:r>
    </w:p>
    <w:p>
      <w:pPr>
        <w:spacing w:after="0" w:line="207" w:lineRule="exact"/>
        <w:rPr>
          <w:sz w:val="20"/>
          <w:szCs w:val="20"/>
          <w:color w:val="auto"/>
        </w:rPr>
      </w:pPr>
    </w:p>
    <w:p>
      <w:pPr>
        <w:ind w:right="2099" w:firstLine="527"/>
        <w:spacing w:after="0" w:line="271" w:lineRule="auto"/>
        <w:rPr>
          <w:sz w:val="20"/>
          <w:szCs w:val="20"/>
          <w:color w:val="auto"/>
        </w:rPr>
      </w:pPr>
      <w:r>
        <w:rPr>
          <w:rFonts w:ascii="Courier New" w:cs="Courier New" w:eastAsia="Courier New" w:hAnsi="Courier New"/>
          <w:sz w:val="16"/>
          <w:szCs w:val="16"/>
          <w:color w:val="auto"/>
        </w:rPr>
        <w:t>The Company's gross profit margin percentage was 51% for the first quarter of this year, compared to 46% for the same quarter last year. The increase is primarily due to a price increase effective July 1, 1997, aggressive vendor discounts, new products with higher gross profit margins, a different product mix and a critical focus on improving manufacturing processes. The Company continues to be keenly focused on improving the gross profit margin. However, the Company's conference calling service has a lower gross profit margin, which, as it becomes a higher percentage of total sales, could negatively impact the Company's overall gross profit margin.</w:t>
      </w:r>
    </w:p>
    <w:p>
      <w:pPr>
        <w:spacing w:after="0" w:line="18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Operating expenses for the quarter grew 13% when comparing first quarter</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w:t>
      </w:r>
    </w:p>
    <w:p>
      <w:pPr>
        <w:sectPr>
          <w:pgSz w:w="11900" w:h="16838" w:orient="portrait"/>
          <w:cols w:equalWidth="0" w:num="1">
            <w:col w:w="10219"/>
          </w:cols>
          <w:pgMar w:left="240" w:top="514" w:right="1440" w:bottom="1440" w:gutter="0" w:footer="0" w:header="0"/>
        </w:sectPr>
      </w:pPr>
    </w:p>
    <w:bookmarkStart w:id="18" w:name="page19"/>
    <w:bookmarkEnd w:id="18"/>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ind w:right="1999"/>
        <w:spacing w:after="0" w:line="237" w:lineRule="auto"/>
        <w:rPr>
          <w:sz w:val="20"/>
          <w:szCs w:val="20"/>
          <w:color w:val="auto"/>
        </w:rPr>
      </w:pPr>
      <w:r>
        <w:rPr>
          <w:rFonts w:ascii="Courier New" w:cs="Courier New" w:eastAsia="Courier New" w:hAnsi="Courier New"/>
          <w:sz w:val="18"/>
          <w:szCs w:val="18"/>
          <w:color w:val="auto"/>
        </w:rPr>
        <w:t>of this fiscal year to the same quarter last year. The most significant portion of the increase came in the General and Administrative area, which grew 37% when comparing first quarter of 1998 against the first quarter of 1997. Additionally, the Company increased its product development expenses by 25% for the same time period.</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First quarter General and Administrative expenses are up 37% compared to the same period last year. This increase is primarily due to the Company's move into its expanded facility in November 1996. The new square footage is approximately double the space originally occupied by the Company, and as a result, occupancy costs have increased significantly. Additionally, during the first quarter of this fiscal year, the Company wrote off certain deferred expenses associated with the Company's warrants that expired in September of 1997.</w:t>
      </w:r>
    </w:p>
    <w:p>
      <w:pPr>
        <w:spacing w:after="0" w:line="212"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Product development expenses increased 25% in the first quarter of this fiscal year compared to the first quarter of last year. This increase is essentially due to hiring additional engineers and increased product compliance testing.</w:t>
      </w:r>
    </w:p>
    <w:p>
      <w:pPr>
        <w:spacing w:after="0" w:line="207" w:lineRule="exact"/>
        <w:rPr>
          <w:sz w:val="20"/>
          <w:szCs w:val="20"/>
          <w:color w:val="auto"/>
        </w:rPr>
      </w:pPr>
    </w:p>
    <w:p>
      <w:pPr>
        <w:ind w:right="2099" w:firstLine="527"/>
        <w:spacing w:after="0" w:line="275" w:lineRule="auto"/>
        <w:rPr>
          <w:sz w:val="20"/>
          <w:szCs w:val="20"/>
          <w:color w:val="auto"/>
        </w:rPr>
      </w:pPr>
      <w:r>
        <w:rPr>
          <w:rFonts w:ascii="Courier New" w:cs="Courier New" w:eastAsia="Courier New" w:hAnsi="Courier New"/>
          <w:sz w:val="16"/>
          <w:szCs w:val="16"/>
          <w:color w:val="auto"/>
        </w:rPr>
        <w:t>Sales and Marketing first quarter expenses decreased 5% over the prior year's first quarter. This decrease is primarily due to the Company's insourcing its advertising development. Additionally, last year, the Company was engaged in a national ad campaign for its conference calling service.</w:t>
      </w:r>
    </w:p>
    <w:p>
      <w:pPr>
        <w:spacing w:after="0" w:line="18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Interest expense for the quarter is up 80% compared to the same quarter last year. This increase is due to increased debt balances. The Company's facility expansion was financed through leases and notes that were established in the third quarter of last fiscal year.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Condition and Liquidity</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Company's current ratio increased from 2.20:1 on June 30, 1997 to 2.27:1 on September 30, 1997. This increase in current ratio was caused primarily by increasing accounts receivable levels due to increased sales. Also affecting the current ratio is a minor increase in inventory. Offsetting these asset increases is an increase in accrued expenses since the end of last fiscal year.</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Company has an outstanding line of credit of $2 Million. The interest rate on the line is a variable interest rate (anywhere from three to five basis points over the London Interbank Offered Rate (LIBOR)). As of September 30, 1997 the outstanding balance was $767,000 and the interest rate was 10.65%. The line of credit is due to expire in December of 1997, and the Company expects the line to be renewed at that time.</w:t>
      </w:r>
    </w:p>
    <w:p>
      <w:pPr>
        <w:spacing w:after="0" w:line="210" w:lineRule="exact"/>
        <w:rPr>
          <w:sz w:val="20"/>
          <w:szCs w:val="20"/>
          <w:color w:val="auto"/>
        </w:rPr>
      </w:pPr>
    </w:p>
    <w:p>
      <w:pPr>
        <w:ind w:right="2319" w:firstLine="527"/>
        <w:spacing w:after="0" w:line="279" w:lineRule="auto"/>
        <w:rPr>
          <w:sz w:val="20"/>
          <w:szCs w:val="20"/>
          <w:color w:val="auto"/>
        </w:rPr>
      </w:pPr>
      <w:r>
        <w:rPr>
          <w:rFonts w:ascii="Courier New" w:cs="Courier New" w:eastAsia="Courier New" w:hAnsi="Courier New"/>
          <w:sz w:val="16"/>
          <w:szCs w:val="16"/>
          <w:color w:val="auto"/>
        </w:rPr>
        <w:t>The Company continues to experience improved operating cash flows. Increasing sales, profitability, and a successful inventory management plan have contributed to positive operating cash flows. As sales continue 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11</w:t>
      </w:r>
    </w:p>
    <w:p>
      <w:pPr>
        <w:sectPr>
          <w:pgSz w:w="11900" w:h="16838" w:orient="portrait"/>
          <w:cols w:equalWidth="0" w:num="1">
            <w:col w:w="10219"/>
          </w:cols>
          <w:pgMar w:left="240" w:top="520" w:right="1440" w:bottom="1440"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ind w:right="2939"/>
        <w:spacing w:after="0" w:line="236" w:lineRule="auto"/>
        <w:rPr>
          <w:sz w:val="20"/>
          <w:szCs w:val="20"/>
          <w:color w:val="auto"/>
        </w:rPr>
      </w:pPr>
      <w:r>
        <w:rPr>
          <w:rFonts w:ascii="Courier New" w:cs="Courier New" w:eastAsia="Courier New" w:hAnsi="Courier New"/>
          <w:sz w:val="18"/>
          <w:szCs w:val="18"/>
          <w:color w:val="auto"/>
        </w:rPr>
        <w:t>increase, the Company expects to achieve its business plan through a combination of internally generated funds and short-term or long-term borrowings, if necessary.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Forward Looking Statements and Risk Factors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To the extent any statement presented herein deals with information that is not historical, such statement is necessarily forward looking. As such, it is subject to the occurrence of many events outside of the Company's control. Please see a detailed list of the risk factors that are outlined in the Company's 1997 Annual Report and Form 10-KSB.</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4" w:lineRule="exact"/>
        <w:rPr>
          <w:sz w:val="20"/>
          <w:szCs w:val="20"/>
          <w:color w:val="auto"/>
        </w:rPr>
      </w:pPr>
    </w:p>
    <w:p>
      <w:pPr>
        <w:ind w:left="540"/>
        <w:spacing w:after="0"/>
        <w:tabs>
          <w:tab w:leader="none" w:pos="146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 Exhibits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 Required by Item 601 of Regulation S-B</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The following exhibit is hereby incorporated by reference from the Company's Annual Report on Form 10-K for the fiscal year ended June 30, 1989. The exhibit number shown as appeared in the 1989 Form 10-K as originally filed.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230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Articles of Incorporation and all amendments thereto through March</w:t>
      </w: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1, 1998.</w:t>
      </w:r>
      <w:r>
        <w:rPr>
          <w:sz w:val="20"/>
          <w:szCs w:val="20"/>
          <w:color w:val="auto"/>
        </w:rPr>
        <w:tab/>
      </w:r>
      <w:r>
        <w:rPr>
          <w:rFonts w:ascii="Courier New" w:cs="Courier New" w:eastAsia="Courier New" w:hAnsi="Courier New"/>
          <w:sz w:val="16"/>
          <w:szCs w:val="16"/>
          <w:color w:val="auto"/>
        </w:rPr>
        <w:t>(Page 10)</w:t>
      </w:r>
    </w:p>
    <w:p>
      <w:pPr>
        <w:spacing w:after="0" w:line="207"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The following exhibit is hereby incorporated by reference from the Company's Annual Report on Form 10-K for the fiscal year ended June 30, 1991. The exhibit number shown as appeared in the 1991 Form 10-K as originally filed.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230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Amendment to Articles of Incorporation, dated July 1, 1991.</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following document is hereby incorporated by reference from the Company's Form 10-KSB for the fiscal year ended June 30, 1993. The exhibit number shown as appeared in the 1993 Form 10-KSB as originally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10219"/>
          </w:cols>
          <w:pgMar w:left="240" w:top="520" w:right="1440" w:bottom="1440" w:gutter="0" w:footer="0" w:header="0"/>
        </w:sectPr>
      </w:pPr>
    </w:p>
    <w:bookmarkStart w:id="22" w:name="page23"/>
    <w:bookmarkEnd w:id="2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230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840" w:val="left"/>
          <w:tab w:leader="none" w:pos="504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8"/>
          <w:szCs w:val="18"/>
          <w:color w:val="auto"/>
        </w:rPr>
        <w:t>Bylaws, as amended on August 24, 1993.</w:t>
      </w:r>
      <w:r>
        <w:rPr>
          <w:sz w:val="20"/>
          <w:szCs w:val="20"/>
          <w:color w:val="auto"/>
        </w:rPr>
        <w:tab/>
      </w:r>
      <w:r>
        <w:rPr>
          <w:rFonts w:ascii="Courier New" w:cs="Courier New" w:eastAsia="Courier New" w:hAnsi="Courier New"/>
          <w:sz w:val="16"/>
          <w:szCs w:val="16"/>
          <w:color w:val="auto"/>
        </w:rPr>
        <w:t>(Page 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document is filed as an Exhibit to this Form 10-QSB.</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tabs>
          <w:tab w:leader="none" w:pos="2300" w:val="left"/>
        </w:tabs>
        <w:rPr>
          <w:sz w:val="20"/>
          <w:szCs w:val="20"/>
          <w:color w:val="auto"/>
        </w:rPr>
      </w:pPr>
      <w:r>
        <w:rPr>
          <w:rFonts w:ascii="Courier New" w:cs="Courier New" w:eastAsia="Courier New" w:hAnsi="Courier New"/>
          <w:sz w:val="18"/>
          <w:szCs w:val="18"/>
          <w:color w:val="auto"/>
        </w:rPr>
        <w:t>NUMBER</w:t>
      </w:r>
      <w:r>
        <w:rPr>
          <w:sz w:val="20"/>
          <w:szCs w:val="20"/>
          <w:color w:val="auto"/>
        </w:rPr>
        <w:tab/>
      </w:r>
      <w:r>
        <w:rPr>
          <w:rFonts w:ascii="Courier New" w:cs="Courier New" w:eastAsia="Courier New" w:hAnsi="Courier New"/>
          <w:sz w:val="18"/>
          <w:szCs w:val="18"/>
          <w:color w:val="auto"/>
        </w:rPr>
        <w:t>DESCRIPTION</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27</w:t>
      </w:r>
      <w:r>
        <w:rPr>
          <w:sz w:val="20"/>
          <w:szCs w:val="20"/>
          <w:color w:val="auto"/>
        </w:rPr>
        <w:tab/>
      </w:r>
      <w:r>
        <w:rPr>
          <w:rFonts w:ascii="Courier New" w:cs="Courier New" w:eastAsia="Courier New" w:hAnsi="Courier New"/>
          <w:sz w:val="18"/>
          <w:szCs w:val="18"/>
          <w:color w:val="auto"/>
        </w:rPr>
        <w:t>Financial Data Schedule</w:t>
      </w:r>
    </w:p>
    <w:p>
      <w:pPr>
        <w:spacing w:after="0" w:line="207" w:lineRule="exact"/>
        <w:rPr>
          <w:sz w:val="20"/>
          <w:szCs w:val="20"/>
          <w:color w:val="auto"/>
        </w:rPr>
      </w:pPr>
    </w:p>
    <w:p>
      <w:pPr>
        <w:ind w:right="1999" w:firstLine="8"/>
        <w:spacing w:after="0" w:line="236" w:lineRule="auto"/>
        <w:tabs>
          <w:tab w:leader="none" w:pos="527"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 this Form 10-KSB by reference to other filings pursuant to the provisions of Rule 12B-32 under the Securities Exchange Act of 1934.</w:t>
      </w:r>
    </w:p>
    <w:p>
      <w:pPr>
        <w:spacing w:after="0" w:line="209" w:lineRule="exact"/>
        <w:rPr>
          <w:sz w:val="20"/>
          <w:szCs w:val="20"/>
          <w:color w:val="auto"/>
        </w:rPr>
      </w:pPr>
    </w:p>
    <w:p>
      <w:pPr>
        <w:ind w:right="2199" w:firstLine="8"/>
        <w:spacing w:after="0" w:line="237"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Denotes exhibits specifically incorporated into this Form 10-KSB by reference (and their page location in such filing), pursuant to Regulation S B, Section 228. These documents are located under File No. 0-17219 and are located at the Securities and Exchange Commission, Public Reference Branch, 450 5th St., N.W., Washington, DC 20549.</w:t>
      </w:r>
    </w:p>
    <w:p>
      <w:pPr>
        <w:spacing w:after="0" w:line="200" w:lineRule="exact"/>
        <w:rPr>
          <w:rFonts w:ascii="Courier New" w:cs="Courier New" w:eastAsia="Courier New" w:hAnsi="Courier New"/>
          <w:sz w:val="18"/>
          <w:szCs w:val="18"/>
          <w:color w:val="auto"/>
        </w:rPr>
      </w:pPr>
    </w:p>
    <w:p>
      <w:pPr>
        <w:spacing w:after="0" w:line="211" w:lineRule="exact"/>
        <w:rPr>
          <w:rFonts w:ascii="Courier New" w:cs="Courier New" w:eastAsia="Courier New" w:hAnsi="Courier New"/>
          <w:sz w:val="18"/>
          <w:szCs w:val="18"/>
          <w:color w:val="auto"/>
        </w:rPr>
      </w:pPr>
    </w:p>
    <w:p>
      <w:pPr>
        <w:ind w:left="1480" w:right="6739" w:hanging="419"/>
        <w:spacing w:after="0" w:line="708" w:lineRule="auto"/>
        <w:tabs>
          <w:tab w:leader="none" w:pos="14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13</w:t>
      </w:r>
    </w:p>
    <w:p>
      <w:pPr>
        <w:sectPr>
          <w:pgSz w:w="11900" w:h="16838" w:orient="portrait"/>
          <w:cols w:equalWidth="0" w:num="1">
            <w:col w:w="10219"/>
          </w:cols>
          <w:pgMar w:left="240" w:top="514" w:right="1440" w:bottom="1440" w:gutter="0" w:footer="0" w:header="0"/>
        </w:sectPr>
      </w:pPr>
    </w:p>
    <w:bookmarkStart w:id="24" w:name="page25"/>
    <w:bookmarkEnd w:id="2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5" w:name="page26"/>
    <w:bookmarkEnd w:id="25"/>
    <w:p>
      <w:pPr>
        <w:ind w:left="32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3"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GENTNER COMMUNICATIONS CORPORATION</w:t>
      </w:r>
    </w:p>
    <w:p>
      <w:pPr>
        <w:spacing w:after="0" w:line="200" w:lineRule="exact"/>
        <w:rPr>
          <w:sz w:val="20"/>
          <w:szCs w:val="20"/>
          <w:color w:val="auto"/>
        </w:rPr>
      </w:pPr>
    </w:p>
    <w:p>
      <w:pPr>
        <w:spacing w:after="0" w:line="204" w:lineRule="exact"/>
        <w:rPr>
          <w:sz w:val="20"/>
          <w:szCs w:val="20"/>
          <w:color w:val="auto"/>
        </w:rPr>
      </w:pPr>
    </w:p>
    <w:p>
      <w:pPr>
        <w:ind w:left="4540"/>
        <w:spacing w:after="0"/>
        <w:tabs>
          <w:tab w:leader="none" w:pos="504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Susie Strohm</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Susie Strohm</w:t>
      </w:r>
    </w:p>
    <w:p>
      <w:pPr>
        <w:ind w:left="4540"/>
        <w:spacing w:after="0" w:line="238" w:lineRule="auto"/>
        <w:rPr>
          <w:sz w:val="20"/>
          <w:szCs w:val="20"/>
          <w:color w:val="auto"/>
        </w:rPr>
      </w:pPr>
      <w:r>
        <w:rPr>
          <w:rFonts w:ascii="Courier New" w:cs="Courier New" w:eastAsia="Courier New" w:hAnsi="Courier New"/>
          <w:sz w:val="18"/>
          <w:szCs w:val="18"/>
          <w:color w:val="auto"/>
        </w:rPr>
        <w:t>Vice President, Finance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12,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14</w:t>
      </w:r>
    </w:p>
    <w:p>
      <w:pPr>
        <w:sectPr>
          <w:pgSz w:w="11900" w:h="16838" w:orient="portrait"/>
          <w:cols w:equalWidth="0" w:num="1">
            <w:col w:w="10219"/>
          </w:cols>
          <w:pgMar w:left="240" w:top="514" w:right="1440" w:bottom="1440" w:gutter="0" w:footer="0" w:header="0"/>
        </w:sectPr>
      </w:pPr>
    </w:p>
    <w:bookmarkStart w:id="26" w:name="page27"/>
    <w:bookmarkEnd w:id="2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4" w:lineRule="exact"/>
        <w:rPr>
          <w:sz w:val="20"/>
          <w:szCs w:val="20"/>
          <w:color w:val="auto"/>
        </w:rPr>
      </w:pPr>
    </w:p>
    <w:p>
      <w:pPr>
        <w:ind w:left="1880"/>
        <w:spacing w:after="0"/>
        <w:rPr>
          <w:sz w:val="20"/>
          <w:szCs w:val="20"/>
          <w:color w:val="auto"/>
        </w:rPr>
      </w:pPr>
      <w:r>
        <w:rPr>
          <w:rFonts w:ascii="Courier New" w:cs="Courier New" w:eastAsia="Courier New" w:hAnsi="Courier New"/>
          <w:sz w:val="18"/>
          <w:szCs w:val="18"/>
          <w:color w:val="auto"/>
        </w:rPr>
        <w:t>3-MOS</w:t>
      </w:r>
    </w:p>
    <w:p>
      <w:pPr>
        <w:ind w:left="2620"/>
        <w:spacing w:after="0" w:line="238" w:lineRule="auto"/>
        <w:rPr>
          <w:sz w:val="20"/>
          <w:szCs w:val="20"/>
          <w:color w:val="auto"/>
        </w:rPr>
      </w:pPr>
      <w:r>
        <w:rPr>
          <w:rFonts w:ascii="Courier New" w:cs="Courier New" w:eastAsia="Courier New" w:hAnsi="Courier New"/>
          <w:sz w:val="18"/>
          <w:szCs w:val="18"/>
          <w:color w:val="auto"/>
        </w:rPr>
        <w:t>JUN-30-1997</w:t>
      </w:r>
    </w:p>
    <w:p>
      <w:pPr>
        <w:ind w:left="3160"/>
        <w:spacing w:after="0"/>
        <w:rPr>
          <w:sz w:val="20"/>
          <w:szCs w:val="20"/>
          <w:color w:val="auto"/>
        </w:rPr>
      </w:pPr>
      <w:r>
        <w:rPr>
          <w:rFonts w:ascii="Courier New" w:cs="Courier New" w:eastAsia="Courier New" w:hAnsi="Courier New"/>
          <w:sz w:val="18"/>
          <w:szCs w:val="18"/>
          <w:color w:val="auto"/>
        </w:rPr>
        <w:t>SEP-30-1997</w:t>
      </w:r>
    </w:p>
    <w:p>
      <w:pPr>
        <w:ind w:left="4320"/>
        <w:spacing w:after="0" w:line="237" w:lineRule="auto"/>
        <w:rPr>
          <w:sz w:val="20"/>
          <w:szCs w:val="20"/>
          <w:color w:val="auto"/>
        </w:rPr>
      </w:pPr>
      <w:r>
        <w:rPr>
          <w:rFonts w:ascii="Courier New" w:cs="Courier New" w:eastAsia="Courier New" w:hAnsi="Courier New"/>
          <w:sz w:val="18"/>
          <w:szCs w:val="18"/>
          <w:color w:val="auto"/>
        </w:rPr>
        <w:t>$7,087</w:t>
      </w:r>
    </w:p>
    <w:p>
      <w:pPr>
        <w:ind w:left="4200"/>
        <w:spacing w:after="0" w:line="238" w:lineRule="auto"/>
        <w:rPr>
          <w:sz w:val="20"/>
          <w:szCs w:val="20"/>
          <w:color w:val="auto"/>
        </w:rPr>
      </w:pPr>
      <w:r>
        <w:rPr>
          <w:rFonts w:ascii="Courier New" w:cs="Courier New" w:eastAsia="Courier New" w:hAnsi="Courier New"/>
          <w:sz w:val="18"/>
          <w:szCs w:val="18"/>
          <w:color w:val="auto"/>
        </w:rPr>
        <w:t>0</w:t>
      </w:r>
    </w:p>
    <w:p>
      <w:pPr>
        <w:ind w:left="3160"/>
        <w:spacing w:after="0"/>
        <w:rPr>
          <w:sz w:val="20"/>
          <w:szCs w:val="20"/>
          <w:color w:val="auto"/>
        </w:rPr>
      </w:pPr>
      <w:r>
        <w:rPr>
          <w:rFonts w:ascii="Courier New" w:cs="Courier New" w:eastAsia="Courier New" w:hAnsi="Courier New"/>
          <w:sz w:val="18"/>
          <w:szCs w:val="18"/>
          <w:color w:val="auto"/>
        </w:rPr>
        <w:t>$1,945,645</w:t>
      </w:r>
    </w:p>
    <w:p>
      <w:pPr>
        <w:ind w:left="4200"/>
        <w:spacing w:after="0" w:line="237" w:lineRule="auto"/>
        <w:rPr>
          <w:sz w:val="20"/>
          <w:szCs w:val="20"/>
          <w:color w:val="auto"/>
        </w:rPr>
      </w:pPr>
      <w:r>
        <w:rPr>
          <w:rFonts w:ascii="Courier New" w:cs="Courier New" w:eastAsia="Courier New" w:hAnsi="Courier New"/>
          <w:sz w:val="18"/>
          <w:szCs w:val="18"/>
          <w:color w:val="auto"/>
        </w:rPr>
        <w:t>0</w:t>
      </w:r>
    </w:p>
    <w:p>
      <w:pPr>
        <w:ind w:left="3360"/>
        <w:spacing w:after="0"/>
        <w:rPr>
          <w:sz w:val="20"/>
          <w:szCs w:val="20"/>
          <w:color w:val="auto"/>
        </w:rPr>
      </w:pPr>
      <w:r>
        <w:rPr>
          <w:rFonts w:ascii="Courier New" w:cs="Courier New" w:eastAsia="Courier New" w:hAnsi="Courier New"/>
          <w:sz w:val="18"/>
          <w:szCs w:val="18"/>
          <w:color w:val="auto"/>
        </w:rPr>
        <w:t>$2,693,098</w:t>
      </w:r>
    </w:p>
    <w:p>
      <w:pPr>
        <w:ind w:left="2840"/>
        <w:spacing w:after="0" w:line="237" w:lineRule="auto"/>
        <w:rPr>
          <w:sz w:val="20"/>
          <w:szCs w:val="20"/>
          <w:color w:val="auto"/>
        </w:rPr>
      </w:pPr>
      <w:r>
        <w:rPr>
          <w:rFonts w:ascii="Courier New" w:cs="Courier New" w:eastAsia="Courier New" w:hAnsi="Courier New"/>
          <w:sz w:val="18"/>
          <w:szCs w:val="18"/>
          <w:color w:val="auto"/>
        </w:rPr>
        <w:t>$4,777,415</w:t>
      </w:r>
    </w:p>
    <w:p>
      <w:pPr>
        <w:ind w:left="3900"/>
        <w:spacing w:after="0"/>
        <w:rPr>
          <w:sz w:val="20"/>
          <w:szCs w:val="20"/>
          <w:color w:val="auto"/>
        </w:rPr>
      </w:pPr>
      <w:r>
        <w:rPr>
          <w:rFonts w:ascii="Courier New" w:cs="Courier New" w:eastAsia="Courier New" w:hAnsi="Courier New"/>
          <w:sz w:val="18"/>
          <w:szCs w:val="18"/>
          <w:color w:val="auto"/>
        </w:rPr>
        <w:t>$2,419,658</w:t>
      </w:r>
    </w:p>
    <w:p>
      <w:pPr>
        <w:ind w:left="4000"/>
        <w:spacing w:after="0" w:line="237" w:lineRule="auto"/>
        <w:rPr>
          <w:sz w:val="20"/>
          <w:szCs w:val="20"/>
          <w:color w:val="auto"/>
        </w:rPr>
      </w:pPr>
      <w:r>
        <w:rPr>
          <w:rFonts w:ascii="Courier New" w:cs="Courier New" w:eastAsia="Courier New" w:hAnsi="Courier New"/>
          <w:sz w:val="18"/>
          <w:szCs w:val="18"/>
          <w:color w:val="auto"/>
        </w:rPr>
        <w:t>0</w:t>
      </w:r>
    </w:p>
    <w:p>
      <w:pPr>
        <w:ind w:left="3040"/>
        <w:spacing w:after="0" w:line="238" w:lineRule="auto"/>
        <w:rPr>
          <w:sz w:val="20"/>
          <w:szCs w:val="20"/>
          <w:color w:val="auto"/>
        </w:rPr>
      </w:pPr>
      <w:r>
        <w:rPr>
          <w:rFonts w:ascii="Courier New" w:cs="Courier New" w:eastAsia="Courier New" w:hAnsi="Courier New"/>
          <w:sz w:val="18"/>
          <w:szCs w:val="18"/>
          <w:color w:val="auto"/>
        </w:rPr>
        <w:t>$7,475,371</w:t>
      </w:r>
    </w:p>
    <w:p>
      <w:pPr>
        <w:ind w:left="2320"/>
        <w:spacing w:after="0"/>
        <w:rPr>
          <w:sz w:val="20"/>
          <w:szCs w:val="20"/>
          <w:color w:val="auto"/>
        </w:rPr>
      </w:pPr>
      <w:r>
        <w:rPr>
          <w:rFonts w:ascii="Courier New" w:cs="Courier New" w:eastAsia="Courier New" w:hAnsi="Courier New"/>
          <w:sz w:val="18"/>
          <w:szCs w:val="18"/>
          <w:color w:val="auto"/>
        </w:rPr>
        <w:t>$2,104,340</w:t>
      </w:r>
    </w:p>
    <w:p>
      <w:pPr>
        <w:jc w:val="center"/>
        <w:ind w:right="539"/>
        <w:spacing w:after="0" w:line="237" w:lineRule="auto"/>
        <w:rPr>
          <w:sz w:val="20"/>
          <w:szCs w:val="20"/>
          <w:color w:val="auto"/>
        </w:rPr>
      </w:pPr>
      <w:r>
        <w:rPr>
          <w:rFonts w:ascii="Courier New" w:cs="Courier New" w:eastAsia="Courier New" w:hAnsi="Courier New"/>
          <w:sz w:val="18"/>
          <w:szCs w:val="18"/>
          <w:color w:val="auto"/>
        </w:rPr>
        <w:t>0</w:t>
      </w:r>
    </w:p>
    <w:p>
      <w:pPr>
        <w:ind w:left="3260"/>
        <w:spacing w:after="0"/>
        <w:rPr>
          <w:sz w:val="20"/>
          <w:szCs w:val="20"/>
          <w:color w:val="auto"/>
        </w:rPr>
      </w:pPr>
      <w:r>
        <w:rPr>
          <w:rFonts w:ascii="Courier New" w:cs="Courier New" w:eastAsia="Courier New" w:hAnsi="Courier New"/>
          <w:sz w:val="18"/>
          <w:szCs w:val="18"/>
          <w:color w:val="auto"/>
        </w:rPr>
        <w:t>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4100"/>
        <w:spacing w:after="0"/>
        <w:rPr>
          <w:sz w:val="20"/>
          <w:szCs w:val="20"/>
          <w:color w:val="auto"/>
        </w:rPr>
      </w:pPr>
      <w:r>
        <w:rPr>
          <w:rFonts w:ascii="Courier New" w:cs="Courier New" w:eastAsia="Courier New" w:hAnsi="Courier New"/>
          <w:sz w:val="18"/>
          <w:szCs w:val="18"/>
          <w:color w:val="auto"/>
        </w:rPr>
        <w:t>$7,675</w:t>
      </w:r>
    </w:p>
    <w:p>
      <w:pPr>
        <w:ind w:left="3460"/>
        <w:spacing w:after="0" w:line="237" w:lineRule="auto"/>
        <w:rPr>
          <w:sz w:val="20"/>
          <w:szCs w:val="20"/>
          <w:color w:val="auto"/>
        </w:rPr>
      </w:pPr>
      <w:r>
        <w:rPr>
          <w:rFonts w:ascii="Courier New" w:cs="Courier New" w:eastAsia="Courier New" w:hAnsi="Courier New"/>
          <w:sz w:val="18"/>
          <w:szCs w:val="18"/>
          <w:color w:val="auto"/>
        </w:rPr>
        <w:t>$4,010,630</w:t>
      </w:r>
    </w:p>
    <w:p>
      <w:pPr>
        <w:ind w:left="1580"/>
        <w:spacing w:after="0" w:line="238" w:lineRule="auto"/>
        <w:rPr>
          <w:sz w:val="20"/>
          <w:szCs w:val="20"/>
          <w:color w:val="auto"/>
        </w:rPr>
      </w:pPr>
      <w:r>
        <w:rPr>
          <w:rFonts w:ascii="Courier New" w:cs="Courier New" w:eastAsia="Courier New" w:hAnsi="Courier New"/>
          <w:sz w:val="18"/>
          <w:szCs w:val="18"/>
          <w:color w:val="auto"/>
        </w:rPr>
        <w:t>$7,475,371</w:t>
      </w:r>
    </w:p>
    <w:p>
      <w:pPr>
        <w:ind w:left="3780"/>
        <w:spacing w:after="0"/>
        <w:rPr>
          <w:sz w:val="20"/>
          <w:szCs w:val="20"/>
          <w:color w:val="auto"/>
        </w:rPr>
      </w:pPr>
      <w:r>
        <w:rPr>
          <w:rFonts w:ascii="Courier New" w:cs="Courier New" w:eastAsia="Courier New" w:hAnsi="Courier New"/>
          <w:sz w:val="18"/>
          <w:szCs w:val="18"/>
          <w:color w:val="auto"/>
        </w:rPr>
        <w:t>$3,724,979</w:t>
      </w:r>
    </w:p>
    <w:p>
      <w:pPr>
        <w:ind w:left="2840"/>
        <w:spacing w:after="0" w:line="237" w:lineRule="auto"/>
        <w:rPr>
          <w:sz w:val="20"/>
          <w:szCs w:val="20"/>
          <w:color w:val="auto"/>
        </w:rPr>
      </w:pPr>
      <w:r>
        <w:rPr>
          <w:rFonts w:ascii="Courier New" w:cs="Courier New" w:eastAsia="Courier New" w:hAnsi="Courier New"/>
          <w:sz w:val="18"/>
          <w:szCs w:val="18"/>
          <w:color w:val="auto"/>
        </w:rPr>
        <w:t>$3,732,714</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$1,827,190</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$1,632,791</w:t>
      </w:r>
    </w:p>
    <w:p>
      <w:pPr>
        <w:ind w:left="3780"/>
        <w:spacing w:after="0" w:line="238" w:lineRule="auto"/>
        <w:rPr>
          <w:sz w:val="20"/>
          <w:szCs w:val="20"/>
          <w:color w:val="auto"/>
        </w:rPr>
      </w:pPr>
      <w:r>
        <w:rPr>
          <w:rFonts w:ascii="Courier New" w:cs="Courier New" w:eastAsia="Courier New" w:hAnsi="Courier New"/>
          <w:sz w:val="18"/>
          <w:szCs w:val="18"/>
          <w:color w:val="auto"/>
        </w:rPr>
        <w:t>0</w:t>
      </w:r>
    </w:p>
    <w:p>
      <w:pPr>
        <w:ind w:left="3780"/>
        <w:spacing w:after="0"/>
        <w:rPr>
          <w:sz w:val="20"/>
          <w:szCs w:val="20"/>
          <w:color w:val="auto"/>
        </w:rPr>
      </w:pPr>
      <w:r>
        <w:rPr>
          <w:rFonts w:ascii="Courier New" w:cs="Courier New" w:eastAsia="Courier New" w:hAnsi="Courier New"/>
          <w:sz w:val="18"/>
          <w:szCs w:val="18"/>
          <w:color w:val="auto"/>
        </w:rPr>
        <w:t>0</w:t>
      </w:r>
    </w:p>
    <w:p>
      <w:pPr>
        <w:ind w:left="2940"/>
        <w:spacing w:after="0" w:line="237" w:lineRule="auto"/>
        <w:rPr>
          <w:sz w:val="20"/>
          <w:szCs w:val="20"/>
          <w:color w:val="auto"/>
        </w:rPr>
      </w:pPr>
      <w:r>
        <w:rPr>
          <w:rFonts w:ascii="Courier New" w:cs="Courier New" w:eastAsia="Courier New" w:hAnsi="Courier New"/>
          <w:sz w:val="18"/>
          <w:szCs w:val="18"/>
          <w:color w:val="auto"/>
        </w:rPr>
        <w:t>$64,554</w:t>
      </w:r>
    </w:p>
    <w:p>
      <w:pPr>
        <w:ind w:left="3160"/>
        <w:spacing w:after="0" w:line="238" w:lineRule="auto"/>
        <w:rPr>
          <w:sz w:val="20"/>
          <w:szCs w:val="20"/>
          <w:color w:val="auto"/>
        </w:rPr>
      </w:pPr>
      <w:r>
        <w:rPr>
          <w:rFonts w:ascii="Courier New" w:cs="Courier New" w:eastAsia="Courier New" w:hAnsi="Courier New"/>
          <w:sz w:val="18"/>
          <w:szCs w:val="18"/>
          <w:color w:val="auto"/>
        </w:rPr>
        <w:t>$208,179</w:t>
      </w:r>
    </w:p>
    <w:p>
      <w:pPr>
        <w:ind w:left="4200"/>
        <w:spacing w:after="0"/>
        <w:rPr>
          <w:sz w:val="20"/>
          <w:szCs w:val="20"/>
          <w:color w:val="auto"/>
        </w:rPr>
      </w:pPr>
      <w:r>
        <w:rPr>
          <w:rFonts w:ascii="Courier New" w:cs="Courier New" w:eastAsia="Courier New" w:hAnsi="Courier New"/>
          <w:sz w:val="18"/>
          <w:szCs w:val="18"/>
          <w:color w:val="auto"/>
        </w:rPr>
        <w:t>0</w:t>
      </w:r>
    </w:p>
    <w:p>
      <w:pPr>
        <w:ind w:left="2740"/>
        <w:spacing w:after="0" w:line="237" w:lineRule="auto"/>
        <w:rPr>
          <w:sz w:val="20"/>
          <w:szCs w:val="20"/>
          <w:color w:val="auto"/>
        </w:rPr>
      </w:pPr>
      <w:r>
        <w:rPr>
          <w:rFonts w:ascii="Courier New" w:cs="Courier New" w:eastAsia="Courier New" w:hAnsi="Courier New"/>
          <w:sz w:val="18"/>
          <w:szCs w:val="18"/>
          <w:color w:val="auto"/>
        </w:rPr>
        <w:t>$208,179</w:t>
      </w:r>
    </w:p>
    <w:p>
      <w:pPr>
        <w:ind w:left="4000"/>
        <w:spacing w:after="0"/>
        <w:rPr>
          <w:sz w:val="20"/>
          <w:szCs w:val="20"/>
          <w:color w:val="auto"/>
        </w:rPr>
      </w:pPr>
      <w:r>
        <w:rPr>
          <w:rFonts w:ascii="Courier New" w:cs="Courier New" w:eastAsia="Courier New" w:hAnsi="Courier New"/>
          <w:sz w:val="18"/>
          <w:szCs w:val="18"/>
          <w:color w:val="auto"/>
        </w:rPr>
        <w:t>0</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4520"/>
        <w:spacing w:after="0"/>
        <w:rPr>
          <w:sz w:val="20"/>
          <w:szCs w:val="20"/>
          <w:color w:val="auto"/>
        </w:rPr>
      </w:pPr>
      <w:r>
        <w:rPr>
          <w:rFonts w:ascii="Courier New" w:cs="Courier New" w:eastAsia="Courier New" w:hAnsi="Courier New"/>
          <w:sz w:val="18"/>
          <w:szCs w:val="18"/>
          <w:color w:val="auto"/>
        </w:rPr>
        <w:t>0</w:t>
      </w:r>
    </w:p>
    <w:p>
      <w:pPr>
        <w:ind w:left="3460"/>
        <w:spacing w:after="0" w:line="237" w:lineRule="auto"/>
        <w:rPr>
          <w:sz w:val="20"/>
          <w:szCs w:val="20"/>
          <w:color w:val="auto"/>
        </w:rPr>
      </w:pPr>
      <w:r>
        <w:rPr>
          <w:rFonts w:ascii="Courier New" w:cs="Courier New" w:eastAsia="Courier New" w:hAnsi="Courier New"/>
          <w:sz w:val="18"/>
          <w:szCs w:val="18"/>
          <w:color w:val="auto"/>
        </w:rPr>
        <w:t>$208,179</w:t>
      </w:r>
    </w:p>
    <w:p>
      <w:pPr>
        <w:ind w:left="3780"/>
        <w:spacing w:after="0" w:line="238" w:lineRule="auto"/>
        <w:rPr>
          <w:sz w:val="20"/>
          <w:szCs w:val="20"/>
          <w:color w:val="auto"/>
        </w:rPr>
      </w:pPr>
      <w:r>
        <w:rPr>
          <w:rFonts w:ascii="Courier New" w:cs="Courier New" w:eastAsia="Courier New" w:hAnsi="Courier New"/>
          <w:sz w:val="18"/>
          <w:szCs w:val="18"/>
          <w:color w:val="auto"/>
        </w:rPr>
        <w:t>$.03</w:t>
      </w:r>
    </w:p>
    <w:p>
      <w:pPr>
        <w:ind w:left="3780"/>
        <w:spacing w:after="0"/>
        <w:rPr>
          <w:sz w:val="20"/>
          <w:szCs w:val="20"/>
          <w:color w:val="auto"/>
        </w:rPr>
      </w:pPr>
      <w:r>
        <w:rPr>
          <w:rFonts w:ascii="Courier New" w:cs="Courier New" w:eastAsia="Courier New" w:hAnsi="Courier New"/>
          <w:sz w:val="18"/>
          <w:szCs w:val="18"/>
          <w:color w:val="auto"/>
        </w:rPr>
        <w:t>$.03</w:t>
      </w:r>
    </w:p>
    <w:sectPr>
      <w:pgSz w:w="11900" w:h="16838" w:orient="portrait"/>
      <w:cols w:equalWidth="0" w:num="1">
        <w:col w:w="10099"/>
      </w:cols>
      <w:pgMar w:left="36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1."/>
      <w:numFmt w:val="decimal"/>
      <w:start w:val="2"/>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2019-12-13T17:39:56Z</dcterms:created>
  <dcterms:modified xsi:type="dcterms:W3CDTF">2019-12-13T17:39:56Z</dcterms:modified>
</cp:coreProperties>
</file>