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2015</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 No [x]</w:t>
      </w:r>
    </w:p>
    <w:p>
      <w:pPr>
        <w:spacing w:after="0" w:line="217"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April 30, 2015 was 9,116,029.</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 ENDED MARCH 31, 2015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2015 Unaudited and December 31, 2014</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2015 and 2014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for the three months ended March 31, 2015 and 2014 Unaudited</w:t>
              </w:r>
            </w:hyperlink>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tcBorders>
              <w:left w:val="single" w:sz="8" w:color="0000EE"/>
            </w:tcBorders>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94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38"/>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36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50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96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102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 2015</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2014</w:t>
            </w:r>
          </w:p>
        </w:tc>
        <w:tc>
          <w:tcPr>
            <w:tcW w:w="0" w:type="dxa"/>
            <w:vAlign w:val="bottom"/>
          </w:tcPr>
          <w:p>
            <w:pPr>
              <w:spacing w:after="0"/>
              <w:rPr>
                <w:sz w:val="1"/>
                <w:szCs w:val="1"/>
                <w:color w:val="auto"/>
              </w:rPr>
            </w:pPr>
          </w:p>
        </w:tc>
      </w:tr>
      <w:tr>
        <w:trPr>
          <w:trHeight w:val="270"/>
        </w:trPr>
        <w:tc>
          <w:tcPr>
            <w:tcW w:w="7180" w:type="dxa"/>
            <w:vAlign w:val="bottom"/>
          </w:tcPr>
          <w:p>
            <w:pPr>
              <w:ind w:left="328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3"/>
                <w:szCs w:val="23"/>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Receivables, net of allowance for doubtful accounts of $79 and $58, respectively</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Distributor channel inventories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18,133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19,162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product revenue</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w w:val="91"/>
              </w:rPr>
              <w:t>Common stock, par value $0.001, 50,000,000 shares authorized, 9,111,790 and 9,097,827 shares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300" w:type="dxa"/>
            <w:vAlign w:val="bottom"/>
          </w:tcPr>
          <w:p>
            <w:pPr>
              <w:spacing w:after="0"/>
              <w:rPr>
                <w:sz w:val="20"/>
                <w:szCs w:val="20"/>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77,109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76,016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40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Pr>
          <w:p>
            <w:pPr>
              <w:spacing w:after="0"/>
              <w:rPr>
                <w:sz w:val="18"/>
                <w:szCs w:val="18"/>
                <w:color w:val="auto"/>
              </w:rPr>
            </w:pPr>
          </w:p>
        </w:tc>
      </w:tr>
      <w:tr>
        <w:trPr>
          <w:trHeight w:val="33"/>
        </w:trPr>
        <w:tc>
          <w:tcPr>
            <w:tcW w:w="71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60" w:type="dxa"/>
            <w:vAlign w:val="bottom"/>
          </w:tcPr>
          <w:p>
            <w:pPr>
              <w:spacing w:after="0"/>
              <w:rPr>
                <w:sz w:val="18"/>
                <w:szCs w:val="18"/>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12,708</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5,006</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7,702</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2,737</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6,946</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220" w:type="dxa"/>
            <w:vAlign w:val="bottom"/>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7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9,100,107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9,082,546</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9,508,479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9,558,941</w:t>
            </w:r>
          </w:p>
        </w:tc>
      </w:tr>
      <w:tr>
        <w:trPr>
          <w:trHeight w:val="32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300"/>
              <w:spacing w:after="0"/>
              <w:rPr>
                <w:sz w:val="20"/>
                <w:szCs w:val="20"/>
                <w:color w:val="auto"/>
              </w:rPr>
            </w:pPr>
            <w:r>
              <w:rPr>
                <w:rFonts w:ascii="Arial" w:cs="Arial" w:eastAsia="Arial" w:hAnsi="Arial"/>
                <w:sz w:val="18"/>
                <w:szCs w:val="18"/>
                <w:color w:val="auto"/>
              </w:rPr>
              <w:t>Unrealized gain on available-for-sale securities, net of tax</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top w:val="single" w:sz="8" w:color="auto"/>
              <w:bottom w:val="single" w:sz="8" w:color="auto"/>
            </w:tcBorders>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558</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340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6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97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260" w:type="dxa"/>
            <w:vAlign w:val="bottom"/>
          </w:tcPr>
          <w:p>
            <w:pPr>
              <w:jc w:val="right"/>
              <w:ind w:right="93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Write-down of inventory to net realizable value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Purchase of patents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maturities and sales of marketable securities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benefits from stock options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Stock registration costs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57"/>
        </w:trPr>
        <w:tc>
          <w:tcPr>
            <w:tcW w:w="726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30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10,865</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933"/>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540" w:type="dxa"/>
            <w:vAlign w:val="bottom"/>
            <w:gridSpan w:val="4"/>
          </w:tcPr>
          <w:p>
            <w:pPr>
              <w:jc w:val="right"/>
              <w:ind w:right="234"/>
              <w:spacing w:after="0"/>
              <w:rPr>
                <w:sz w:val="20"/>
                <w:szCs w:val="20"/>
                <w:color w:val="auto"/>
              </w:rPr>
            </w:pPr>
            <w:r>
              <w:rPr>
                <w:rFonts w:ascii="Arial" w:cs="Arial" w:eastAsia="Arial" w:hAnsi="Arial"/>
                <w:sz w:val="16"/>
                <w:szCs w:val="16"/>
                <w:b w:val="1"/>
                <w:bCs w:val="1"/>
                <w:color w:val="auto"/>
              </w:rPr>
              <w:t>Three months ended March 31,</w:t>
            </w:r>
          </w:p>
        </w:tc>
        <w:tc>
          <w:tcPr>
            <w:tcW w:w="6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440" w:type="dxa"/>
            <w:vAlign w:val="bottom"/>
          </w:tcPr>
          <w:p>
            <w:pPr>
              <w:jc w:val="right"/>
              <w:ind w:right="156"/>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440" w:type="dxa"/>
            <w:vAlign w:val="bottom"/>
          </w:tcPr>
          <w:p>
            <w:pPr>
              <w:jc w:val="right"/>
              <w:ind w:right="12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380" w:type="dxa"/>
            <w:vAlign w:val="bottom"/>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14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7"/>
        </w:trPr>
        <w:tc>
          <w:tcPr>
            <w:tcW w:w="7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2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These accompanying interim condensed consolidated financial statements for the three months ended March 31, 2015 and 2014,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2015 and December 31, 2014, the results of operations for the three months ended March 31, 2015 and 2014, and the statements of cash flows for the three months ended March 31, 2015 and 2014. The results of operations for the three months ended March 31, 2015 and 2014 are not necessarily indicative of the results for a full-year period. These interim condensed consolidated financial statements should be read in conjunction with the financial statements included in our Annual Report on Form 10-K for the year ended December 31, 2014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2014. There have been no changes to these policies during the three months ended March 31, 2015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38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9,100,107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9,082,546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408,372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476,395</w:t>
            </w:r>
          </w:p>
        </w:tc>
      </w:tr>
      <w:tr>
        <w:trPr>
          <w:trHeight w:val="297"/>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9,508,479</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9,558,941</w:t>
            </w:r>
          </w:p>
        </w:tc>
      </w:tr>
      <w:tr>
        <w:trPr>
          <w:trHeight w:val="311"/>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324"/>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1,037,137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1,044,208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268,709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116,000</w:t>
            </w:r>
          </w:p>
        </w:tc>
      </w:tr>
    </w:tbl>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30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34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goodwill of $5,510 related to the acquisition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Sabine business from March 8, 2014 to March 31, 2014 were $84 and $163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2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32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320" w:type="dxa"/>
            <w:vAlign w:val="bottom"/>
          </w:tcPr>
          <w:p>
            <w:pPr>
              <w:jc w:val="right"/>
              <w:ind w:right="111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0.03</w:t>
            </w:r>
          </w:p>
        </w:tc>
      </w:tr>
    </w:tbl>
    <w:p>
      <w:pPr>
        <w:spacing w:after="0" w:line="229" w:lineRule="exact"/>
        <w:rPr>
          <w:sz w:val="20"/>
          <w:szCs w:val="20"/>
          <w:color w:val="auto"/>
        </w:rPr>
      </w:pPr>
    </w:p>
    <w:p>
      <w:pPr>
        <w:ind w:right="460" w:firstLine="656"/>
        <w:spacing w:after="0" w:line="277" w:lineRule="auto"/>
        <w:tabs>
          <w:tab w:leader="none" w:pos="8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9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3,741</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5,052</w:t>
            </w:r>
          </w:p>
        </w:tc>
      </w:tr>
      <w:tr>
        <w:trPr>
          <w:trHeight w:val="20"/>
        </w:trPr>
        <w:tc>
          <w:tcPr>
            <w:tcW w:w="9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Revenue and earnings of the combined entity as though the business combination occurred as of January 1, 2014 is not available. The Spontania business was part of a business unit of Dialcom Networks, S.L., and thus separate stand-alone financial information for Spontania is not 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period ended March 31, 2015, the company incurred $70 in total acquisition related expenses for the Sabine and Spontania acquisitions, all of which are categorized under general and administrative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Restatement</w:t>
      </w:r>
      <w:r>
        <w:rPr>
          <w:rFonts w:ascii="Arial" w:cs="Arial" w:eastAsia="Arial" w:hAnsi="Arial"/>
          <w:sz w:val="18"/>
          <w:szCs w:val="18"/>
          <w:i w:val="1"/>
          <w:iCs w:val="1"/>
          <w:color w:val="auto"/>
        </w:rPr>
        <w:t>:</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Following the completion of the valuation process for the acquisition of Sabine we reported intangible amortization to reflect the final adjusted values on Form 10-K for the year ended December 31, 2014. For the quarter ended March 31, 2015 we reported amortization based on the final intangible items. For the comparative quarter ended March 31, 2014 we have restated net income to reflect the inclusion of the revised amortization applicable to that period. Net income changed from $490 originally reported for the three months ended March 31, 2014 to $485. The reported retained earnings balance of $29,482 at March 31, 2014 under the restatement would be $29,477. The restatement did not result in a reportable change to earnings per share for the period.</w:t>
      </w:r>
    </w:p>
    <w:p>
      <w:pPr>
        <w:spacing w:after="0" w:line="15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March 31, 2015 and December 31,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19,334</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25,299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holding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90"/>
              </w:rPr>
              <w:t>holding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0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77"/>
              </w:rPr>
              <w:t>losses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20" w:type="dxa"/>
            <w:vAlign w:val="bottom"/>
            <w:gridSpan w:val="7"/>
          </w:tcPr>
          <w:p>
            <w:pPr>
              <w:spacing w:after="0"/>
              <w:rPr>
                <w:sz w:val="20"/>
                <w:szCs w:val="20"/>
                <w:color w:val="auto"/>
              </w:rPr>
            </w:pPr>
            <w:r>
              <w:rPr>
                <w:rFonts w:ascii="Arial" w:cs="Arial" w:eastAsia="Arial" w:hAnsi="Arial"/>
                <w:sz w:val="18"/>
                <w:szCs w:val="18"/>
                <w:color w:val="auto"/>
                <w:w w:val="95"/>
              </w:rPr>
              <w:t>Maturities of marketable securities classified as available-for-sale securities were as follows at March 31, 2015: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6"/>
          </w:tcPr>
          <w:p>
            <w:pPr>
              <w:ind w:left="5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51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0"/>
              </w:rPr>
              <w:t>cost</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Due within one year</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7,327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25,299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Debt securities in an unrealized loss position as of March 31, 2015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March 31, 2015 are summarized as follows: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6"/>
                <w:szCs w:val="16"/>
                <w:b w:val="1"/>
                <w:bCs w:val="1"/>
                <w:color w:val="auto"/>
                <w:w w:val="99"/>
              </w:rPr>
              <w:t>Total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8"/>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4"/>
              </w:rPr>
              <w:t>holding</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6"/>
                <w:szCs w:val="16"/>
                <w:color w:val="auto"/>
              </w:rPr>
              <w:t>Corporate bonds and notes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3,660</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2,966</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4,093</w:t>
            </w:r>
          </w:p>
        </w:tc>
        <w:tc>
          <w:tcPr>
            <w:tcW w:w="40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2015 and December 31, 2014 consisted of the following:</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w:t>
            </w: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0"/>
        </w:trPr>
        <w:tc>
          <w:tcPr>
            <w:tcW w:w="54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lives</w:t>
            </w:r>
          </w:p>
        </w:tc>
        <w:tc>
          <w:tcPr>
            <w:tcW w:w="38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2015</w:t>
            </w:r>
          </w:p>
        </w:tc>
        <w:tc>
          <w:tcPr>
            <w:tcW w:w="32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Patents and technological know-how</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3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5,850</w:t>
            </w:r>
          </w:p>
        </w:tc>
      </w:tr>
      <w:tr>
        <w:trPr>
          <w:trHeight w:val="27"/>
        </w:trPr>
        <w:tc>
          <w:tcPr>
            <w:tcW w:w="5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years</w:t>
            </w:r>
          </w:p>
        </w:tc>
        <w:tc>
          <w:tcPr>
            <w:tcW w:w="3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7"/>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2015 and March 31, 2014 was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2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816"/>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jc w:val="right"/>
              <w:ind w:right="81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2015 (remainder)</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4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4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Borders>
              <w:right w:val="single" w:sz="8" w:color="CCEEFF"/>
            </w:tcBorders>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2015 and December 31, 2014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2015</w:t>
            </w:r>
          </w:p>
        </w:tc>
        <w:tc>
          <w:tcPr>
            <w:tcW w:w="320" w:type="dxa"/>
            <w:vAlign w:val="bottom"/>
          </w:tcPr>
          <w:p>
            <w:pPr>
              <w:spacing w:after="0"/>
              <w:rPr>
                <w:sz w:val="18"/>
                <w:szCs w:val="18"/>
                <w:color w:val="auto"/>
              </w:rPr>
            </w:pPr>
          </w:p>
        </w:tc>
        <w:tc>
          <w:tcPr>
            <w:tcW w:w="1820" w:type="dxa"/>
            <w:vAlign w:val="bottom"/>
          </w:tcPr>
          <w:p>
            <w:pPr>
              <w:jc w:val="right"/>
              <w:ind w:right="33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7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3,056</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11,408</w:t>
            </w:r>
          </w:p>
        </w:tc>
      </w:tr>
      <w:tr>
        <w:trPr>
          <w:trHeight w:val="237"/>
        </w:trPr>
        <w:tc>
          <w:tcPr>
            <w:tcW w:w="7020" w:type="dxa"/>
            <w:vAlign w:val="bottom"/>
          </w:tcPr>
          <w:p>
            <w:pPr>
              <w:spacing w:after="0"/>
              <w:rPr>
                <w:sz w:val="20"/>
                <w:szCs w:val="20"/>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14,464</w:t>
            </w:r>
          </w:p>
        </w:tc>
      </w:tr>
      <w:tr>
        <w:trPr>
          <w:trHeight w:val="67"/>
        </w:trPr>
        <w:tc>
          <w:tcPr>
            <w:tcW w:w="70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r>
      <w:tr>
        <w:trPr>
          <w:trHeight w:val="231"/>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3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37"/>
        </w:trPr>
        <w:tc>
          <w:tcPr>
            <w:tcW w:w="7020" w:type="dxa"/>
            <w:vAlign w:val="bottom"/>
          </w:tcPr>
          <w:p>
            <w:pPr>
              <w:spacing w:after="0"/>
              <w:rPr>
                <w:sz w:val="20"/>
                <w:szCs w:val="20"/>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w:t>
            </w:r>
          </w:p>
        </w:tc>
      </w:tr>
      <w:tr>
        <w:trPr>
          <w:trHeight w:val="27"/>
        </w:trPr>
        <w:tc>
          <w:tcPr>
            <w:tcW w:w="7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$1,540 and $1,698 as of March 31, 2015 and December 31, 2014,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months ended March 31, 2015 and 2014, respectively.</w:t>
      </w:r>
    </w:p>
    <w:p>
      <w:pPr>
        <w:spacing w:after="0" w:line="130"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37465</wp:posOffset>
            </wp:positionV>
            <wp:extent cx="2735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80" w:lineRule="exact"/>
        <w:rPr>
          <w:sz w:val="20"/>
          <w:szCs w:val="20"/>
          <w:color w:val="auto"/>
        </w:rPr>
      </w:pPr>
    </w:p>
    <w:p>
      <w:pPr>
        <w:ind w:left="8040"/>
        <w:spacing w:after="0"/>
        <w:tabs>
          <w:tab w:leader="none" w:pos="102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240" w:val="left"/>
          <w:tab w:leader="none" w:pos="8960" w:val="left"/>
          <w:tab w:leader="none" w:pos="9380" w:val="left"/>
          <w:tab w:leader="none" w:pos="11020" w:val="left"/>
        </w:tabs>
        <w:rPr>
          <w:sz w:val="20"/>
          <w:szCs w:val="20"/>
          <w:color w:val="auto"/>
        </w:rPr>
      </w:pPr>
      <w:r>
        <w:rPr>
          <w:rFonts w:ascii="Arial" w:cs="Arial" w:eastAsia="Arial" w:hAnsi="Arial"/>
          <w:sz w:val="18"/>
          <w:szCs w:val="18"/>
          <w:color w:val="auto"/>
        </w:rPr>
        <w:t>Net loss (gain) on valuation of inventory and write-off of obsolete 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w:t>
        <w:tab/>
        <w:t>$</w:t>
      </w:r>
      <w:r>
        <w:rPr>
          <w:sz w:val="20"/>
          <w:szCs w:val="20"/>
          <w:color w:val="auto"/>
        </w:rPr>
        <w:tab/>
      </w:r>
      <w:r>
        <w:rPr>
          <w:rFonts w:ascii="Arial" w:cs="Arial" w:eastAsia="Arial" w:hAnsi="Arial"/>
          <w:sz w:val="16"/>
          <w:szCs w:val="16"/>
          <w:color w:val="auto"/>
        </w:rPr>
        <w:t>416</w:t>
      </w:r>
    </w:p>
    <w:p>
      <w:pPr>
        <w:spacing w:after="0" w:line="2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40" w:type="dxa"/>
            <w:vAlign w:val="bottom"/>
            <w:gridSpan w:val="4"/>
          </w:tcPr>
          <w:p>
            <w:pPr>
              <w:jc w:val="right"/>
              <w:ind w:right="333"/>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440" w:type="dxa"/>
            <w:vAlign w:val="bottom"/>
          </w:tcPr>
          <w:p>
            <w:pPr>
              <w:jc w:val="right"/>
              <w:ind w:right="154"/>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93"/>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March 31, 2015, the total remaining unrecognized compensation cost related to non-vested stock options, net of forfeitures, was approximately $1,084, which will be recognized over a weighted average period of 2.55 years.</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months ended March 31, 2015 and 2014,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8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Tax benefit - stock option exercise</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for acquisitions</w:t>
            </w: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Unrealized gain or loss on investments, net of tax</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320" w:type="dxa"/>
            <w:vAlign w:val="bottom"/>
            <w:tcBorders>
              <w:top w:val="single" w:sz="8" w:color="auto"/>
              <w:bottom w:val="single" w:sz="8" w:color="auto"/>
            </w:tcBorders>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77,109</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73,764</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28, 2015, the company announced a quarterly cash dividend of $0.035 per share to be paid on May 15, 2015 to shareholders of record as of May 4, 2015.</w:t>
      </w:r>
    </w:p>
    <w:p>
      <w:pPr>
        <w:spacing w:after="0" w:line="18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active markets or based on other observable inputs. The following table sets forth the fair value of the financial instruments re-measured by the Company as of March 31, 2015 and December 31,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19,334</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19,334</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6,113</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25,447</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25,447</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19,838</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19,838</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26,156</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forecasted effective tax rate at March 31, 2015 is 35.8%, a 3.8% increase from the 32.0% effective tax rate recorded at December 31, 2014. The forecasted effective tax rate of 35.8% excludes jurisdictions for which no benefit from forecasted current year losses is anticipated. Including losses from such jurisdictions results in a forecasted effective tax rate of 36.1%. Our forecasted effective tax rate could fluctuate significantly on a quarterly basis and could change, to the extent that earnings in countries with tax rates that differ from that of the U.S. differ, from amounts anticipated at March 31, 2015.</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After discrete tax expense of $2, the effective tax rate for the quarter ended March 31, 2015 is 36.5%. The discrete tax expense is primarily attributable to interest and penalties related to unrecognized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28, 2015, the company announced a quarterly cash dividend of $0.035 per share to be paid on May 15, 2015 to shareholders of record as of May 4,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press releases and reports filed with the SEC, including our Annual Report on Form 10-K for the year ended December 31, 2014.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2014.</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market share position in the global professional audio conferencing market, with nearly 50% of the total global market share. Our products are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Standardize our products amongst the Fortune 500 and other blue chip companies;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Leverage the video conferencing, streaming and digital signage technologies we have acquired over the years to enter new growth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Capitalize on the increasing adoption of unified communications and introduce new products through information technology channels;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revenues were $13.6 million and $12.7 million during the three months ended March 31, 2015 and 2014, respectively. The increase in revenues was due to increased sales of microphone products and professional audio products. Our gross profit increased by $760 thousand during the three months ended March 31, 2015 compared to the three months ended March 31, 2014. Net income increased by $787 thousand during the three months ended March 31, 2015 compared to the three months ended March 31, 2014. Net income for the three months ended March 31, 2015 increased primarily due to reduced acquisition expenses for the Sabine and Spontania acquisitions compared to the three months ended March 31, 2014.</w:t>
      </w:r>
    </w:p>
    <w:p>
      <w:pPr>
        <w:spacing w:after="0" w:line="17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expect continued growth in revenue from microphone products and new products. However the prospects of growth and its magnitude in both revenues and profits in the near future would depend on the strength of the global economy and the penetration level of our new products, including products added through acquisitions. We continue to closely monitor the economic situation caused by the US government's budget cuts and global economic events.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2015, and 2014</w:t>
      </w:r>
    </w:p>
    <w:p>
      <w:pPr>
        <w:spacing w:after="0" w:line="225"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months ended March 31, 2015 and 2014,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 of Revenue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ind w:left="320"/>
              <w:spacing w:after="0"/>
              <w:rPr>
                <w:sz w:val="20"/>
                <w:szCs w:val="20"/>
                <w:color w:val="auto"/>
              </w:rPr>
            </w:pPr>
            <w:r>
              <w:rPr>
                <w:rFonts w:ascii="Arial" w:cs="Arial" w:eastAsia="Arial" w:hAnsi="Arial"/>
                <w:sz w:val="14"/>
                <w:szCs w:val="14"/>
                <w:b w:val="1"/>
                <w:bCs w:val="1"/>
                <w:color w:val="auto"/>
              </w:rPr>
              <w:t>% of Revenue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20" w:type="dxa"/>
            <w:vAlign w:val="bottom"/>
            <w:tcBorders>
              <w:top w:val="single" w:sz="8" w:color="auto"/>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13,586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5,124</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38%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5,006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39%</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22%</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15%</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1,899</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1%</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Revenue for the three months ended March 31, 2015 was approximately $13.6 million, an increase of approximately 7% over the three months ended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March 31, 2014. The increase in revenue was due to increased demand across all regions, North America, Asia Pacific, and EMEA (Europe, Middle East, and Africa). The increase is mainly attributable to growth in demand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for our microphone products, other professional audio, and video products, partially offset by a decline in unified communications products revenue.</w:t>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net change in deferred revenue during the three months ended March 31, 2015 from December 31, 2014 and March 31, 2014 from December 31, 2013 was a net decrease in deferred revenue of $320 thousand and a net decrease in deferred revenue of $51 thousand,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gross profit margin (GPM), which is gross profit as a percentage of revenue, was 62% and 61% for the three months ended March 31, 2015 and 2014, respectively. The 1% increase in gross margin was primarily due to increased sales of higher margin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expenses for the three months ended March 31, 2015 decreased by approximately $0.3 million to $6.6 million compared to $6.9 million for the three months ended March 31, 2014.</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S&amp;M expenses of approximately $2.6 million for the three months ended March 31, 2015 decreased $115 thousand, or 4%, when compared to S&amp;M expenses of approximately $2.7 million for the three months ended March 31, 2014 this decreased primarily due to decreases in commission and bonus payments to employees, and decreased marketing expenses.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R&amp;D expenses of approximately $1.9 million for the three months ended March 31, 2015 decreased by $300 thousand, or 13%, when compared to R&amp;D expenses of approximately $2.2 million for the three months ended March 31, 2014. R&amp;D expenses decreased due to decreased R&amp;D project related cost.</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G&amp;A expenses of approximately $2.0 million for the three months ended March 31, 2015 increased by $32 thousand, or 2%, when compared to G&amp;A expenses of approximately $2.0 million for the three months ended March 31, 2014. G&amp;A expenses increased due to increases in amortization of intangibles, and audit and accounting fees. These increases were partially offset by decreases in legal fees and acquisition related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incur legal expenses due to various legal proceedings explained in detail in our Form 10-K for the year ended December 31,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2015, we accrued income taxes at the forecasted effective tax rate of 35.8% as compared to the forecasted effective tax rate of 35.0% used during the three months ended March 31, 2014. The 0.8% increase in the forecasted effective tax rate was primarily due to changes in the amount of projected foreign income taxed at different rates. In addition, a discrete tax expense of $2 is primarily attributable to interest and penalties related to unrecognized tax benefits.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2015, our cash and cash equivalents were approximately $10.9 million, an increase of approximately $3.5 million compared to cash and cash equivalents of approximately $7.4 million as of December 31, 2014.</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cash provided by operating activities was $2.8 million during the three months ended March 31, 2015, a decrease in cash flow of approximately $0.7 million compared to $3.6 million of cash provided by operating activities during the three months ended March 31, 2014. The decrease in operating cash flow was primarily due to an increase in income taxes paid in the first quarter of 2015 with the remaining differences due to the timing of receipts and payments of working capital, which include accounts receivable, accounts payable, accrued expenses, inventories, and prepaid expenses and other assets.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Net cash provided by investing activities was approximately $0.7 million during the three months ended March 31, 2015, a comparative net inflow of cash of approximately $14.9 million when compared to $14.2 million of cash used in investing activities during the three months ended March 31, 2014. Net cash provided by investing activities during the three months ended March 31, 2015 included proceeds from maturities and sales of marketable investment securities in excess of purchases of marketable securities. Net cash used in investing activities for the three months ended March 31, 2014 included payments relating to the acquisition of the business of Sabine for $8.1 million and payments relating to the acquisition of the Spontania product line of $5.1 million.</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provided by financing activities was approximately $27 thousand during the three months ended March 31, 2015, a decrease of approximately $1.0 million when compared to $1.1 million of cash provided by investing activities during the three months ended March 31, 2014. Financing activities in the first quarter of 2015 primarily consisted of cash inflows of about $20 thousand from the exercise of stock options, while financing activities in the same period in 2014 consisted mostly of cash inflows of about $1.0 million from the exercise of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our working capital was $36.2 million as compared to $34.0 million as of December 31, 2014.</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recent acquisitions and capital expenditures, we may use cash in the near future for selective infusions of technology, sales &amp; marketing, infrastructure, and other investments to fuel our growth, as well as acquisitions that may strategically fit our business and are accretive to our performance. We also plan to fund the payment of cash dividends in connection with the current Board approved plan as announced on December 2, 2014, which may be adjusted from time-to-time based on factors that the Board of Directors deems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significant accounting policies are described in Note 1 of the Notes to the Consolidated Financial Statements included in our Annual Report on Form 10-K for the year ended December 31, 2014. We believe the policies described below identify our most critical accounting policies, which are the policies that are both important to the representation of our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results and require our most difficult, subjective or complex judgments, often as a result of the need to make estimates about the effect of matters that are inherently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March 31, 2015 and December 31,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2015</w:t>
            </w:r>
          </w:p>
        </w:tc>
        <w:tc>
          <w:tcPr>
            <w:tcW w:w="26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2014</w:t>
            </w: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1,698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3,306</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2015 or 2014 as no impairment indicators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2014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$786 thousand.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liabilities in exchange for goods or services that are based on the fair value of the entity’s equity instruments or that may be settled by the issuance of those equity instruments.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March 31, 2015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March 31, 2015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2015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updates to the status of the legal proceedings and commitments and contingencies reported in our Form 10-K for the year ended December 31, 2014 under Part I, Item 3. Legal Proceedings and Note 8 - Commitments and Contingencies of the Notes to Consolidated Financial Statements (Part II,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1"/>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XBRL Taxonomy Extension Calculation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3"/>
          </w:tcPr>
          <w:p>
            <w:pPr>
              <w:spacing w:after="0"/>
              <w:rPr>
                <w:sz w:val="20"/>
                <w:szCs w:val="20"/>
                <w:color w:val="auto"/>
              </w:rPr>
            </w:pPr>
            <w:r>
              <w:rPr>
                <w:rFonts w:ascii="Arial" w:cs="Arial" w:eastAsia="Arial" w:hAnsi="Arial"/>
                <w:sz w:val="18"/>
                <w:szCs w:val="18"/>
                <w:color w:val="auto"/>
                <w:w w:val="97"/>
              </w:rPr>
              <w:t>XBRL Taxonomy Extension Presentation Linkbase (filed herewith)</w:t>
            </w:r>
          </w:p>
        </w:tc>
      </w:tr>
    </w:tbl>
    <w:p>
      <w:pPr>
        <w:spacing w:after="0" w:line="200" w:lineRule="exact"/>
        <w:rPr>
          <w:sz w:val="20"/>
          <w:szCs w:val="20"/>
          <w:color w:val="auto"/>
        </w:rPr>
      </w:pPr>
    </w:p>
    <w:p>
      <w:pPr>
        <w:sectPr>
          <w:pgSz w:w="11900" w:h="16838" w:orient="portrait"/>
          <w:cols w:equalWidth="0" w:num="1">
            <w:col w:w="11260"/>
          </w:cols>
          <w:pgMar w:left="240" w:top="121" w:right="3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0"/>
          </w:cols>
          <w:pgMar w:left="240" w:top="121" w:right="39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00"/>
          </w:cols>
          <w:pgMar w:left="240" w:top="121" w:right="10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May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186690</wp:posOffset>
            </wp:positionV>
            <wp:extent cx="341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May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May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186690</wp:posOffset>
            </wp:positionV>
            <wp:extent cx="3164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0"/>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7"/>
    </w:lvl>
  </w:abstractNum>
  <w:abstractNum w:abstractNumId="11">
    <w:nsid w:val="1BEFD79F"/>
    <w:multiLevelType w:val="hybridMultilevel"/>
    <w:lvl w:ilvl="0">
      <w:lvlJc w:val="left"/>
      <w:lvlText w:val="%1."/>
      <w:numFmt w:val="decimal"/>
      <w:start w:val="8"/>
    </w:lvl>
  </w:abstractNum>
  <w:abstractNum w:abstractNumId="12">
    <w:nsid w:val="41A7C4C9"/>
    <w:multiLevelType w:val="hybridMultilevel"/>
    <w:lvl w:ilvl="0">
      <w:lvlJc w:val="left"/>
      <w:lvlText w:val="%1."/>
      <w:numFmt w:val="decimal"/>
      <w:start w:val="9"/>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2019-12-29T17:24:21Z</dcterms:created>
  <dcterms:modified xsi:type="dcterms:W3CDTF">2019-12-29T17:24:21Z</dcterms:modified>
</cp:coreProperties>
</file>