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10, 2021 (August 10,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001-33660</w:t>
            </w: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18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2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ind w:left="1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6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5180" w:type="dxa"/>
            <w:vAlign w:val="bottom"/>
            <w:tcBorders>
              <w:top w:val="single" w:sz="8" w:color="auto"/>
            </w:tcBorders>
          </w:tcPr>
          <w:p>
            <w:pPr>
              <w:jc w:val="center"/>
              <w:ind w:left="217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52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376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40" w:type="dxa"/>
            <w:vAlign w:val="bottom"/>
            <w:tcBorders>
              <w:right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jc w:val="center"/>
              <w:ind w:right="690"/>
              <w:spacing w:after="0"/>
              <w:rPr>
                <w:sz w:val="20"/>
                <w:szCs w:val="20"/>
                <w:color w:val="auto"/>
              </w:rPr>
            </w:pPr>
            <w:r>
              <w:rPr>
                <w:rFonts w:ascii="Arial" w:cs="Arial" w:eastAsia="Arial" w:hAnsi="Arial"/>
                <w:sz w:val="18"/>
                <w:szCs w:val="18"/>
                <w:color w:val="auto"/>
                <w:w w:val="92"/>
              </w:rPr>
              <w:t>Trading Symbol(s)</w:t>
            </w:r>
          </w:p>
        </w:tc>
        <w:tc>
          <w:tcPr>
            <w:tcW w:w="40" w:type="dxa"/>
            <w:vAlign w:val="bottom"/>
            <w:tcBorders>
              <w:right w:val="single" w:sz="8" w:color="auto"/>
            </w:tcBorders>
          </w:tcPr>
          <w:p>
            <w:pPr>
              <w:spacing w:after="0"/>
              <w:rPr>
                <w:sz w:val="18"/>
                <w:szCs w:val="18"/>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4"/>
        </w:trPr>
        <w:tc>
          <w:tcPr>
            <w:tcW w:w="60" w:type="dxa"/>
            <w:vAlign w:val="bottom"/>
          </w:tcPr>
          <w:p>
            <w:pPr>
              <w:spacing w:after="0"/>
              <w:rPr>
                <w:sz w:val="3"/>
                <w:szCs w:val="3"/>
                <w:color w:val="auto"/>
              </w:rPr>
            </w:pPr>
          </w:p>
        </w:tc>
        <w:tc>
          <w:tcPr>
            <w:tcW w:w="4540" w:type="dxa"/>
            <w:vAlign w:val="bottom"/>
            <w:gridSpan w:val="3"/>
          </w:tcPr>
          <w:p>
            <w:pPr>
              <w:spacing w:after="0"/>
              <w:rPr>
                <w:sz w:val="3"/>
                <w:szCs w:val="3"/>
                <w:color w:val="auto"/>
              </w:rPr>
            </w:pPr>
          </w:p>
        </w:tc>
        <w:tc>
          <w:tcPr>
            <w:tcW w:w="2860" w:type="dxa"/>
            <w:vAlign w:val="bottom"/>
          </w:tcPr>
          <w:p>
            <w:pPr>
              <w:spacing w:after="0"/>
              <w:rPr>
                <w:sz w:val="3"/>
                <w:szCs w:val="3"/>
                <w:color w:val="auto"/>
              </w:rPr>
            </w:pPr>
          </w:p>
        </w:tc>
        <w:tc>
          <w:tcPr>
            <w:tcW w:w="40" w:type="dxa"/>
            <w:vAlign w:val="bottom"/>
          </w:tcPr>
          <w:p>
            <w:pPr>
              <w:spacing w:after="0"/>
              <w:rPr>
                <w:sz w:val="3"/>
                <w:szCs w:val="3"/>
                <w:color w:val="auto"/>
              </w:rPr>
            </w:pPr>
          </w:p>
        </w:tc>
        <w:tc>
          <w:tcPr>
            <w:tcW w:w="3740" w:type="dxa"/>
            <w:vAlign w:val="bottom"/>
          </w:tcPr>
          <w:p>
            <w:pPr>
              <w:spacing w:after="0"/>
              <w:rPr>
                <w:sz w:val="3"/>
                <w:szCs w:val="3"/>
                <w:color w:val="auto"/>
              </w:rPr>
            </w:pPr>
          </w:p>
        </w:tc>
      </w:tr>
      <w:tr>
        <w:trPr>
          <w:trHeight w:val="203"/>
        </w:trPr>
        <w:tc>
          <w:tcPr>
            <w:tcW w:w="60" w:type="dxa"/>
            <w:vAlign w:val="bottom"/>
            <w:tcBorders>
              <w:right w:val="single" w:sz="8" w:color="auto"/>
            </w:tcBorders>
          </w:tcPr>
          <w:p>
            <w:pPr>
              <w:spacing w:after="0"/>
              <w:rPr>
                <w:sz w:val="17"/>
                <w:szCs w:val="17"/>
                <w:color w:val="auto"/>
              </w:rPr>
            </w:pPr>
          </w:p>
        </w:tc>
        <w:tc>
          <w:tcPr>
            <w:tcW w:w="3720" w:type="dxa"/>
            <w:vAlign w:val="bottom"/>
            <w:tcBorders>
              <w:top w:val="single" w:sz="8" w:color="auto"/>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Common Stock, $0.001</w:t>
            </w:r>
          </w:p>
        </w:tc>
        <w:tc>
          <w:tcPr>
            <w:tcW w:w="40" w:type="dxa"/>
            <w:vAlign w:val="bottom"/>
            <w:tcBorders>
              <w:right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tcPr>
          <w:p>
            <w:pPr>
              <w:jc w:val="center"/>
              <w:ind w:right="690"/>
              <w:spacing w:after="0" w:line="203" w:lineRule="exact"/>
              <w:rPr>
                <w:sz w:val="20"/>
                <w:szCs w:val="20"/>
                <w:color w:val="auto"/>
              </w:rPr>
            </w:pPr>
            <w:r>
              <w:rPr>
                <w:rFonts w:ascii="Arial" w:cs="Arial" w:eastAsia="Arial" w:hAnsi="Arial"/>
                <w:sz w:val="18"/>
                <w:szCs w:val="18"/>
                <w:color w:val="auto"/>
                <w:w w:val="95"/>
              </w:rPr>
              <w:t>CLRO</w:t>
            </w:r>
          </w:p>
        </w:tc>
        <w:tc>
          <w:tcPr>
            <w:tcW w:w="40" w:type="dxa"/>
            <w:vAlign w:val="bottom"/>
            <w:tcBorders>
              <w:right w:val="single" w:sz="8" w:color="auto"/>
            </w:tcBorders>
          </w:tcPr>
          <w:p>
            <w:pPr>
              <w:spacing w:after="0"/>
              <w:rPr>
                <w:sz w:val="17"/>
                <w:szCs w:val="17"/>
                <w:color w:val="auto"/>
              </w:rPr>
            </w:pPr>
          </w:p>
        </w:tc>
        <w:tc>
          <w:tcPr>
            <w:tcW w:w="3740" w:type="dxa"/>
            <w:vAlign w:val="bottom"/>
            <w:tcBorders>
              <w:top w:val="single" w:sz="8" w:color="auto"/>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5"/>
              </w:rPr>
              <w:t>The NASDAQ Capital Market</w:t>
            </w:r>
          </w:p>
        </w:tc>
      </w:tr>
    </w:tbl>
    <w:p>
      <w:pPr>
        <w:spacing w:after="0" w:line="225" w:lineRule="exact"/>
        <w:rPr>
          <w:sz w:val="24"/>
          <w:szCs w:val="24"/>
          <w:color w:val="auto"/>
        </w:rPr>
      </w:pPr>
    </w:p>
    <w:p>
      <w:pPr>
        <w:ind w:right="520"/>
        <w:spacing w:after="0" w:line="224"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10, 2021, ClearOne, Inc. (the “Company”) issued a press release announcing its financial results for the three and six months ended June 30, 2021.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56"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of ClearOne, Inc. dated August 10, 2021.</w:t>
        </w:r>
      </w:hyperlink>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104.1</w:t>
      </w:r>
      <w:r>
        <w:rPr>
          <w:sz w:val="20"/>
          <w:szCs w:val="20"/>
          <w:color w:val="auto"/>
        </w:rPr>
        <w:tab/>
      </w:r>
      <w:r>
        <w:rPr>
          <w:rFonts w:ascii="Arial" w:cs="Arial" w:eastAsia="Arial" w:hAnsi="Arial"/>
          <w:sz w:val="16"/>
          <w:szCs w:val="16"/>
          <w:color w:val="auto"/>
        </w:rPr>
        <w:t>The cover page from this Current Report on Form 8-K, formatted in Inline XBRL.</w:t>
      </w:r>
    </w:p>
    <w:p>
      <w:pPr>
        <w:spacing w:after="0" w:line="2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1700"/>
              <w:spacing w:after="0"/>
              <w:rPr>
                <w:sz w:val="20"/>
                <w:szCs w:val="20"/>
                <w:color w:val="auto"/>
              </w:rPr>
            </w:pPr>
            <w:r>
              <w:rPr>
                <w:rFonts w:ascii="Arial" w:cs="Arial" w:eastAsia="Arial" w:hAnsi="Arial"/>
                <w:sz w:val="18"/>
                <w:szCs w:val="18"/>
                <w:color w:val="auto"/>
              </w:rPr>
              <w:t>CLEARONE, INC.</w:t>
            </w:r>
          </w:p>
        </w:tc>
      </w:tr>
      <w:tr>
        <w:trPr>
          <w:trHeight w:val="459"/>
        </w:trPr>
        <w:tc>
          <w:tcPr>
            <w:tcW w:w="3340" w:type="dxa"/>
            <w:vAlign w:val="bottom"/>
          </w:tcPr>
          <w:p>
            <w:pPr>
              <w:spacing w:after="0"/>
              <w:rPr>
                <w:sz w:val="20"/>
                <w:szCs w:val="20"/>
                <w:color w:val="auto"/>
              </w:rPr>
            </w:pPr>
            <w:r>
              <w:rPr>
                <w:rFonts w:ascii="Arial" w:cs="Arial" w:eastAsia="Arial" w:hAnsi="Arial"/>
                <w:sz w:val="18"/>
                <w:szCs w:val="18"/>
                <w:color w:val="auto"/>
              </w:rPr>
              <w:t>Date: August 10, 2021</w:t>
            </w:r>
          </w:p>
        </w:tc>
        <w:tc>
          <w:tcPr>
            <w:tcW w:w="7900" w:type="dxa"/>
            <w:vAlign w:val="bottom"/>
            <w:gridSpan w:val="2"/>
          </w:tcPr>
          <w:p>
            <w:pPr>
              <w:ind w:left="17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ClearOne Reports Second Quarter 2021 Financial Results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Overall revenue grows 22%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BMA 360 leads microphone revenue growth of 70%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i w:val="1"/>
          <w:iCs w:val="1"/>
          <w:color w:val="auto"/>
        </w:rPr>
        <w:t>Non-GAAP Operating loss decreases 33%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i w:val="1"/>
          <w:iCs w:val="1"/>
          <w:color w:val="auto"/>
        </w:rPr>
        <w:t>Gross Profit Margin improves from 41% to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SALT LAKE CITY, UTAH – August 10, 2021 – </w:t>
      </w:r>
      <w:r>
        <w:rPr>
          <w:rFonts w:ascii="Arial" w:cs="Arial" w:eastAsia="Arial" w:hAnsi="Arial"/>
          <w:sz w:val="21"/>
          <w:szCs w:val="21"/>
          <w:color w:val="auto"/>
        </w:rPr>
        <w:t>ClearOne</w:t>
      </w:r>
      <w:r>
        <w:rPr>
          <w:rFonts w:ascii="Arial" w:cs="Arial" w:eastAsia="Arial" w:hAnsi="Arial"/>
          <w:sz w:val="18"/>
          <w:szCs w:val="18"/>
          <w:color w:val="auto"/>
        </w:rPr>
        <w:t xml:space="preserve"> (NASDAQ: CLRO), a global provider of audio and visual communication solutions, reported financial results for the three and six months ended June 30, 2021.</w:t>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“ClearOne had another solid quarter with great progress on all fronts – operations, market recognition, new product introductions, and our continuing patent litigation,” said Zee Hakimoglu, CEO and Chair of ClearOne.</w:t>
      </w:r>
    </w:p>
    <w:p>
      <w:pPr>
        <w:spacing w:after="0" w:line="121" w:lineRule="exact"/>
        <w:rPr>
          <w:sz w:val="20"/>
          <w:szCs w:val="20"/>
          <w:color w:val="auto"/>
        </w:rPr>
      </w:pPr>
    </w:p>
    <w:p>
      <w:pPr>
        <w:ind w:right="60" w:firstLine="45"/>
        <w:spacing w:after="0" w:line="214" w:lineRule="auto"/>
        <w:rPr>
          <w:sz w:val="20"/>
          <w:szCs w:val="20"/>
          <w:color w:val="auto"/>
        </w:rPr>
      </w:pPr>
      <w:r>
        <w:rPr>
          <w:rFonts w:ascii="Arial" w:cs="Arial" w:eastAsia="Arial" w:hAnsi="Arial"/>
          <w:sz w:val="18"/>
          <w:szCs w:val="18"/>
          <w:color w:val="auto"/>
        </w:rPr>
        <w:t>“Our second quarter financial performance marks our fourth consecutive quarter of year over year revenue growth and underlines the continued success of our core strategic initiatives. During the quarter TMCnet, a renowned full-service news portal covering communications and technology industry, acknowledged our BMA 360 by conferring the ‘Communications Solutions Product of the Year Award’. We believe our new BMA 360 beamforming microphone array is the world's most technologically advanced beamforming microphone array ceiling tile, now with Voice Lift capability, delivering unrivaled audio performance and deployment ease. We are honored that the judges at TMC recognized the innovative breakthroughs the BMA 360 delivers,” Hakimoglu added.</w:t>
      </w:r>
    </w:p>
    <w:p>
      <w:pPr>
        <w:spacing w:after="0" w:line="125" w:lineRule="exact"/>
        <w:rPr>
          <w:sz w:val="20"/>
          <w:szCs w:val="20"/>
          <w:color w:val="auto"/>
        </w:rPr>
      </w:pPr>
    </w:p>
    <w:p>
      <w:pPr>
        <w:ind w:right="20" w:firstLine="45"/>
        <w:spacing w:after="0" w:line="201" w:lineRule="auto"/>
        <w:rPr>
          <w:sz w:val="20"/>
          <w:szCs w:val="20"/>
          <w:color w:val="auto"/>
        </w:rPr>
      </w:pPr>
      <w:r>
        <w:rPr>
          <w:rFonts w:ascii="Arial" w:cs="Arial" w:eastAsia="Arial" w:hAnsi="Arial"/>
          <w:sz w:val="18"/>
          <w:szCs w:val="18"/>
          <w:color w:val="auto"/>
        </w:rPr>
        <w:t>“In early July, we introduced the UNITE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180 ePTZ professional camera that provides a full 180-degree panoramic field-of-view with “real-time stitching” to achieve a variety of useful viewing modes for any application and environment. Designed for professional-quality visual collaboration, conferencing, UC applications, distance learning, and more, the new UNITE 180 camera provides six viewing mode options as well as panoramic view for the ultimate in camera flexibility. Real-time stitching creates a seamless 180-degree panoramic view of wide spaces by bringing the views of multiple lenses together as one complete image. Large classroom settings, training centers, or any wide conferencing area are all captured and presented with perfect clarity in any of the viewing mode options. A 4x zoom further enhances the UNITE 180 feature set. The UNITE 180 is compatible with all popular cloud-based video collaboration applications including Microsoft Teams, Zoom, WebEx, Google Meet, ClearOne’s COLLABORATE Space and others,” Hakimoglu added.</w:t>
      </w:r>
    </w:p>
    <w:p>
      <w:pPr>
        <w:spacing w:after="0" w:line="137" w:lineRule="exact"/>
        <w:rPr>
          <w:sz w:val="20"/>
          <w:szCs w:val="20"/>
          <w:color w:val="auto"/>
        </w:rPr>
      </w:pPr>
    </w:p>
    <w:p>
      <w:pPr>
        <w:ind w:firstLine="45"/>
        <w:spacing w:after="0" w:line="225" w:lineRule="auto"/>
        <w:rPr>
          <w:sz w:val="20"/>
          <w:szCs w:val="20"/>
          <w:color w:val="auto"/>
        </w:rPr>
      </w:pPr>
      <w:r>
        <w:rPr>
          <w:rFonts w:ascii="Arial" w:cs="Arial" w:eastAsia="Arial" w:hAnsi="Arial"/>
          <w:sz w:val="17"/>
          <w:szCs w:val="17"/>
          <w:color w:val="auto"/>
        </w:rPr>
        <w:t>“Also, later in July, we announced the market introduction of our new Versa Mediabar, the company’s first professional quality all-in-one audio and video capture device that combines the elegance and simplicity of a soundbar with the power of ClearOne’s intelligent audio capture and 4K camera technologies. Versa Mediabar provides high-quality visual collaboration, audio conferencing, and UC applications from a single integrated device, offering the simplest solution available for offices, conference rooms and home offices with virtually no setup required. Versa Mediabar delivers video conferencing equipment that looks and sounds excellent but also works right away, every time, without training or troubleshooting. With a compact design that can be mounted on a wall or attached to a video display, the Versa Mediabar connects via a single USB cable to elevate the soundbar concept into a powerful tool for virtual collaboration that includes AI-enabled auto-framing and people tracking.”</w:t>
      </w:r>
    </w:p>
    <w:p>
      <w:pPr>
        <w:spacing w:after="0" w:line="12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continue to prosecute our intellectual property claims against Shure. On July 21, the Federal Circuit dismissed an appeal filed before that court by Shure Incorporated (“Shure”). Through the appeal, Shure sought to overturn an order of the U.S. District Court for the Northern District of Illinois that held Shure in contempt for marketing and selling its MXA910-A product (“Contempt Order”). By dismissing the appeal, the Federal Circuit left the Contempt Order intact and ordered Shure to pay certain costs that ClearOne incurred in responding to Shure's appeal,” concluded Hakimoglu.</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171" w:lineRule="exact"/>
        <w:rPr>
          <w:sz w:val="20"/>
          <w:szCs w:val="20"/>
          <w:color w:val="auto"/>
        </w:rPr>
      </w:pPr>
    </w:p>
    <w:p>
      <w:pPr>
        <w:ind w:left="540" w:right="120"/>
        <w:spacing w:after="0" w:line="259" w:lineRule="auto"/>
        <w:rPr>
          <w:sz w:val="20"/>
          <w:szCs w:val="20"/>
          <w:color w:val="auto"/>
        </w:rPr>
      </w:pPr>
      <w:r>
        <w:rPr>
          <w:rFonts w:ascii="Arial" w:cs="Arial" w:eastAsia="Arial" w:hAnsi="Arial"/>
          <w:sz w:val="17"/>
          <w:szCs w:val="17"/>
          <w:color w:val="auto"/>
        </w:rPr>
        <w:t>Revenue in 2021-Q2 was $7.7 million, compared to $6.4 million in 2020-Q2 and $7.0 million in 2021-Q1. The increase in year-over-year revenue was mainly due to a big increase in revenue from microphones revenue led by our new solutions incorporating BMA-CT and BMA 360 and increase in revenue from professional audio mixers, partially offset by a decline in revenue from our video products. The sequential increase is due to typical seasonality in quarterly revenues. Despite this year-over-year revenue growth in Q2 2021, revenue from our audio conferencing products and microphones are far below the levels prior to infringement of our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-621030</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540" w:right="360"/>
        <w:spacing w:after="0" w:line="243" w:lineRule="auto"/>
        <w:rPr>
          <w:sz w:val="20"/>
          <w:szCs w:val="20"/>
          <w:color w:val="auto"/>
        </w:rPr>
      </w:pPr>
      <w:r>
        <w:rPr>
          <w:rFonts w:ascii="Arial" w:cs="Arial" w:eastAsia="Arial" w:hAnsi="Arial"/>
          <w:sz w:val="18"/>
          <w:szCs w:val="18"/>
          <w:color w:val="auto"/>
        </w:rPr>
        <w:t>GAAP gross profit in 2021-Q2 was $3.4 million compared to $2.6 million in 2020-Q2 and $3.0 million in 2021-Q1. GAAP gross profit margin was 44.3% in 2021-Q2, compared to 41.2% in 2020-Q2 and 42.7% in 2021-Q1. Gross profit margin in 2021-Q2 increased from 2020-Q2 due to decreased freight, tariff costs and inventory obsolescence costs as a percentage of revenue, partially offset by increase in material costs and overhead costs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-483870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1" w:lineRule="exact"/>
        <w:rPr>
          <w:sz w:val="20"/>
          <w:szCs w:val="20"/>
          <w:color w:val="auto"/>
        </w:rPr>
      </w:pPr>
    </w:p>
    <w:p>
      <w:pPr>
        <w:ind w:left="540" w:right="540"/>
        <w:spacing w:after="0" w:line="294" w:lineRule="auto"/>
        <w:rPr>
          <w:sz w:val="20"/>
          <w:szCs w:val="20"/>
          <w:color w:val="auto"/>
        </w:rPr>
      </w:pPr>
      <w:r>
        <w:rPr>
          <w:rFonts w:ascii="Arial" w:cs="Arial" w:eastAsia="Arial" w:hAnsi="Arial"/>
          <w:sz w:val="16"/>
          <w:szCs w:val="16"/>
          <w:color w:val="auto"/>
        </w:rPr>
        <w:t>Operating expenses in 2021-Q2 were $4.9 million, compared to $4.5 million in 2020-Q2 and $4.5 million in 2021-Q1. Non-GAAP operating expenses in 2021-Q2 were $4.3 million, compared to $4.0 million in 2020-Q2 and $4.0 million in 2021-Q1. The year over year increase in operating expenses is mainly due to increased sales commissions and due to one-time employment termination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-381000</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7" w:lineRule="exact"/>
        <w:rPr>
          <w:sz w:val="20"/>
          <w:szCs w:val="20"/>
          <w:color w:val="auto"/>
        </w:rPr>
      </w:pPr>
    </w:p>
    <w:p>
      <w:pPr>
        <w:jc w:val="both"/>
        <w:ind w:left="540" w:right="20"/>
        <w:spacing w:after="0" w:line="248" w:lineRule="auto"/>
        <w:rPr>
          <w:sz w:val="20"/>
          <w:szCs w:val="20"/>
          <w:color w:val="auto"/>
        </w:rPr>
      </w:pPr>
      <w:r>
        <w:rPr>
          <w:rFonts w:ascii="Arial" w:cs="Arial" w:eastAsia="Arial" w:hAnsi="Arial"/>
          <w:sz w:val="18"/>
          <w:szCs w:val="18"/>
          <w:color w:val="auto"/>
        </w:rPr>
        <w:t>GAAP net loss in 2021-Q2 was $1.6 million, or $0.08 per share, compared to net loss of $1.9 million, or $0.12 per share, in 2020-Q2 and net loss of $1.7 million, or $0.08 per share, in 2021-Q1. The year-over-year decline in GAAP net loss was primarily due to increase in gross profit attributable to increase in revenue partially offset by increase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-358775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2620" w:type="dxa"/>
            <w:vAlign w:val="bottom"/>
            <w:gridSpan w:val="3"/>
          </w:tcPr>
          <w:p>
            <w:pPr>
              <w:spacing w:after="0"/>
              <w:rPr>
                <w:sz w:val="20"/>
                <w:szCs w:val="20"/>
                <w:color w:val="auto"/>
              </w:rPr>
            </w:pPr>
            <w:r>
              <w:rPr>
                <w:rFonts w:ascii="Arial" w:cs="Arial" w:eastAsia="Arial" w:hAnsi="Arial"/>
                <w:sz w:val="16"/>
                <w:szCs w:val="16"/>
                <w:b w:val="1"/>
                <w:bCs w:val="1"/>
                <w:color w:val="auto"/>
              </w:rPr>
              <w:t>($ in 000, except per share)</w:t>
            </w:r>
          </w:p>
        </w:tc>
        <w:tc>
          <w:tcPr>
            <w:tcW w:w="180" w:type="dxa"/>
            <w:vAlign w:val="bottom"/>
          </w:tcPr>
          <w:p>
            <w:pPr>
              <w:spacing w:after="0"/>
              <w:rPr>
                <w:sz w:val="20"/>
                <w:szCs w:val="20"/>
                <w:color w:val="auto"/>
              </w:rPr>
            </w:pPr>
          </w:p>
        </w:tc>
        <w:tc>
          <w:tcPr>
            <w:tcW w:w="3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S</w:t>
            </w:r>
            <w:r>
              <w:rPr>
                <w:rFonts w:ascii="Arial" w:cs="Arial" w:eastAsia="Arial" w:hAnsi="Arial"/>
                <w:sz w:val="16"/>
                <w:szCs w:val="16"/>
                <w:b w:val="1"/>
                <w:bCs w:val="1"/>
                <w:color w:val="auto"/>
              </w:rPr>
              <w:t>ix months ended June 30,</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8"/>
                <w:szCs w:val="18"/>
                <w:color w:val="auto"/>
              </w:rPr>
            </w:pPr>
          </w:p>
        </w:tc>
        <w:tc>
          <w:tcPr>
            <w:tcW w:w="1420" w:type="dxa"/>
            <w:vAlign w:val="bottom"/>
          </w:tcPr>
          <w:p>
            <w:pPr>
              <w:jc w:val="right"/>
              <w:ind w:right="811"/>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ind w:left="20"/>
              <w:spacing w:after="0"/>
              <w:rPr>
                <w:sz w:val="20"/>
                <w:szCs w:val="20"/>
                <w:color w:val="auto"/>
              </w:rPr>
            </w:pPr>
            <w:r>
              <w:rPr>
                <w:rFonts w:ascii="Arial" w:cs="Arial" w:eastAsia="Arial" w:hAnsi="Arial"/>
                <w:sz w:val="16"/>
                <w:szCs w:val="16"/>
                <w:b w:val="1"/>
                <w:bCs w:val="1"/>
                <w:color w:val="auto"/>
                <w:w w:val="91"/>
              </w:rPr>
              <w:t>Change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8"/>
                <w:szCs w:val="18"/>
                <w:color w:val="auto"/>
              </w:rPr>
            </w:pPr>
          </w:p>
        </w:tc>
        <w:tc>
          <w:tcPr>
            <w:tcW w:w="130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ind w:left="14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r>
      <w:tr>
        <w:trPr>
          <w:trHeight w:val="209"/>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5"/>
              </w:rPr>
              <w:t>GAAP</w:t>
            </w:r>
          </w:p>
        </w:tc>
        <w:tc>
          <w:tcPr>
            <w:tcW w:w="2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7,735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6,357</w:t>
            </w:r>
          </w:p>
        </w:tc>
        <w:tc>
          <w:tcPr>
            <w:tcW w:w="5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14,773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12,091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4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3,424</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2,618</w:t>
            </w:r>
          </w:p>
        </w:tc>
        <w:tc>
          <w:tcPr>
            <w:tcW w:w="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6,427</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5,456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29"/>
        </w:trPr>
        <w:tc>
          <w:tcPr>
            <w:tcW w:w="4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4,910</w:t>
            </w:r>
          </w:p>
        </w:tc>
        <w:tc>
          <w:tcPr>
            <w:tcW w:w="380" w:type="dxa"/>
            <w:vAlign w:val="bottom"/>
          </w:tcPr>
          <w:p>
            <w:pPr>
              <w:spacing w:after="0"/>
              <w:rPr>
                <w:sz w:val="19"/>
                <w:szCs w:val="19"/>
                <w:color w:val="auto"/>
              </w:rPr>
            </w:pP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4,457</w:t>
            </w:r>
          </w:p>
        </w:tc>
        <w:tc>
          <w:tcPr>
            <w:tcW w:w="5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9,437</w:t>
            </w:r>
          </w:p>
        </w:tc>
        <w:tc>
          <w:tcPr>
            <w:tcW w:w="38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9,046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4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(1,839)</w:t>
            </w:r>
          </w:p>
        </w:tc>
        <w:tc>
          <w:tcPr>
            <w:tcW w:w="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(3,590)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29"/>
        </w:trPr>
        <w:tc>
          <w:tcPr>
            <w:tcW w:w="4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(1,586)</w:t>
            </w:r>
          </w:p>
        </w:tc>
        <w:tc>
          <w:tcPr>
            <w:tcW w:w="380" w:type="dxa"/>
            <w:vAlign w:val="bottom"/>
          </w:tcPr>
          <w:p>
            <w:pPr>
              <w:spacing w:after="0"/>
              <w:rPr>
                <w:sz w:val="19"/>
                <w:szCs w:val="19"/>
                <w:color w:val="auto"/>
              </w:rPr>
            </w:pP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(1,937)</w:t>
            </w:r>
          </w:p>
        </w:tc>
        <w:tc>
          <w:tcPr>
            <w:tcW w:w="5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(3,241)</w:t>
            </w:r>
          </w:p>
        </w:tc>
        <w:tc>
          <w:tcPr>
            <w:tcW w:w="380" w:type="dxa"/>
            <w:vAlign w:val="bottom"/>
          </w:tcPr>
          <w:p>
            <w:pPr>
              <w:spacing w:after="0"/>
              <w:rPr>
                <w:sz w:val="19"/>
                <w:szCs w:val="19"/>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(3,784)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29"/>
        </w:trPr>
        <w:tc>
          <w:tcPr>
            <w:tcW w:w="4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(0.12)</w:t>
            </w:r>
          </w:p>
        </w:tc>
        <w:tc>
          <w:tcPr>
            <w:tcW w:w="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189"/>
        </w:trPr>
        <w:tc>
          <w:tcPr>
            <w:tcW w:w="40" w:type="dxa"/>
            <w:vAlign w:val="bottom"/>
          </w:tcPr>
          <w:p>
            <w:pPr>
              <w:spacing w:after="0"/>
              <w:rPr>
                <w:sz w:val="16"/>
                <w:szCs w:val="16"/>
                <w:color w:val="auto"/>
              </w:rPr>
            </w:pPr>
          </w:p>
        </w:tc>
        <w:tc>
          <w:tcPr>
            <w:tcW w:w="26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Non-GAAP</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3,426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2,618</w:t>
            </w:r>
          </w:p>
        </w:tc>
        <w:tc>
          <w:tcPr>
            <w:tcW w:w="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6,432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5,458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29"/>
        </w:trPr>
        <w:tc>
          <w:tcPr>
            <w:tcW w:w="4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Non-GAAP operating expenses</w:t>
            </w:r>
          </w:p>
        </w:tc>
        <w:tc>
          <w:tcPr>
            <w:tcW w:w="18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4,336</w:t>
            </w:r>
          </w:p>
        </w:tc>
        <w:tc>
          <w:tcPr>
            <w:tcW w:w="380" w:type="dxa"/>
            <w:vAlign w:val="bottom"/>
          </w:tcPr>
          <w:p>
            <w:pPr>
              <w:spacing w:after="0"/>
              <w:rPr>
                <w:sz w:val="19"/>
                <w:szCs w:val="19"/>
                <w:color w:val="auto"/>
              </w:rPr>
            </w:pP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4,034</w:t>
            </w:r>
          </w:p>
        </w:tc>
        <w:tc>
          <w:tcPr>
            <w:tcW w:w="5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8,324</w:t>
            </w:r>
          </w:p>
        </w:tc>
        <w:tc>
          <w:tcPr>
            <w:tcW w:w="38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8,220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4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(1,416)</w:t>
            </w:r>
          </w:p>
        </w:tc>
        <w:tc>
          <w:tcPr>
            <w:tcW w:w="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(2,762)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29"/>
        </w:trPr>
        <w:tc>
          <w:tcPr>
            <w:tcW w:w="4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Non-GAAP net loss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(1,010)</w:t>
            </w:r>
          </w:p>
        </w:tc>
        <w:tc>
          <w:tcPr>
            <w:tcW w:w="380" w:type="dxa"/>
            <w:vAlign w:val="bottom"/>
          </w:tcPr>
          <w:p>
            <w:pPr>
              <w:spacing w:after="0"/>
              <w:rPr>
                <w:sz w:val="19"/>
                <w:szCs w:val="19"/>
                <w:color w:val="auto"/>
              </w:rPr>
            </w:pP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(1,514)</w:t>
            </w:r>
          </w:p>
        </w:tc>
        <w:tc>
          <w:tcPr>
            <w:tcW w:w="5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(2,123)</w:t>
            </w:r>
          </w:p>
        </w:tc>
        <w:tc>
          <w:tcPr>
            <w:tcW w:w="380" w:type="dxa"/>
            <w:vAlign w:val="bottom"/>
          </w:tcPr>
          <w:p>
            <w:pPr>
              <w:spacing w:after="0"/>
              <w:rPr>
                <w:sz w:val="19"/>
                <w:szCs w:val="19"/>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(2,956)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4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(1,296)</w:t>
            </w:r>
          </w:p>
        </w:tc>
        <w:tc>
          <w:tcPr>
            <w:tcW w:w="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40" w:type="dxa"/>
            <w:vAlign w:val="bottom"/>
          </w:tcPr>
          <w:p>
            <w:pPr>
              <w:spacing w:after="0"/>
              <w:rPr>
                <w:sz w:val="20"/>
                <w:szCs w:val="20"/>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w w:val="93"/>
              </w:rPr>
              <w:t>Non-GAAP loss per share (diluted)</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20"/>
                <w:szCs w:val="20"/>
                <w:color w:val="auto"/>
              </w:rPr>
            </w:pP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(0.09)</w:t>
            </w:r>
          </w:p>
        </w:tc>
        <w:tc>
          <w:tcPr>
            <w:tcW w:w="58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(0.11)</w:t>
            </w:r>
          </w:p>
        </w:tc>
        <w:tc>
          <w:tcPr>
            <w:tcW w:w="38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(0.18)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4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At June 30, 2021, cash, cash equivalents and investments were $4.1 million, as compared to $6.7 million at December 31, 2020. At June 30, 2021, the Company carries a debt of $4.1 million on account of senior convertible notes issued in December 2020 and a Paycheck Protection Program (PPP) loan in April 2020. The Company believes the entire PPP loan will be forgiven.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ClearOne</w:t>
      </w:r>
    </w:p>
    <w:p>
      <w:pPr>
        <w:spacing w:after="0" w:line="14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66"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2020 (the “10-K”), the footnotes thereto and the limitations set forth therein. Investors may not rely on the press release without reference to the 10-Q, the 10-K and the Public Filings.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par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7"/>
              </w:rPr>
              <w:t>June 30, 2021</w:t>
            </w: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2020</w:t>
            </w:r>
          </w:p>
        </w:tc>
      </w:tr>
      <w:tr>
        <w:trPr>
          <w:trHeight w:val="212"/>
        </w:trPr>
        <w:tc>
          <w:tcPr>
            <w:tcW w:w="742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8"/>
                <w:szCs w:val="18"/>
                <w:b w:val="1"/>
                <w:bCs w:val="1"/>
                <w:color w:val="auto"/>
              </w:rPr>
              <w:t>ASSETS</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969</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3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net of allowance for doubtful accounts of $506</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5,305</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w:t>
            </w: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9,203</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10,463</w:t>
            </w:r>
          </w:p>
        </w:tc>
      </w:tr>
      <w:tr>
        <w:trPr>
          <w:trHeight w:val="229"/>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7,220</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7,169</w:t>
            </w:r>
          </w:p>
        </w:tc>
      </w:tr>
      <w:tr>
        <w:trPr>
          <w:trHeight w:val="230"/>
        </w:trPr>
        <w:tc>
          <w:tcPr>
            <w:tcW w:w="742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1,273</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r>
      <w:tr>
        <w:trPr>
          <w:trHeight w:val="209"/>
        </w:trPr>
        <w:tc>
          <w:tcPr>
            <w:tcW w:w="7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26,058</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20" w:type="dxa"/>
            <w:vAlign w:val="bottom"/>
          </w:tcPr>
          <w:p>
            <w:pPr>
              <w:ind w:left="40"/>
              <w:spacing w:after="0"/>
              <w:rPr>
                <w:sz w:val="20"/>
                <w:szCs w:val="20"/>
                <w:color w:val="auto"/>
              </w:rPr>
            </w:pPr>
            <w:r>
              <w:rPr>
                <w:rFonts w:ascii="Arial" w:cs="Arial" w:eastAsia="Arial" w:hAnsi="Arial"/>
                <w:sz w:val="18"/>
                <w:szCs w:val="18"/>
                <w:color w:val="auto"/>
              </w:rPr>
              <w:t>Long-term marketable securities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r>
      <w:tr>
        <w:trPr>
          <w:trHeight w:val="229"/>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inventories, net</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3,979</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753</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3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 right of use assets, net</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1,645</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w:t>
            </w: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21,547</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19,248</w:t>
            </w:r>
          </w:p>
        </w:tc>
      </w:tr>
      <w:tr>
        <w:trPr>
          <w:trHeight w:val="229"/>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w:t>
            </w:r>
          </w:p>
        </w:tc>
      </w:tr>
      <w:tr>
        <w:trPr>
          <w:trHeight w:val="250"/>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59,610</w:t>
            </w:r>
          </w:p>
        </w:tc>
        <w:tc>
          <w:tcPr>
            <w:tcW w:w="2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tcPr>
          <w:p>
            <w:pPr>
              <w:spacing w:after="0"/>
              <w:rPr>
                <w:sz w:val="21"/>
                <w:szCs w:val="21"/>
                <w:color w:val="auto"/>
              </w:rPr>
            </w:pPr>
          </w:p>
        </w:tc>
      </w:tr>
      <w:tr>
        <w:trPr>
          <w:trHeight w:val="197"/>
        </w:trPr>
        <w:tc>
          <w:tcPr>
            <w:tcW w:w="7420" w:type="dxa"/>
            <w:vAlign w:val="bottom"/>
            <w:shd w:val="clear" w:color="auto" w:fill="CCEEFF"/>
          </w:tcPr>
          <w:p>
            <w:pPr>
              <w:ind w:left="190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4,046</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r>
      <w:tr>
        <w:trPr>
          <w:trHeight w:val="230"/>
        </w:trPr>
        <w:tc>
          <w:tcPr>
            <w:tcW w:w="74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3,162</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r>
      <w:tr>
        <w:trPr>
          <w:trHeight w:val="229"/>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product revenue</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30"/>
        </w:trPr>
        <w:tc>
          <w:tcPr>
            <w:tcW w:w="742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1,227</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r>
        <w:trPr>
          <w:trHeight w:val="210"/>
        </w:trPr>
        <w:tc>
          <w:tcPr>
            <w:tcW w:w="7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2,609</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r>
      <w:tr>
        <w:trPr>
          <w:trHeight w:val="23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liability, net of current</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30"/>
        </w:trPr>
        <w:tc>
          <w:tcPr>
            <w:tcW w:w="74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5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0"/>
        </w:trPr>
        <w:tc>
          <w:tcPr>
            <w:tcW w:w="7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2"/>
        </w:trPr>
        <w:tc>
          <w:tcPr>
            <w:tcW w:w="7420" w:type="dxa"/>
            <w:vAlign w:val="bottom"/>
          </w:tcPr>
          <w:p>
            <w:pPr>
              <w:ind w:left="40"/>
              <w:spacing w:after="0" w:line="201" w:lineRule="exact"/>
              <w:rPr>
                <w:sz w:val="20"/>
                <w:szCs w:val="20"/>
                <w:color w:val="auto"/>
              </w:rPr>
            </w:pPr>
            <w:r>
              <w:rPr>
                <w:rFonts w:ascii="Arial" w:cs="Arial" w:eastAsia="Arial" w:hAnsi="Arial"/>
                <w:sz w:val="18"/>
                <w:szCs w:val="18"/>
                <w:color w:val="auto"/>
                <w:w w:val="96"/>
              </w:rPr>
              <w:t>Common stock, par value $0.001, 50,000,000 shares authorized, 18,779,781 shares issued and</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19</w:t>
            </w:r>
          </w:p>
        </w:tc>
        <w:tc>
          <w:tcPr>
            <w:tcW w:w="500" w:type="dxa"/>
            <w:vAlign w:val="bottom"/>
          </w:tcPr>
          <w:p>
            <w:pPr>
              <w:spacing w:after="0"/>
              <w:rPr>
                <w:sz w:val="17"/>
                <w:szCs w:val="17"/>
                <w:color w:val="auto"/>
              </w:rPr>
            </w:pPr>
          </w:p>
        </w:tc>
        <w:tc>
          <w:tcPr>
            <w:tcW w:w="10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19</w:t>
            </w:r>
          </w:p>
        </w:tc>
      </w:tr>
      <w:tr>
        <w:trPr>
          <w:trHeight w:val="230"/>
        </w:trPr>
        <w:tc>
          <w:tcPr>
            <w:tcW w:w="742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63,431</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63,359</w:t>
            </w:r>
          </w:p>
        </w:tc>
      </w:tr>
      <w:tr>
        <w:trPr>
          <w:trHeight w:val="230"/>
        </w:trPr>
        <w:tc>
          <w:tcPr>
            <w:tcW w:w="74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5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29"/>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(16,619)</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(13,378)</w:t>
            </w:r>
          </w:p>
        </w:tc>
      </w:tr>
      <w:tr>
        <w:trPr>
          <w:trHeight w:val="210"/>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6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46,618</w:t>
            </w:r>
          </w:p>
        </w:tc>
        <w:tc>
          <w:tcPr>
            <w:tcW w:w="2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100" w:type="dxa"/>
            <w:vAlign w:val="bottom"/>
            <w:tcBorders>
              <w:bottom w:val="single" w:sz="8" w:color="CCEEFF"/>
            </w:tcBorders>
          </w:tcPr>
          <w:p>
            <w:pPr>
              <w:spacing w:after="0"/>
              <w:rPr>
                <w:sz w:val="18"/>
                <w:szCs w:val="18"/>
                <w:color w:val="auto"/>
              </w:rPr>
            </w:pPr>
          </w:p>
        </w:tc>
      </w:tr>
      <w:tr>
        <w:trPr>
          <w:trHeight w:val="210"/>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59,610</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7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jc w:val="right"/>
              <w:ind w:right="230"/>
              <w:spacing w:after="0"/>
              <w:rPr>
                <w:sz w:val="20"/>
                <w:szCs w:val="20"/>
                <w:color w:val="auto"/>
              </w:rPr>
            </w:pPr>
            <w:r>
              <w:rPr>
                <w:rFonts w:ascii="Arial" w:cs="Arial" w:eastAsia="Arial" w:hAnsi="Arial"/>
                <w:sz w:val="16"/>
                <w:szCs w:val="16"/>
                <w:b w:val="1"/>
                <w:bCs w:val="1"/>
                <w:color w:val="auto"/>
                <w:w w:val="93"/>
              </w:rPr>
              <w:t>Three months ended June 30,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5"/>
          </w:tcPr>
          <w:p>
            <w:pPr>
              <w:jc w:val="right"/>
              <w:ind w:right="560"/>
              <w:spacing w:after="0"/>
              <w:rPr>
                <w:sz w:val="20"/>
                <w:szCs w:val="20"/>
                <w:color w:val="auto"/>
              </w:rPr>
            </w:pPr>
            <w:r>
              <w:rPr>
                <w:rFonts w:ascii="Arial" w:cs="Arial" w:eastAsia="Arial" w:hAnsi="Arial"/>
                <w:sz w:val="18"/>
                <w:szCs w:val="18"/>
                <w:color w:val="auto"/>
                <w:w w:val="96"/>
              </w:rPr>
              <w:t>S</w:t>
            </w:r>
            <w:r>
              <w:rPr>
                <w:rFonts w:ascii="Arial" w:cs="Arial" w:eastAsia="Arial" w:hAnsi="Arial"/>
                <w:sz w:val="16"/>
                <w:szCs w:val="16"/>
                <w:b w:val="1"/>
                <w:bCs w:val="1"/>
                <w:color w:val="auto"/>
                <w:w w:val="96"/>
              </w:rPr>
              <w:t>ix months ended June 30,</w:t>
            </w:r>
          </w:p>
        </w:tc>
        <w:tc>
          <w:tcPr>
            <w:tcW w:w="0" w:type="dxa"/>
            <w:vAlign w:val="bottom"/>
          </w:tcPr>
          <w:p>
            <w:pPr>
              <w:spacing w:after="0"/>
              <w:rPr>
                <w:sz w:val="1"/>
                <w:szCs w:val="1"/>
                <w:color w:val="auto"/>
              </w:rPr>
            </w:pPr>
          </w:p>
        </w:tc>
      </w:tr>
      <w:tr>
        <w:trPr>
          <w:trHeight w:val="207"/>
        </w:trPr>
        <w:tc>
          <w:tcPr>
            <w:tcW w:w="54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4,311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1,755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(1,839)</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(3,010)</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(1,932)</w:t>
            </w: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(3,219)</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18,775,817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16,650,774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18,775,795</w:t>
            </w:r>
          </w:p>
        </w:tc>
        <w:tc>
          <w:tcPr>
            <w:tcW w:w="3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16,650,750</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18,775,817</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16,650,774</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18,775,795</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16,650,750</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Diluted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(0.12)</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(1,937)</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(3,241)</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70"/>
        </w:trPr>
        <w:tc>
          <w:tcPr>
            <w:tcW w:w="5480" w:type="dxa"/>
            <w:vAlign w:val="bottom"/>
          </w:tcPr>
          <w:p>
            <w:pPr>
              <w:ind w:left="220"/>
              <w:spacing w:after="0"/>
              <w:rPr>
                <w:sz w:val="20"/>
                <w:szCs w:val="20"/>
                <w:color w:val="auto"/>
              </w:rPr>
            </w:pPr>
            <w:r>
              <w:rPr>
                <w:rFonts w:ascii="Arial" w:cs="Arial" w:eastAsia="Arial" w:hAnsi="Arial"/>
                <w:sz w:val="18"/>
                <w:szCs w:val="18"/>
                <w:color w:val="auto"/>
              </w:rPr>
              <w:t>Unrealized loss on available-for-sale securities, net of tax</w:t>
            </w:r>
          </w:p>
        </w:tc>
        <w:tc>
          <w:tcPr>
            <w:tcW w:w="220" w:type="dxa"/>
            <w:vAlign w:val="bottom"/>
          </w:tcPr>
          <w:p>
            <w:pPr>
              <w:spacing w:after="0"/>
              <w:rPr>
                <w:sz w:val="23"/>
                <w:szCs w:val="23"/>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6"/>
        </w:trPr>
        <w:tc>
          <w:tcPr>
            <w:tcW w:w="5480" w:type="dxa"/>
            <w:vAlign w:val="bottom"/>
            <w:vMerge w:val="restart"/>
          </w:tcPr>
          <w:p>
            <w:pPr>
              <w:ind w:left="22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jc w:val="right"/>
              <w:ind w:right="1"/>
              <w:spacing w:after="0" w:line="155" w:lineRule="exact"/>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(1,915</w:t>
            </w:r>
          </w:p>
        </w:tc>
        <w:tc>
          <w:tcPr>
            <w:tcW w:w="220" w:type="dxa"/>
            <w:vAlign w:val="bottom"/>
          </w:tcPr>
          <w:p>
            <w:pPr>
              <w:jc w:val="right"/>
              <w:ind w:right="81"/>
              <w:spacing w:after="0" w:line="155" w:lineRule="exact"/>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(3,268)</w:t>
            </w: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(3,819)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tcPr>
          <w:p>
            <w:pPr>
              <w:jc w:val="right"/>
              <w:ind w:right="61"/>
              <w:spacing w:after="0" w:line="68" w:lineRule="exact"/>
              <w:rPr>
                <w:sz w:val="20"/>
                <w:szCs w:val="20"/>
                <w:color w:val="auto"/>
              </w:rPr>
            </w:pPr>
            <w:r>
              <w:rPr>
                <w:rFonts w:ascii="Arial" w:cs="Arial" w:eastAsia="Arial" w:hAnsi="Arial"/>
                <w:sz w:val="7"/>
                <w:szCs w:val="7"/>
                <w:color w:val="auto"/>
              </w:rPr>
              <w:t>(1,599</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6"/>
          </w:tcPr>
          <w:p>
            <w:pPr>
              <w:jc w:val="right"/>
              <w:ind w:right="520"/>
              <w:spacing w:after="0"/>
              <w:rPr>
                <w:sz w:val="20"/>
                <w:szCs w:val="20"/>
                <w:color w:val="auto"/>
              </w:rPr>
            </w:pPr>
            <w:r>
              <w:rPr>
                <w:rFonts w:ascii="Arial" w:cs="Arial" w:eastAsia="Arial" w:hAnsi="Arial"/>
                <w:sz w:val="16"/>
                <w:szCs w:val="16"/>
                <w:b w:val="1"/>
                <w:bCs w:val="1"/>
                <w:color w:val="auto"/>
                <w:w w:val="94"/>
              </w:rPr>
              <w:t>Three months ended June 30,</w:t>
            </w:r>
          </w:p>
        </w:tc>
        <w:tc>
          <w:tcPr>
            <w:tcW w:w="280" w:type="dxa"/>
            <w:vAlign w:val="bottom"/>
          </w:tcPr>
          <w:p>
            <w:pPr>
              <w:spacing w:after="0"/>
              <w:rPr>
                <w:sz w:val="18"/>
                <w:szCs w:val="18"/>
                <w:color w:val="auto"/>
              </w:rPr>
            </w:pPr>
          </w:p>
        </w:tc>
        <w:tc>
          <w:tcPr>
            <w:tcW w:w="2560" w:type="dxa"/>
            <w:vAlign w:val="bottom"/>
            <w:gridSpan w:val="5"/>
          </w:tcPr>
          <w:p>
            <w:pPr>
              <w:jc w:val="right"/>
              <w:ind w:right="560"/>
              <w:spacing w:after="0"/>
              <w:rPr>
                <w:sz w:val="20"/>
                <w:szCs w:val="20"/>
                <w:color w:val="auto"/>
              </w:rPr>
            </w:pPr>
            <w:r>
              <w:rPr>
                <w:rFonts w:ascii="Arial" w:cs="Arial" w:eastAsia="Arial" w:hAnsi="Arial"/>
                <w:sz w:val="16"/>
                <w:szCs w:val="16"/>
                <w:color w:val="auto"/>
                <w:w w:val="95"/>
              </w:rPr>
              <w:t>S</w:t>
            </w:r>
            <w:r>
              <w:rPr>
                <w:rFonts w:ascii="Arial" w:cs="Arial" w:eastAsia="Arial" w:hAnsi="Arial"/>
                <w:sz w:val="16"/>
                <w:szCs w:val="16"/>
                <w:b w:val="1"/>
                <w:bCs w:val="1"/>
                <w:color w:val="auto"/>
                <w:w w:val="95"/>
              </w:rPr>
              <w:t>ix months ended June 30,</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gross profit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2,618</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Non-GAAP gross profit</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2,618</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operating loss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(1,486)</w:t>
            </w: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(1,839)</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3,010</w:t>
            </w: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3,590)</w:t>
            </w:r>
          </w:p>
        </w:tc>
        <w:tc>
          <w:tcPr>
            <w:tcW w:w="0" w:type="dxa"/>
            <w:vAlign w:val="bottom"/>
          </w:tcPr>
          <w:p>
            <w:pPr>
              <w:spacing w:after="0"/>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406</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1,054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Non-GAAP operating loss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(910)</w:t>
            </w:r>
          </w:p>
        </w:tc>
        <w:tc>
          <w:tcPr>
            <w:tcW w:w="80" w:type="dxa"/>
            <w:vAlign w:val="bottom"/>
            <w:vMerge w:val="continue"/>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(1,416)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1,892</w:t>
            </w:r>
          </w:p>
        </w:tc>
        <w:tc>
          <w:tcPr>
            <w:tcW w:w="22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2,762)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GAAP net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(1,586)</w:t>
            </w:r>
          </w:p>
        </w:tc>
        <w:tc>
          <w:tcPr>
            <w:tcW w:w="3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(1,937)</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3,241</w:t>
            </w: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3,784)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intangibles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406</w:t>
            </w:r>
          </w:p>
        </w:tc>
        <w:tc>
          <w:tcPr>
            <w:tcW w:w="28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1,054</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Non-GAAP net loss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(1,010)</w:t>
            </w:r>
          </w:p>
        </w:tc>
        <w:tc>
          <w:tcPr>
            <w:tcW w:w="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(1,514)</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2,123</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2,956)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net loss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(1,586)</w:t>
            </w: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(1,937)</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3,241</w:t>
            </w: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3,784)</w:t>
            </w:r>
          </w:p>
        </w:tc>
        <w:tc>
          <w:tcPr>
            <w:tcW w:w="0" w:type="dxa"/>
            <w:vAlign w:val="bottom"/>
          </w:tcPr>
          <w:p>
            <w:pPr>
              <w:spacing w:after="0"/>
              <w:rPr>
                <w:sz w:val="1"/>
                <w:szCs w:val="1"/>
                <w:color w:val="auto"/>
              </w:rPr>
            </w:pPr>
          </w:p>
        </w:tc>
      </w:tr>
      <w:tr>
        <w:trPr>
          <w:trHeight w:val="216"/>
        </w:trPr>
        <w:tc>
          <w:tcPr>
            <w:tcW w:w="5520" w:type="dxa"/>
            <w:vAlign w:val="bottom"/>
          </w:tcPr>
          <w:p>
            <w:pPr>
              <w:ind w:left="40"/>
              <w:spacing w:after="0"/>
              <w:rPr>
                <w:sz w:val="20"/>
                <w:szCs w:val="20"/>
                <w:color w:val="auto"/>
              </w:rPr>
            </w:pPr>
            <w:r>
              <w:rPr>
                <w:rFonts w:ascii="Arial" w:cs="Arial" w:eastAsia="Arial" w:hAnsi="Arial"/>
                <w:sz w:val="16"/>
                <w:szCs w:val="16"/>
                <w:color w:val="auto"/>
              </w:rPr>
              <w:t>Number of shares used in computing GAAP loss per share (diluted)</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18,775,817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16,650,774</w:t>
            </w:r>
          </w:p>
        </w:tc>
        <w:tc>
          <w:tcPr>
            <w:tcW w:w="280" w:type="dxa"/>
            <w:vAlign w:val="bottom"/>
          </w:tcPr>
          <w:p>
            <w:pPr>
              <w:spacing w:after="0"/>
              <w:rPr>
                <w:sz w:val="18"/>
                <w:szCs w:val="18"/>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18,775,795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16,650,750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loss per share (diluted)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(0.08)</w:t>
            </w: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(0.12)</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0.17</w:t>
            </w: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6"/>
                <w:szCs w:val="16"/>
                <w:color w:val="auto"/>
              </w:rPr>
              <w:t>Non-GAAP net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(1,010)</w:t>
            </w:r>
          </w:p>
        </w:tc>
        <w:tc>
          <w:tcPr>
            <w:tcW w:w="3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(1,514)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2,123</w:t>
            </w: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2,956)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Number of shares used in computing Non-GAAP loss per share (diluted)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18,775,817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16,650,774</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18,775,795</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16,650,750</w:t>
            </w: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Non-GAAP loss per share (diluted)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3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(0.09)</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0.11</w:t>
            </w: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GAAP net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(1,586)</w:t>
            </w:r>
          </w:p>
        </w:tc>
        <w:tc>
          <w:tcPr>
            <w:tcW w:w="3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(1,937)</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3,241</w:t>
            </w: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3,784)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406</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1,054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55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109</w:t>
            </w:r>
          </w:p>
        </w:tc>
        <w:tc>
          <w:tcPr>
            <w:tcW w:w="280" w:type="dxa"/>
            <w:vAlign w:val="bottom"/>
          </w:tcPr>
          <w:p>
            <w:pPr>
              <w:spacing w:after="0"/>
              <w:rPr>
                <w:sz w:val="18"/>
                <w:szCs w:val="18"/>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Non-GAAP Adjusted EBITDA</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(895)</w:t>
            </w:r>
          </w:p>
        </w:tc>
        <w:tc>
          <w:tcPr>
            <w:tcW w:w="3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(1,296)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1,882</w:t>
            </w:r>
          </w:p>
        </w:tc>
        <w:tc>
          <w:tcPr>
            <w:tcW w:w="220" w:type="dxa"/>
            <w:vAlign w:val="bottom"/>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2,503)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2021-08-10T14:07:20Z</dcterms:created>
  <dcterms:modified xsi:type="dcterms:W3CDTF">2021-08-10T14:07:20Z</dcterms:modified>
</cp:coreProperties>
</file>