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March 01, 2024 (February 27, 2024)</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ClearOne,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7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001-33660</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228"/>
        </w:trPr>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80" w:type="dxa"/>
            <w:vAlign w:val="bottom"/>
          </w:tcPr>
          <w:p>
            <w:pPr>
              <w:spacing w:after="0"/>
              <w:rPr>
                <w:sz w:val="19"/>
                <w:szCs w:val="19"/>
                <w:color w:val="auto"/>
              </w:rPr>
            </w:pPr>
          </w:p>
        </w:tc>
        <w:tc>
          <w:tcPr>
            <w:tcW w:w="22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(Commission File Number)</w:t>
            </w:r>
          </w:p>
        </w:tc>
        <w:tc>
          <w:tcPr>
            <w:tcW w:w="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7640" w:type="dxa"/>
            <w:vAlign w:val="bottom"/>
            <w:gridSpan w:val="8"/>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28"/>
        </w:trPr>
        <w:tc>
          <w:tcPr>
            <w:tcW w:w="7440" w:type="dxa"/>
            <w:vAlign w:val="bottom"/>
            <w:tcBorders>
              <w:top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 (801) 975-7200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7640" w:type="dxa"/>
            <w:vAlign w:val="bottom"/>
            <w:gridSpan w:val="8"/>
          </w:tcPr>
          <w:p>
            <w:pPr>
              <w:jc w:val="center"/>
              <w:ind w:left="35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 under the Exchange Act (17 CFR 240.13e-4©)</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1060" w:type="dxa"/>
        <w:tblCellMar>
          <w:top w:w="0" w:type="dxa"/>
          <w:left w:w="0" w:type="dxa"/>
          <w:bottom w:w="0" w:type="dxa"/>
          <w:right w:w="0" w:type="dxa"/>
        </w:tblCellMar>
      </w:tblPr>
      <w:tr>
        <w:trPr>
          <w:trHeight w:val="207"/>
        </w:trPr>
        <w:tc>
          <w:tcPr>
            <w:tcW w:w="20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72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440" w:type="dxa"/>
            <w:vAlign w:val="bottom"/>
          </w:tcPr>
          <w:p>
            <w:pPr>
              <w:spacing w:after="0"/>
              <w:rPr>
                <w:sz w:val="18"/>
                <w:szCs w:val="18"/>
                <w:color w:val="auto"/>
              </w:rPr>
            </w:pPr>
          </w:p>
        </w:tc>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6"/>
        </w:trPr>
        <w:tc>
          <w:tcPr>
            <w:tcW w:w="322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w w:val="99"/>
              </w:rPr>
              <w:t>Common Stock, $0.001</w:t>
            </w:r>
          </w:p>
        </w:tc>
        <w:tc>
          <w:tcPr>
            <w:tcW w:w="280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color w:val="auto"/>
                <w:w w:val="99"/>
              </w:rPr>
              <w:t>CLRO</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98"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1020" w:firstLine="98"/>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sectPr>
          <w:pgSz w:w="11900" w:h="16838" w:orient="portrait"/>
          <w:cols w:equalWidth="0" w:num="2">
            <w:col w:w="720" w:space="580"/>
            <w:col w:w="9940"/>
          </w:cols>
          <w:pgMar w:left="320" w:top="549" w:right="339" w:bottom="1440" w:gutter="0" w:footer="0" w:header="0"/>
        </w:sectPr>
      </w:pPr>
    </w:p>
    <w:p>
      <w:pPr>
        <w:ind w:right="160" w:firstLine="648"/>
        <w:spacing w:after="0" w:line="273" w:lineRule="auto"/>
        <w:rPr>
          <w:sz w:val="20"/>
          <w:szCs w:val="20"/>
          <w:color w:val="auto"/>
        </w:rPr>
      </w:pPr>
      <w:r>
        <w:rPr>
          <w:rFonts w:ascii="Times New Roman" w:cs="Times New Roman" w:eastAsia="Times New Roman" w:hAnsi="Times New Roman"/>
          <w:sz w:val="17"/>
          <w:szCs w:val="17"/>
          <w:color w:val="auto"/>
        </w:rPr>
        <w:t>On February 27, 2024, the Board of Directors (the “Board”) of ClearOne, Inc. (the “Company”), appointed Jayashree Raghunathan as the Company’s interim Chief Financial Officer to serve as the Company’s principal financial officer and principal accounting officer on an interim basis. Ms. Raghunathan joined the Company as a Senior Manager in July 2018 and has served as the Company’s Controller since October 2019. Ms. Raghunathan, age 53, has been a Chartered Accountant in India since 1996 and has over twenty years of work experience in the field of accounting. There is no arrangement between Ms. Raghunathan and any other persons in connection with Ms. Raghunathan’s appointment as interim Chief Financial Officer, and Ms. Raghunathan has no family relationship with any director or executive officer of the Company. Ms. Raghunathan has no direct or indirect material interest in any transaction with the Company that is reportable under Item 404(a) of Regulation S-K, nor have any such transactions been proposed.</w:t>
      </w:r>
    </w:p>
    <w:p>
      <w:pPr>
        <w:spacing w:after="0" w:line="171"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her appointment as interim Chief Financial Officer, the Board of Directors approved an annual base salary for Ms. Raghunathan of 4,904,400 Indian Rupees (INR) which is approximately $59,170. Pursuant to the Company’s certificate of incorporation and bylaws, the Company also has agreed to indemnify Ms. Raghunathan to the fullest extent permitted by applicable law with respect to any claims, actions, suits or proceedings, whether civil, criminal, administrative or investigative, by reason of the fact that she is or was an officer of the Company.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40" w:type="dxa"/>
            <w:vAlign w:val="bottom"/>
          </w:tcPr>
          <w:p>
            <w:pPr>
              <w:spacing w:after="0"/>
              <w:rPr>
                <w:sz w:val="24"/>
                <w:szCs w:val="24"/>
                <w:color w:val="auto"/>
              </w:rPr>
            </w:pPr>
          </w:p>
        </w:tc>
      </w:tr>
      <w:tr>
        <w:trPr>
          <w:trHeight w:val="500"/>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140" w:type="dxa"/>
            <w:vAlign w:val="bottom"/>
            <w:tcBorders>
              <w:bottom w:val="single" w:sz="8" w:color="auto"/>
            </w:tcBorders>
          </w:tcPr>
          <w:p>
            <w:pPr>
              <w:ind w:left="4080"/>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228"/>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bl>
    <w:p>
      <w:pPr>
        <w:spacing w:after="0" w:line="27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Certain information included in this Current Report on Form 8-K (including the exhibit hereto) is being furnished under Item 7.01, “Regulation FD Disclosure” and Item 9.01 “Financial Statements and Exhibits” of Form 8-K. As such, the information (including the exhibit) under Items 7.01 and 9.01 herein shall not be deemed to be “filed” for the purposes of Section 18 of the Securities Exchange Act of 1934, as amended (the “Exchange Act”), or otherwise subject to the liabilities of that Section, nor shall it be incorporated by reference into a filing under the Securities Act of 1933, as amended, or the Exchange Act, except as shall be expressly set forth by specific reference in such a filing. This Current Report (including the exhibit hereto) will not be deemed an admission as to the materiality of any information required to be disclosed solely to satisfy the requirements of Regulation FD.</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82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CLEARONE, INC.</w:t>
            </w:r>
          </w:p>
        </w:tc>
      </w:tr>
      <w:tr>
        <w:trPr>
          <w:trHeight w:val="459"/>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Date: March 01, 2024</w:t>
            </w:r>
          </w:p>
        </w:tc>
        <w:tc>
          <w:tcPr>
            <w:tcW w:w="82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Derek Graham</w:t>
            </w:r>
          </w:p>
        </w:tc>
      </w:tr>
      <w:tr>
        <w:trPr>
          <w:trHeight w:val="191"/>
        </w:trPr>
        <w:tc>
          <w:tcPr>
            <w:tcW w:w="30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Derek Graham</w:t>
            </w:r>
          </w:p>
        </w:tc>
      </w:tr>
      <w:tr>
        <w:trPr>
          <w:trHeight w:val="234"/>
        </w:trPr>
        <w:tc>
          <w:tcPr>
            <w:tcW w:w="30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2024-03-04T05:08:28Z</dcterms:created>
  <dcterms:modified xsi:type="dcterms:W3CDTF">2024-03-04T05:08:28Z</dcterms:modified>
</cp:coreProperties>
</file>