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10-KT</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spacing w:after="0"/>
        <w:tabs>
          <w:tab w:leader="none" w:pos="8700" w:val="left"/>
        </w:tabs>
        <w:rPr>
          <w:sz w:val="20"/>
          <w:szCs w:val="20"/>
          <w:color w:val="auto"/>
        </w:rPr>
      </w:pPr>
      <w:r>
        <w:rPr>
          <w:rFonts w:ascii="Arial" w:cs="Arial" w:eastAsia="Arial" w:hAnsi="Arial"/>
          <w:sz w:val="18"/>
          <w:szCs w:val="18"/>
          <w:color w:val="auto"/>
        </w:rPr>
        <w:t>For the transition period from July 1, 2009 to December 31, 2009</w:t>
      </w:r>
      <w:r>
        <w:rPr>
          <w:sz w:val="20"/>
          <w:szCs w:val="20"/>
          <w:color w:val="auto"/>
        </w:rPr>
        <w:tab/>
      </w:r>
      <w:r>
        <w:rPr>
          <w:rFonts w:ascii="Arial" w:cs="Arial" w:eastAsia="Arial" w:hAnsi="Arial"/>
          <w:sz w:val="16"/>
          <w:szCs w:val="16"/>
          <w:color w:val="auto"/>
        </w:rPr>
        <w:t>Commission file number: 001-33660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97" w:orient="portrait"/>
          <w:cols w:equalWidth="0" w:num="1">
            <w:col w:w="11420"/>
          </w:cols>
          <w:pgMar w:left="240" w:top="310" w:right="239" w:bottom="0" w:gutter="0" w:footer="0" w:header="0"/>
        </w:sectPr>
      </w:pPr>
    </w:p>
    <w:p>
      <w:pPr>
        <w:spacing w:after="0" w:line="7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Utah</w:t>
      </w:r>
    </w:p>
    <w:p>
      <w:pPr>
        <w:spacing w:after="0" w:line="16"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87-0398877</w:t>
      </w:r>
    </w:p>
    <w:p>
      <w:pPr>
        <w:spacing w:after="0" w:line="16"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(I.R.S. Employer Identification No.)</w:t>
      </w:r>
    </w:p>
    <w:p>
      <w:pPr>
        <w:spacing w:after="0" w:line="66" w:lineRule="exact"/>
        <w:rPr>
          <w:sz w:val="24"/>
          <w:szCs w:val="24"/>
          <w:color w:val="auto"/>
        </w:rPr>
      </w:pPr>
    </w:p>
    <w:p>
      <w:pPr>
        <w:sectPr>
          <w:pgSz w:w="11900" w:h="16897" w:orient="portrait"/>
          <w:cols w:equalWidth="0" w:num="2">
            <w:col w:w="6700" w:space="720"/>
            <w:col w:w="4000"/>
          </w:cols>
          <w:pgMar w:left="240" w:top="310"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5225 Wiley Post Way, Suite 500, Salt Lake City, Utah 84116</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(801) 975-7200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97" w:orient="portrait"/>
          <w:cols w:equalWidth="0" w:num="1">
            <w:col w:w="11420"/>
          </w:cols>
          <w:pgMar w:left="240" w:top="310" w:right="239" w:bottom="0" w:gutter="0" w:footer="0" w:header="0"/>
          <w:type w:val="continuous"/>
        </w:sectPr>
      </w:pPr>
    </w:p>
    <w:p>
      <w:pPr>
        <w:spacing w:after="0" w:line="23"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19" w:lineRule="exact"/>
        <w:rPr>
          <w:sz w:val="24"/>
          <w:szCs w:val="24"/>
          <w:color w:val="auto"/>
        </w:rPr>
      </w:pPr>
    </w:p>
    <w:p>
      <w:pPr>
        <w:sectPr>
          <w:pgSz w:w="11900" w:h="16897" w:orient="portrait"/>
          <w:cols w:equalWidth="0" w:num="2">
            <w:col w:w="5920" w:space="720"/>
            <w:col w:w="4780"/>
          </w:cols>
          <w:pgMar w:left="240" w:top="310" w:right="239" w:bottom="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Capital Market</w:t>
      </w:r>
    </w:p>
    <w:p>
      <w:pPr>
        <w:spacing w:after="0" w:line="70" w:lineRule="exact"/>
        <w:rPr>
          <w:sz w:val="24"/>
          <w:szCs w:val="24"/>
          <w:color w:val="auto"/>
        </w:rPr>
      </w:pPr>
    </w:p>
    <w:p>
      <w:pPr>
        <w:sectPr>
          <w:pgSz w:w="11900" w:h="16897" w:orient="portrait"/>
          <w:cols w:equalWidth="0" w:num="2">
            <w:col w:w="6340" w:space="720"/>
            <w:col w:w="4360"/>
          </w:cols>
          <w:pgMar w:left="240" w:top="310"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61" w:lineRule="exact"/>
        <w:rPr>
          <w:sz w:val="24"/>
          <w:szCs w:val="24"/>
          <w:color w:val="auto"/>
        </w:rPr>
      </w:pPr>
    </w:p>
    <w:p>
      <w:pPr>
        <w:ind w:right="190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Yes xNo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Yes xNo</w:t>
      </w:r>
    </w:p>
    <w:p>
      <w:pPr>
        <w:spacing w:after="0" w:line="34"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w:t>
      </w:r>
    </w:p>
    <w:p>
      <w:pPr>
        <w:spacing w:after="0" w:line="77"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34" w:lineRule="exact"/>
        <w:rPr>
          <w:sz w:val="24"/>
          <w:szCs w:val="24"/>
          <w:color w:val="auto"/>
        </w:rPr>
      </w:pPr>
    </w:p>
    <w:p>
      <w:pPr>
        <w:ind w:right="20"/>
        <w:spacing w:after="0" w:line="219"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4" w:lineRule="exact"/>
        <w:rPr>
          <w:sz w:val="24"/>
          <w:szCs w:val="24"/>
          <w:color w:val="auto"/>
        </w:rPr>
      </w:pPr>
    </w:p>
    <w:p>
      <w:pPr>
        <w:ind w:right="8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ectPr>
          <w:pgSz w:w="11900" w:h="16897" w:orient="portrait"/>
          <w:cols w:equalWidth="0" w:num="1">
            <w:col w:w="11420"/>
          </w:cols>
          <w:pgMar w:left="240" w:top="310" w:right="239" w:bottom="0" w:gutter="0" w:footer="0" w:header="0"/>
          <w:type w:val="continuous"/>
        </w:sectPr>
      </w:pPr>
    </w:p>
    <w:p>
      <w:pPr>
        <w:spacing w:after="0" w:line="10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233"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67" w:lineRule="exact"/>
        <w:rPr>
          <w:sz w:val="24"/>
          <w:szCs w:val="24"/>
          <w:color w:val="auto"/>
        </w:rPr>
      </w:pPr>
    </w:p>
    <w:p>
      <w:pPr>
        <w:sectPr>
          <w:pgSz w:w="11900" w:h="16897" w:orient="portrait"/>
          <w:cols w:equalWidth="0" w:num="3">
            <w:col w:w="5220" w:space="480"/>
            <w:col w:w="2080" w:space="140"/>
            <w:col w:w="3500"/>
          </w:cols>
          <w:pgMar w:left="240" w:top="310" w:right="239" w:bottom="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x No</w:t>
      </w:r>
    </w:p>
    <w:p>
      <w:pPr>
        <w:spacing w:after="0" w:line="88" w:lineRule="exact"/>
        <w:rPr>
          <w:sz w:val="24"/>
          <w:szCs w:val="24"/>
          <w:color w:val="auto"/>
        </w:rPr>
      </w:pPr>
    </w:p>
    <w:p>
      <w:pPr>
        <w:sectPr>
          <w:pgSz w:w="11900" w:h="16897" w:orient="portrait"/>
          <w:cols w:equalWidth="0" w:num="2">
            <w:col w:w="7940" w:space="680"/>
            <w:col w:w="2800"/>
          </w:cols>
          <w:pgMar w:left="240" w:top="310" w:right="239" w:bottom="0" w:gutter="0" w:footer="0" w:header="0"/>
          <w:type w:val="continuous"/>
        </w:sectPr>
      </w:pPr>
    </w:p>
    <w:p>
      <w:pPr>
        <w:ind w:right="280"/>
        <w:spacing w:after="0" w:line="284"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$19.6 million at December 31, 2008 (the Company's most recently completed second fiscal quarter), based on the $3.93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May 4, 2010 was 8,929,279.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6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rPr>
              <w:t>CLEARONE COMMUNICATIONS, INC.</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6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9"/>
              </w:rPr>
              <w:t>TRANSITION REPORT ON FORM 10-K FOR THE PERIOD ENDED DECEMBER 31, 2009</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rPr>
              <w:t>INDEX</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b w:val="1"/>
                <w:bCs w:val="1"/>
                <w:color w:val="auto"/>
                <w:w w:val="98"/>
              </w:rPr>
              <w:t>Item Number</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ind w:left="660"/>
              <w:spacing w:after="0"/>
              <w:rPr>
                <w:sz w:val="20"/>
                <w:szCs w:val="20"/>
                <w:color w:val="auto"/>
              </w:rPr>
            </w:pPr>
            <w:r>
              <w:rPr>
                <w:rFonts w:ascii="Arial" w:cs="Arial" w:eastAsia="Arial" w:hAnsi="Arial"/>
                <w:sz w:val="18"/>
                <w:szCs w:val="18"/>
                <w:b w:val="1"/>
                <w:bCs w:val="1"/>
                <w:color w:val="auto"/>
                <w:w w:val="93"/>
              </w:rPr>
              <w:t>Page No.</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20" w:type="dxa"/>
            <w:vAlign w:val="bottom"/>
            <w:tcBorders>
              <w:bottom w:val="single" w:sz="8" w:color="CCEEFF"/>
            </w:tcBorders>
            <w:gridSpan w:val="6"/>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8860" w:type="dxa"/>
            <w:vAlign w:val="bottom"/>
            <w:gridSpan w:val="7"/>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400" w:type="dxa"/>
            <w:vAlign w:val="bottom"/>
          </w:tcPr>
          <w:p>
            <w:pPr>
              <w:jc w:val="center"/>
              <w:ind w:left="490"/>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886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1400" w:type="dxa"/>
            <w:vAlign w:val="bottom"/>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6860" w:type="dxa"/>
            <w:vAlign w:val="bottom"/>
            <w:tcBorders>
              <w:top w:val="single" w:sz="8" w:color="CCEEFF"/>
            </w:tcBorders>
            <w:gridSpan w:val="2"/>
          </w:tcPr>
          <w:p>
            <w:pPr>
              <w:spacing w:after="0"/>
              <w:rPr>
                <w:sz w:val="15"/>
                <w:szCs w:val="15"/>
                <w:color w:val="auto"/>
              </w:rPr>
            </w:pPr>
          </w:p>
        </w:tc>
        <w:tc>
          <w:tcPr>
            <w:tcW w:w="1400" w:type="dxa"/>
            <w:vAlign w:val="bottom"/>
            <w:tcBorders>
              <w:top w:val="single" w:sz="8" w:color="CCEEFF"/>
            </w:tcBorders>
          </w:tcPr>
          <w:p>
            <w:pPr>
              <w:jc w:val="center"/>
              <w:ind w:left="49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7520" w:type="dxa"/>
            <w:vAlign w:val="bottom"/>
            <w:tcBorders>
              <w:bottom w:val="single" w:sz="8" w:color="CCEEFF"/>
            </w:tcBorders>
            <w:gridSpan w:val="3"/>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886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Reserved</w:t>
              </w:r>
            </w:hyperlink>
          </w:p>
        </w:tc>
        <w:tc>
          <w:tcPr>
            <w:tcW w:w="1400" w:type="dxa"/>
            <w:vAlign w:val="bottom"/>
          </w:tcPr>
          <w:p>
            <w:pPr>
              <w:jc w:val="center"/>
              <w:ind w:left="49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4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40" w:type="dxa"/>
            <w:vAlign w:val="bottom"/>
          </w:tcPr>
          <w:p>
            <w:pPr>
              <w:spacing w:after="0" w:line="202" w:lineRule="exact"/>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Stockholder Matters and Issuer Purchases of Equity Securities</w:t>
              </w:r>
            </w:hyperlink>
          </w:p>
        </w:tc>
        <w:tc>
          <w:tcPr>
            <w:tcW w:w="7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bl>
    <w:p>
      <w:pPr>
        <w:sectPr>
          <w:pgSz w:w="11900" w:h="16897" w:orient="portrait"/>
          <w:cols w:equalWidth="0" w:num="1">
            <w:col w:w="11420"/>
          </w:cols>
          <w:pgMar w:left="240" w:top="310"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50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Borders>
              <w:right w:val="single" w:sz="8" w:color="0000EE"/>
            </w:tcBorders>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6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060" w:type="dxa"/>
            <w:vAlign w:val="bottom"/>
            <w:tcBorders>
              <w:bottom w:val="single" w:sz="8" w:color="CCEEFF"/>
            </w:tcBorders>
            <w:gridSpan w:val="3"/>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7A.</w:t>
            </w:r>
          </w:p>
        </w:tc>
        <w:tc>
          <w:tcPr>
            <w:tcW w:w="8500" w:type="dxa"/>
            <w:vAlign w:val="bottom"/>
            <w:gridSpan w:val="1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174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4280" w:type="dxa"/>
            <w:vAlign w:val="bottom"/>
            <w:tcBorders>
              <w:top w:val="single" w:sz="8" w:color="0000EE"/>
            </w:tcBorders>
            <w:gridSpan w:val="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4220" w:type="dxa"/>
            <w:vAlign w:val="bottom"/>
            <w:gridSpan w:val="5"/>
            <w:shd w:val="clear" w:color="auto" w:fill="CCEEFF"/>
          </w:tcPr>
          <w:p>
            <w:pPr>
              <w:spacing w:after="0"/>
              <w:rPr>
                <w:sz w:val="15"/>
                <w:szCs w:val="15"/>
                <w:color w:val="auto"/>
              </w:rPr>
            </w:pPr>
          </w:p>
        </w:tc>
        <w:tc>
          <w:tcPr>
            <w:tcW w:w="1740" w:type="dxa"/>
            <w:vAlign w:val="bottom"/>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Borders>
              <w:right w:val="single" w:sz="8" w:color="0000EE"/>
            </w:tcBorders>
            <w:shd w:val="clear" w:color="auto" w:fill="CCEEFF"/>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6460" w:type="dxa"/>
            <w:vAlign w:val="bottom"/>
            <w:tcBorders>
              <w:bottom w:val="single" w:sz="8" w:color="0000EE"/>
            </w:tcBorders>
            <w:gridSpan w:val="11"/>
          </w:tcPr>
          <w:p>
            <w:pPr>
              <w:spacing w:after="0" w:line="17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Changes in and Disagreements with Accountants on Accounting and Financial Disclosure</w:t>
              </w:r>
            </w:hyperlink>
          </w:p>
        </w:tc>
        <w:tc>
          <w:tcPr>
            <w:tcW w:w="2040" w:type="dxa"/>
            <w:vAlign w:val="bottom"/>
            <w:gridSpan w:val="2"/>
          </w:tcPr>
          <w:p>
            <w:pPr>
              <w:spacing w:after="0"/>
              <w:rPr>
                <w:sz w:val="15"/>
                <w:szCs w:val="15"/>
                <w:color w:val="auto"/>
              </w:rPr>
            </w:pPr>
          </w:p>
        </w:tc>
        <w:tc>
          <w:tcPr>
            <w:tcW w:w="174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9A(T).</w:t>
            </w:r>
          </w:p>
        </w:tc>
        <w:tc>
          <w:tcPr>
            <w:tcW w:w="8500" w:type="dxa"/>
            <w:vAlign w:val="bottom"/>
            <w:gridSpan w:val="13"/>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1740" w:type="dxa"/>
            <w:vAlign w:val="bottom"/>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6720" w:type="dxa"/>
            <w:vAlign w:val="bottom"/>
            <w:tcBorders>
              <w:top w:val="single" w:sz="8" w:color="CCEEFF"/>
            </w:tcBorders>
            <w:gridSpan w:val="10"/>
          </w:tcPr>
          <w:p>
            <w:pPr>
              <w:spacing w:after="0"/>
              <w:rPr>
                <w:sz w:val="15"/>
                <w:szCs w:val="15"/>
                <w:color w:val="auto"/>
              </w:rPr>
            </w:pPr>
          </w:p>
        </w:tc>
        <w:tc>
          <w:tcPr>
            <w:tcW w:w="1740" w:type="dxa"/>
            <w:vAlign w:val="bottom"/>
            <w:tcBorders>
              <w:top w:val="single" w:sz="8" w:color="CCEEFF"/>
            </w:tcBorders>
          </w:tcPr>
          <w:p>
            <w:pPr>
              <w:jc w:val="right"/>
              <w:ind w:right="230"/>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300" w:type="dxa"/>
            <w:vAlign w:val="bottom"/>
            <w:tcBorders>
              <w:top w:val="single" w:sz="8" w:color="0000EE"/>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60" w:type="dxa"/>
            <w:vAlign w:val="bottom"/>
          </w:tcPr>
          <w:p>
            <w:pPr>
              <w:spacing w:after="0" w:line="202" w:lineRule="exact"/>
              <w:rPr>
                <w:sz w:val="20"/>
                <w:szCs w:val="20"/>
                <w:color w:val="auto"/>
              </w:rPr>
            </w:pPr>
            <w:r>
              <w:rPr>
                <w:rFonts w:ascii="Arial" w:cs="Arial" w:eastAsia="Arial" w:hAnsi="Arial"/>
                <w:sz w:val="18"/>
                <w:szCs w:val="18"/>
                <w:b w:val="1"/>
                <w:bCs w:val="1"/>
                <w:color w:val="auto"/>
              </w:rPr>
              <w:t>PART III</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41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Directors , Executive Officers and Corporate Governance</w:t>
              </w:r>
            </w:hyperlink>
          </w:p>
        </w:tc>
        <w:tc>
          <w:tcPr>
            <w:tcW w:w="4380" w:type="dxa"/>
            <w:vAlign w:val="bottom"/>
            <w:tcBorders>
              <w:bottom w:val="single" w:sz="8" w:color="CCEEFF"/>
            </w:tcBorders>
            <w:gridSpan w:val="6"/>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11.</w:t>
            </w:r>
          </w:p>
        </w:tc>
        <w:tc>
          <w:tcPr>
            <w:tcW w:w="8500" w:type="dxa"/>
            <w:vAlign w:val="bottom"/>
            <w:gridSpan w:val="1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Executive Compensation</w:t>
              </w:r>
            </w:hyperlink>
          </w:p>
        </w:tc>
        <w:tc>
          <w:tcPr>
            <w:tcW w:w="174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Borders>
              <w:right w:val="single" w:sz="8" w:color="0000EE"/>
            </w:tcBorders>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8500" w:type="dxa"/>
            <w:vAlign w:val="bottom"/>
            <w:gridSpan w:val="13"/>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Security Ownership of Certain Beneficial Owners and Management and Related Stockholder Matters</w:t>
              </w:r>
            </w:hyperlink>
          </w:p>
        </w:tc>
        <w:tc>
          <w:tcPr>
            <w:tcW w:w="1740" w:type="dxa"/>
            <w:vAlign w:val="bottom"/>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13.</w:t>
            </w:r>
          </w:p>
        </w:tc>
        <w:tc>
          <w:tcPr>
            <w:tcW w:w="72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 and Director Independence</w:t>
              </w:r>
            </w:hyperlink>
          </w:p>
        </w:tc>
        <w:tc>
          <w:tcPr>
            <w:tcW w:w="1240" w:type="dxa"/>
            <w:vAlign w:val="bottom"/>
            <w:tcBorders>
              <w:top w:val="single" w:sz="8" w:color="CCEEFF"/>
            </w:tcBorders>
          </w:tcPr>
          <w:p>
            <w:pPr>
              <w:spacing w:after="0"/>
              <w:rPr>
                <w:sz w:val="15"/>
                <w:szCs w:val="15"/>
                <w:color w:val="auto"/>
              </w:rPr>
            </w:pPr>
          </w:p>
        </w:tc>
        <w:tc>
          <w:tcPr>
            <w:tcW w:w="1740" w:type="dxa"/>
            <w:vAlign w:val="bottom"/>
            <w:tcBorders>
              <w:top w:val="single" w:sz="8" w:color="CCEEFF"/>
            </w:tcBorders>
          </w:tcPr>
          <w:p>
            <w:pPr>
              <w:jc w:val="right"/>
              <w:ind w:right="23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5420" w:type="dxa"/>
            <w:vAlign w:val="bottom"/>
            <w:tcBorders>
              <w:top w:val="single" w:sz="8" w:color="0000EE"/>
            </w:tcBorders>
            <w:gridSpan w:val="9"/>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Principal Accountant Fees and Services</w:t>
              </w:r>
            </w:hyperlink>
          </w:p>
        </w:tc>
        <w:tc>
          <w:tcPr>
            <w:tcW w:w="3080" w:type="dxa"/>
            <w:vAlign w:val="bottom"/>
            <w:gridSpan w:val="4"/>
            <w:shd w:val="clear" w:color="auto" w:fill="CCEEFF"/>
          </w:tcPr>
          <w:p>
            <w:pPr>
              <w:spacing w:after="0"/>
              <w:rPr>
                <w:sz w:val="15"/>
                <w:szCs w:val="15"/>
                <w:color w:val="auto"/>
              </w:rPr>
            </w:pPr>
          </w:p>
        </w:tc>
        <w:tc>
          <w:tcPr>
            <w:tcW w:w="1740" w:type="dxa"/>
            <w:vAlign w:val="bottom"/>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30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60" w:type="dxa"/>
            <w:vAlign w:val="bottom"/>
            <w:tcBorders>
              <w:top w:val="single" w:sz="8" w:color="0000EE"/>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PART IV</w:t>
            </w: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3140" w:type="dxa"/>
            <w:vAlign w:val="bottom"/>
            <w:tcBorders>
              <w:bottom w:val="single" w:sz="8" w:color="0000EE"/>
            </w:tcBorders>
            <w:gridSpan w:val="5"/>
          </w:tcPr>
          <w:p>
            <w:pPr>
              <w:spacing w:after="0" w:line="17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Exhibits and Financial Statement Schedules</w:t>
              </w:r>
            </w:hyperlink>
          </w:p>
        </w:tc>
        <w:tc>
          <w:tcPr>
            <w:tcW w:w="5360" w:type="dxa"/>
            <w:vAlign w:val="bottom"/>
            <w:gridSpan w:val="8"/>
          </w:tcPr>
          <w:p>
            <w:pPr>
              <w:spacing w:after="0"/>
              <w:rPr>
                <w:sz w:val="15"/>
                <w:szCs w:val="15"/>
                <w:color w:val="auto"/>
              </w:rPr>
            </w:pPr>
          </w:p>
        </w:tc>
        <w:tc>
          <w:tcPr>
            <w:tcW w:w="174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1160" w:type="dxa"/>
            <w:vAlign w:val="bottom"/>
            <w:tcBorders>
              <w:bottom w:val="single" w:sz="8" w:color="0000EE"/>
            </w:tcBorders>
          </w:tcPr>
          <w:p>
            <w:pPr>
              <w:spacing w:after="0" w:line="176" w:lineRule="exact"/>
              <w:rPr>
                <w:rFonts w:ascii="Arial" w:cs="Arial" w:eastAsia="Arial" w:hAnsi="Arial"/>
                <w:sz w:val="18"/>
                <w:szCs w:val="18"/>
                <w:b w:val="1"/>
                <w:bCs w:val="1"/>
                <w:color w:val="0000EE"/>
                <w:w w:val="94"/>
              </w:rPr>
            </w:pPr>
            <w:hyperlink w:anchor="page50">
              <w:r>
                <w:rPr>
                  <w:rFonts w:ascii="Arial" w:cs="Arial" w:eastAsia="Arial" w:hAnsi="Arial"/>
                  <w:sz w:val="18"/>
                  <w:szCs w:val="18"/>
                  <w:b w:val="1"/>
                  <w:bCs w:val="1"/>
                  <w:color w:val="0000EE"/>
                  <w:w w:val="94"/>
                </w:rPr>
                <w:t>SIGNATURES</w:t>
              </w:r>
            </w:hyperlink>
          </w:p>
        </w:tc>
        <w:tc>
          <w:tcPr>
            <w:tcW w:w="8500" w:type="dxa"/>
            <w:vAlign w:val="bottom"/>
            <w:gridSpan w:val="13"/>
          </w:tcPr>
          <w:p>
            <w:pPr>
              <w:spacing w:after="0"/>
              <w:rPr>
                <w:sz w:val="15"/>
                <w:szCs w:val="15"/>
                <w:color w:val="auto"/>
              </w:rPr>
            </w:pPr>
          </w:p>
        </w:tc>
        <w:tc>
          <w:tcPr>
            <w:tcW w:w="174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 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 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References in this Transition Report on Form 10-K to “ClearOne,” “we,” “us,” “CLRO” or “the Company” refer to ClearOne Communications, Inc., a Utah corporation, and, unless the context otherwise requires or is otherwise expressly stated, its subsidiaries.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ClearOne was formed as a Utah corporation in 1983 organized under the laws of the State of Utah.</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ClearOne develops and markets advanced audio and video connectivity technologies that enhance the quality of life through better communication, education, and entertainment. These technologies include conferencing, collaboration, multimedia and network solutions.</w:t>
      </w:r>
    </w:p>
    <w:p>
      <w:pPr>
        <w:spacing w:after="0" w:line="15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occupy the number one position in the global professional audio conferencing market with more than 50% of the global market share. The reliability, flexibility and performance of our comprehensive solutions create a natural communications environment that saves organizations time and money by enabling more effective and efficient communication. We develop, manufacture, market, and service a comprehensive line of high-quality audio conferencing products under personal, tabletop, premium and professional (installed audio) categories. We believe the performance and reliability of our high-quality audio conferencing &amp; collaboration products create a natural communications environment, which saves organizations of all sizes time and money by enabling more effective and efficient communication.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385" w:lineRule="exact"/>
        <w:rPr>
          <w:sz w:val="20"/>
          <w:szCs w:val="20"/>
          <w:color w:val="auto"/>
        </w:rPr>
      </w:pPr>
    </w:p>
    <w:p>
      <w:pPr>
        <w:ind w:right="60"/>
        <w:spacing w:after="0" w:line="253" w:lineRule="auto"/>
        <w:rPr>
          <w:rFonts w:ascii="Arial" w:cs="Arial" w:eastAsia="Arial" w:hAnsi="Arial"/>
          <w:sz w:val="17"/>
          <w:szCs w:val="17"/>
          <w:color w:val="0000EE"/>
        </w:rPr>
      </w:pPr>
      <w:r>
        <w:rPr>
          <w:rFonts w:ascii="Arial" w:cs="Arial" w:eastAsia="Arial" w:hAnsi="Arial"/>
          <w:sz w:val="17"/>
          <w:szCs w:val="17"/>
          <w:color w:val="auto"/>
        </w:rPr>
        <w:t xml:space="preserve">On November 3, 2009 ClearOne acquired NetStreams, Inc, a pioneer in digital media networks based on Internet Protocol (IP) technology, that is used in a wide variety of applications, including digital signage, corporate video distribution, network operations centers and government facilities, and large venues in such industries as hospitality, entertainment and casinos. NetStreams' digital streaming media and control systems support virtually any number of digital or analog sources, including high definition audio and video content to nearly an unlimited number of networked endpoints. Under the terms of the merger and </w:t>
      </w:r>
      <w:hyperlink w:anchor="page64">
        <w:r>
          <w:rPr>
            <w:rFonts w:ascii="Arial" w:cs="Arial" w:eastAsia="Arial" w:hAnsi="Arial"/>
            <w:sz w:val="17"/>
            <w:szCs w:val="17"/>
            <w:color w:val="auto"/>
          </w:rPr>
          <w:t xml:space="preserve">acquisition agreement, ClearOne paid approximately $1.45 million in cash and agreed to assume $2 million in debt. Please refer to </w:t>
        </w:r>
        <w:r>
          <w:rPr>
            <w:rFonts w:ascii="Arial" w:cs="Arial" w:eastAsia="Arial" w:hAnsi="Arial"/>
            <w:sz w:val="17"/>
            <w:szCs w:val="17"/>
            <w:u w:val="single" w:color="auto"/>
            <w:color w:val="0000EE"/>
          </w:rPr>
          <w:t>Note 3 – Business</w:t>
        </w:r>
      </w:hyperlink>
      <w:r>
        <w:rPr>
          <w:rFonts w:ascii="Arial" w:cs="Arial" w:eastAsia="Arial" w:hAnsi="Arial"/>
          <w:sz w:val="17"/>
          <w:szCs w:val="17"/>
          <w:color w:val="auto"/>
        </w:rPr>
        <w:t xml:space="preserve"> </w:t>
      </w:r>
      <w:hyperlink w:anchor="page64">
        <w:r>
          <w:rPr>
            <w:rFonts w:ascii="Arial" w:cs="Arial" w:eastAsia="Arial" w:hAnsi="Arial"/>
            <w:sz w:val="17"/>
            <w:szCs w:val="17"/>
            <w:u w:val="single" w:color="auto"/>
            <w:color w:val="0000EE"/>
          </w:rPr>
          <w:t>Combination, Goodwill and Intangibles</w:t>
        </w:r>
        <w:r>
          <w:rPr>
            <w:rFonts w:ascii="Arial" w:cs="Arial" w:eastAsia="Arial" w:hAnsi="Arial"/>
            <w:sz w:val="17"/>
            <w:szCs w:val="17"/>
            <w:color w:val="0000EE"/>
          </w:rPr>
          <w:t xml:space="preserve"> </w:t>
        </w:r>
        <w:r>
          <w:rPr>
            <w:rFonts w:ascii="Arial" w:cs="Arial" w:eastAsia="Arial" w:hAnsi="Arial"/>
            <w:sz w:val="17"/>
            <w:szCs w:val="17"/>
            <w:color w:val="000000"/>
          </w:rPr>
          <w:t>in the Notes to Consolidated Financial Statements (Part II, Item 8) for more financial information. NetStreams</w:t>
        </w:r>
      </w:hyperlink>
      <w:r>
        <w:rPr>
          <w:rFonts w:ascii="Arial" w:cs="Arial" w:eastAsia="Arial" w:hAnsi="Arial"/>
          <w:sz w:val="17"/>
          <w:szCs w:val="17"/>
          <w:color w:val="0000EE"/>
        </w:rPr>
        <w:t xml:space="preserve"> </w:t>
      </w:r>
      <w:r>
        <w:rPr>
          <w:rFonts w:ascii="Arial" w:cs="Arial" w:eastAsia="Arial" w:hAnsi="Arial"/>
          <w:sz w:val="17"/>
          <w:szCs w:val="17"/>
          <w:color w:val="000000"/>
        </w:rPr>
        <w:t>products are sold primarily in the residential electronics channel and audio and video commercial channel. The addition of NetStreams’ networked media and control distribution products to ClearOne’s portfolio of audio conferencing and related products presents a perfect fit for both businesses bringing complementary products and sales channels to both organizations. We believe this combination of high-quality audio conferencing and technology to distribute media and control over IP based networks will enable us to provide a comprehensive high definition audio and video solution to better realize the true promise of audiovisual and IT convergence.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ClearOne now also develops and sells products to distribute media and control via data networks after its acquisition of NetStreams, Inc. in November</w:t>
      </w:r>
    </w:p>
    <w:p>
      <w:pPr>
        <w:spacing w:after="0" w:line="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2009. We are a world leader in digital media networks based on Internet Protocol (IP) technology. ClearOne’s IP-based and IP-controlled systems handle any number of digital or analog sources and deliver high definition audio and video, to an unlimited number of zones. By combining content and control signals in one data stream, ClearOne systems offer new levels of affordability, simplicity, reliability, and expandability, benefiting both installers and end-users with lower costs for installation, set-up, and support.</w:t>
      </w:r>
    </w:p>
    <w:p>
      <w:pPr>
        <w:spacing w:after="0" w:line="176"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We also manufacture and sell media carts for audio and video conferencing. We have an established history of product innovation and plan to continue to apply our expertise in audio engineering to develop and introduce innovative new products and enhance our existing products.</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conferencing &amp; collaboration products are used by organizations of all sizes to accomplish effective group communication. Our networked media and control distribution systems are used by a wide range of customers from individual residential users to large enterprises.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and resellers who in turn sell our products to dealers, systems integrators, and other value-added resellers. We also sell products directly to dealers, systems integrators, value-added resellers, and e nd-users.</w:t>
      </w:r>
    </w:p>
    <w:p>
      <w:pPr>
        <w:spacing w:after="0" w:line="172" w:lineRule="exact"/>
        <w:rPr>
          <w:sz w:val="20"/>
          <w:szCs w:val="20"/>
          <w:color w:val="auto"/>
        </w:rPr>
      </w:pPr>
    </w:p>
    <w:p>
      <w:pPr>
        <w:jc w:val="both"/>
        <w:ind w:right="640"/>
        <w:spacing w:after="0" w:line="250"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b w:val="1"/>
          <w:bCs w:val="1"/>
          <w:u w:val="single" w:color="auto"/>
          <w:color w:val="auto"/>
        </w:rPr>
        <w:t>www.clearone.com</w:t>
      </w:r>
      <w:r>
        <w:rPr>
          <w:rFonts w:ascii="Arial" w:cs="Arial" w:eastAsia="Arial" w:hAnsi="Arial"/>
          <w:sz w:val="18"/>
          <w:szCs w:val="18"/>
          <w:color w:val="auto"/>
        </w:rPr>
        <w:t>. Our annual reports on Form 10-K, quarterly reports on Form 10-Q, current reports on Form 8-K, and any amendments to such reports are available, free of charge, on our website at the "Investor Relations" section under "Company", as soon as reasonably practicable after we file electronically such material with, or furnish it to, the SEC.</w:t>
      </w:r>
    </w:p>
    <w:p>
      <w:pPr>
        <w:spacing w:after="0" w:line="16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0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currently participate in the following markets: Professional AV, telephony, digital signage, corporate video distribution, network operations centers, content and control distribution to hospitality, entertainment and casino enterprises, and home automation.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goals are to:</w:t>
      </w:r>
    </w:p>
    <w:p>
      <w:pPr>
        <w:spacing w:after="0" w:line="36" w:lineRule="exact"/>
        <w:rPr>
          <w:sz w:val="20"/>
          <w:szCs w:val="20"/>
          <w:color w:val="auto"/>
        </w:rPr>
      </w:pPr>
    </w:p>
    <w:p>
      <w:pPr>
        <w:ind w:left="280" w:hanging="21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 our market leadership in the professional conferencing category</w:t>
      </w:r>
    </w:p>
    <w:p>
      <w:pPr>
        <w:spacing w:after="0" w:line="90" w:lineRule="exact"/>
        <w:rPr>
          <w:rFonts w:ascii="Arial" w:cs="Arial" w:eastAsia="Arial" w:hAnsi="Arial"/>
          <w:sz w:val="18"/>
          <w:szCs w:val="18"/>
          <w:color w:val="auto"/>
        </w:rPr>
      </w:pPr>
    </w:p>
    <w:p>
      <w:pPr>
        <w:ind w:left="280" w:hanging="21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building on our leadership in premium conferencing category (a category we created)</w:t>
      </w:r>
    </w:p>
    <w:p>
      <w:pPr>
        <w:spacing w:after="0" w:line="90" w:lineRule="exact"/>
        <w:rPr>
          <w:rFonts w:ascii="Arial" w:cs="Arial" w:eastAsia="Arial" w:hAnsi="Arial"/>
          <w:sz w:val="18"/>
          <w:szCs w:val="18"/>
          <w:color w:val="auto"/>
        </w:rPr>
      </w:pPr>
    </w:p>
    <w:p>
      <w:pPr>
        <w:ind w:left="280" w:hanging="21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penetrate the tabletop conferencing and personal conferencing markets</w:t>
      </w:r>
    </w:p>
    <w:p>
      <w:pPr>
        <w:spacing w:after="0" w:line="90" w:lineRule="exact"/>
        <w:rPr>
          <w:rFonts w:ascii="Arial" w:cs="Arial" w:eastAsia="Arial" w:hAnsi="Arial"/>
          <w:sz w:val="18"/>
          <w:szCs w:val="18"/>
          <w:color w:val="auto"/>
        </w:rPr>
      </w:pPr>
    </w:p>
    <w:p>
      <w:pPr>
        <w:ind w:left="280" w:hanging="21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capitalize on the convergence of AV over IP</w:t>
      </w:r>
    </w:p>
    <w:p>
      <w:pPr>
        <w:spacing w:after="0" w:line="90" w:lineRule="exact"/>
        <w:rPr>
          <w:rFonts w:ascii="Arial" w:cs="Arial" w:eastAsia="Arial" w:hAnsi="Arial"/>
          <w:sz w:val="18"/>
          <w:szCs w:val="18"/>
          <w:color w:val="auto"/>
        </w:rPr>
      </w:pPr>
    </w:p>
    <w:p>
      <w:pPr>
        <w:ind w:left="280" w:right="340" w:hanging="212"/>
        <w:spacing w:after="0" w:line="277" w:lineRule="auto"/>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provide solutions that are new and reach deeper into the enterprise infrastructure by bringing clear, differentiated value to both the practitioner and the customer.</w:t>
      </w:r>
    </w:p>
    <w:p>
      <w:pPr>
        <w:spacing w:after="0" w:line="238" w:lineRule="exact"/>
        <w:rPr>
          <w:sz w:val="20"/>
          <w:szCs w:val="20"/>
          <w:color w:val="auto"/>
        </w:rPr>
      </w:pPr>
    </w:p>
    <w:p>
      <w:pPr>
        <w:ind w:right="840"/>
        <w:spacing w:after="0" w:line="270" w:lineRule="auto"/>
        <w:rPr>
          <w:sz w:val="20"/>
          <w:szCs w:val="20"/>
          <w:color w:val="auto"/>
        </w:rPr>
      </w:pPr>
      <w:r>
        <w:rPr>
          <w:rFonts w:ascii="Arial" w:cs="Arial" w:eastAsia="Arial" w:hAnsi="Arial"/>
          <w:sz w:val="17"/>
          <w:szCs w:val="17"/>
          <w:color w:val="auto"/>
        </w:rPr>
        <w:t>We will continue to improve our existing high-quality products and develop new products for stand alone audio conferencing applications or for integration with leading video and web conferencing systems and applications. We also intend to be the leader in the networked media and control distribution product market. The principal components of our strategy to achieve this goal are set forth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 a superior conferencing experience</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been developing audio technologies since 1981 and believe we have established a reputation for providing some of the highest quality group audio conferencing solutions in the industry. Our proprietary audio signal processing technologies, including Distributed Echo Cancellation®, have been the core of our professional conferencing products and are the foundation for our new product development in other conferencing categories. We plan to build upon our reputation of being a market leader and continue to provide the highest quality products and technologies to the customers, partners and markets we serve.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 significant impact on how media and control are distributed</w:t>
      </w:r>
    </w:p>
    <w:p>
      <w:pPr>
        <w:spacing w:after="0" w:line="9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believe ClearOne’s innovative approach of bringing together networking technology with audio and video distribution and control and our mastery over these technologies have the potential to bring about a significant change in the audio and video industry and beyond. We believe the benefits and features that only networked digital media can offer will change and enhance the user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greater value to our customers and partners</w:t>
      </w:r>
    </w:p>
    <w:p>
      <w:pPr>
        <w:spacing w:after="0" w:line="9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provide our customers and partners with audio conferencing products that offer high value, we are focused on listening to our customers and partners and delivering products to meet their needs. By offering high quality products that are designed to solve conferencing ease-of-use issues and are easy to install, configure, and maintain, we believe we can provide greater value to our customers and partners and enhance business communications and decision making. Our networked media and control distribution products offer significant cost savings and are easy to install and maintain by utilizing the existing networking infrastructure.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and extend ClearOne technology leadership and innovation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continue to focus on developing cutting edge conferencing products and are committed to incorporating the latest technologies into our new and existing product lines. Key to this effort is adopting emerging technologies such as Voice over Internet Protocol (VoIP), wideband audio, wireless connectivity, and convergence of voice and data networks, exploring new application models for our premium and personal audio conferencing technologies, and developing products based on internationally accepted standards and protocols. With the acquisition of NetStreams, ClearOne plans to leverage on its patented StreamNet® technology, to increase its current market share and enter new markets.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and strengthen sales channels</w:t>
      </w:r>
    </w:p>
    <w:p>
      <w:pPr>
        <w:spacing w:after="0" w:line="9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continue to expand and strengthen domestic and international sales channels through the addition of key distributors and dealers that expand beyond our traditional audio-video channels that carry our professional conferencing products. We continue to direct significant sales efforts toward channel partners who are focused on the tabletop and personal conferencing markets. We also continue to strengthen our presence within the telephony reseller channel. We believe the telephony reseller channel is best suited to sell our premium conferencing systems, tabletop conference phones, and personal conferencing &amp; collaboration products.</w:t>
      </w:r>
    </w:p>
    <w:p>
      <w:pPr>
        <w:spacing w:after="0" w:line="176"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We plan to introduce commercial networked media and control distribution products into ClearOne’s existing and global sales channels and offer training, certification, support and other resources to grow, strengthen, and increase our ability to promote and sell our products through these channels.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will continue to actively market the existing NetStreams brand within the existing residential channel and will recruit additional channel and sales partners to bring greater awareness to the product solutions.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Broaden our product offerings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believe we offer the industry’s most complete audio conferencing product line, including the following:</w:t>
      </w:r>
    </w:p>
    <w:p>
      <w:pPr>
        <w:spacing w:after="0" w:line="36" w:lineRule="exact"/>
        <w:rPr>
          <w:sz w:val="20"/>
          <w:szCs w:val="20"/>
          <w:color w:val="auto"/>
        </w:rPr>
      </w:pPr>
    </w:p>
    <w:p>
      <w:pPr>
        <w:ind w:left="280" w:right="60" w:hanging="212"/>
        <w:spacing w:after="0" w:line="262"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Professional conferencing products that are used in executive boardrooms, courtrooms, hospitals, and auditoriums that integrate with leading video and telepresence systems</w:t>
      </w:r>
    </w:p>
    <w:p>
      <w:pPr>
        <w:spacing w:after="0" w:line="34" w:lineRule="exact"/>
        <w:rPr>
          <w:rFonts w:ascii="Arial" w:cs="Arial" w:eastAsia="Arial" w:hAnsi="Arial"/>
          <w:sz w:val="18"/>
          <w:szCs w:val="18"/>
          <w:color w:val="auto"/>
        </w:rPr>
      </w:pPr>
    </w:p>
    <w:p>
      <w:pPr>
        <w:ind w:left="280" w:hanging="21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 conferencing products that integrate with leading video and web conferencing systems and applications</w:t>
      </w:r>
    </w:p>
    <w:p>
      <w:pPr>
        <w:spacing w:after="0" w:line="90" w:lineRule="exact"/>
        <w:rPr>
          <w:rFonts w:ascii="Arial" w:cs="Arial" w:eastAsia="Arial" w:hAnsi="Arial"/>
          <w:sz w:val="18"/>
          <w:szCs w:val="18"/>
          <w:color w:val="auto"/>
        </w:rPr>
      </w:pPr>
    </w:p>
    <w:p>
      <w:pPr>
        <w:ind w:left="280" w:hanging="21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Tabletop conferencing phones used in conference rooms and offices</w:t>
      </w:r>
    </w:p>
    <w:p>
      <w:pPr>
        <w:spacing w:after="0" w:line="90" w:lineRule="exact"/>
        <w:rPr>
          <w:rFonts w:ascii="Arial" w:cs="Arial" w:eastAsia="Arial" w:hAnsi="Arial"/>
          <w:sz w:val="18"/>
          <w:szCs w:val="18"/>
          <w:color w:val="auto"/>
        </w:rPr>
      </w:pPr>
    </w:p>
    <w:p>
      <w:pPr>
        <w:ind w:left="280" w:hanging="212"/>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Personal conferencing products that enable hands-free audio communications in new ways such as through PCs, laptops, cell phones and handsets.</w:t>
      </w:r>
    </w:p>
    <w:p>
      <w:pPr>
        <w:spacing w:after="0" w:line="2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With the acquisition of NetStreams, ClearOne offers a full line of networked media and control distribution products for a wide range of commercial and residential applications.</w:t>
      </w:r>
    </w:p>
    <w:p>
      <w:pPr>
        <w:spacing w:after="0" w:line="156"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We also provide a comprehensive portfolio of media carts that provide equipment mobility and making conferencing equipment easy to access and use. We plan to continue to broaden and expand our product offerings to meet the evolving needs of our customers and partners, address changes in the markets we currently serve, and effectively target new markets for our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strategic partnerships</w:t>
      </w:r>
    </w:p>
    <w:p>
      <w:pPr>
        <w:spacing w:after="0" w:line="9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To stay on the leading edge of product and market developments, we plan to continue to identify partners with expertise in areas strategic to our growth objectives. We will work to develop partnerships with leaders in markets complimentary to our products, who can benefit from our products and technologies and through whom we can access new market growth opportunities. We have entered into partnerships with Avaya, Microsoft, NEC, Skype, and others to offer conferencing products uniquely suited to their systems and applications. We also plan to broaden the application and use of our newly acquired patented StreamNet technology by partnering with other market participants through licensing the technology, joint development of products, co-marketing, etc.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existing customer and partner relationships through dedicated support</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developed outstanding technical and sales support teams that are dedicated to providing customers and partners with the best available service and support. We believe our technical support is recognized as among the best in the industry and we will continue to invest in the necessary resources to ensure that our customers and partners have access to the information and support they need to be successful in using our products. We also dedicate significant resources to providing product training to our channel partners worldwide.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ITEM 1 -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Overview</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performance and reliability of our high-quality audio conferencing products enable effective and efficient communication between geographically separated businesses and organizations by connecting them to their employees, customers and partners. We offer a full range of audio conferencing products including professional conferencing products used in executive boardrooms, courtrooms, hospitals, classrooms, and auditoriums, premium conferencing products that interface with video and web conferencing systems, tabletop conferencing phones used in conference rooms and offices, and personal conferencing products that can be used with laptops and other portable devices. For each of the last two fiscal years and the transition period covered by this report, our professional conferencing products and tabletop confer ence phones have together contributed in excess of 77% percent of our consolidated revenue. Our audio conferencing products feature our proprietary Distributed Echo Cancellation® and noise cancellation technologies to enhance communication during a conference call by eliminating echo and background noise. Most of our products also feature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drivers of demand for audio conferencing products are the following:</w:t>
      </w:r>
    </w:p>
    <w:p>
      <w:pPr>
        <w:spacing w:after="0" w:line="36" w:lineRule="exact"/>
        <w:rPr>
          <w:sz w:val="20"/>
          <w:szCs w:val="20"/>
          <w:color w:val="auto"/>
        </w:rPr>
      </w:pPr>
    </w:p>
    <w:p>
      <w:pPr>
        <w:ind w:left="280" w:hanging="219"/>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easy-to-use conferencing systems and applications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Voice quality of audio conferencing systems as compared to the quality of telephone handset speakerphones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global, regional, and local corporate enterprises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factors we expect to have a significant impact on the demand for our audio conferencing systems include the following:</w:t>
      </w:r>
    </w:p>
    <w:p>
      <w:pPr>
        <w:spacing w:after="0" w:line="36" w:lineRule="exact"/>
        <w:rPr>
          <w:sz w:val="20"/>
          <w:szCs w:val="20"/>
          <w:color w:val="auto"/>
        </w:rPr>
      </w:pPr>
    </w:p>
    <w:p>
      <w:pPr>
        <w:ind w:left="280" w:hanging="219"/>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affordable audio conferencing solutions for small businesses and home offices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of distance learning and corporate training programs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adoption of teleworking</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travel due to cost and carbon footprint considerations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Transition to the Internet Protocol (IP) network from the traditional public switched telephone network (PSTN) and the deployment of VoIP applications</w:t>
      </w:r>
    </w:p>
    <w:p>
      <w:pPr>
        <w:spacing w:after="0" w:line="99" w:lineRule="exact"/>
        <w:rPr>
          <w:rFonts w:ascii="Arial" w:cs="Arial" w:eastAsia="Arial" w:hAnsi="Arial"/>
          <w:sz w:val="16"/>
          <w:szCs w:val="16"/>
          <w:color w:val="auto"/>
        </w:rPr>
      </w:pPr>
    </w:p>
    <w:p>
      <w:pPr>
        <w:ind w:left="280" w:hanging="219"/>
        <w:spacing w:after="0" w:line="262"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adoption of unified communication platforms that leverage the affordability and capability of personal computers as a central component of corporate communication.</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We expect these growth factors to be offset by direct competition from high-end telephone handset speakerphones, new and existing competitors in the audio conferencing market, the technological volatility of IP-based products, and continued pressures on enterprises to reduce spending.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Professional Audio Conferencing</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occupy the number one position in the global professional audio conferencing market with more than 50% of the global market share. We have been developing high-end, professional conferencing products since 1991 and believe we have established strong brand recognition for these products worldwide. Our professional conferencing products include the Converge® Pro and Converge 560/590 product lines. The Converge SR 1212 product features similar technologies and is used for sound reinforcement applications.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Converge Pro product line leads our professionally installed audio products line of product offerings. Based on the success of our Converge Pro product line, the XAP series of products was discontinued effective July 2009. The Converge Pro series delivers a significant feature set and performance improvements including unprecedented proprietary acoustical echo cancellation, noise cancellation, full duplex performance, enhanced management capabilities, and simplified configuration utilities. We continue to expand the Converge Pro product line with the addition of the Converge 880T and 880TA products which consolidates the functionality of an audio amplifier and telephone interface into a single product.</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 w:right="2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products offer easier installation and increased features to our customers and partners. The Converge SR 1212 is a digital matrix mixer that provides advanced audio processing, microphone mixing, and routing for sound reinforcement. This product line was also expanded with the addition of the Converge SR 1212A which integrates a 4 channel audio amplifier, our proprietary DARE® feedback eliminator and industry leading expandability with the features of the Converge SR1212 into a single product. These products are comprehensive audio processing systems designed to excel in the most demanding acoustical environments and routing con figurations. These products are also used for integrating high-quality audio with video and web conferencing systems.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added Converge Pro VH20 to our Converge Pro family of products in October 2009. VH20 provides a direct connection between Converge Pro audio conferencing systems and VoIP PBX phone systems so that users can transport audio signals across their IP networks. VH20 easily links with any of ClearOne's Converge Pro products to create a complete audio conferencing system that can quickly be integrated with Cisco, Avaya and many other VoIP PBX phone systems for complete interoperability. VH20 also delivers wideband audio for rich and crystal clear sound, provides guaranteed quality of service (QoS), and ensures full security with TLS, AES and SRTP encryption. We believe these features combine to deliver the most advanced prof essional quality VoIP audio interface available on the market today.</w:t>
      </w:r>
    </w:p>
    <w:p>
      <w:pPr>
        <w:spacing w:after="0" w:line="176"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response to our customers’ and partners’ need for professional audio solutions that would fit the budgetary requirements for mid-sized conference rooms, we designed the Converge 560 and Converge 590 professional conferencing products. These products are positioned between our professional and premium conferencing product lines both in terms of functionality and price, and are an excellent fit for rooms requiring customized microphone (up to nine microphones) and speaker configurations along with connectivity to leading video and web conferencing systems and applications.</w:t>
      </w:r>
    </w:p>
    <w:p>
      <w:pPr>
        <w:spacing w:after="0" w:line="14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June 2008, we announced the introduction of two models of Converge Amplifiers, PA2250 and PA4160. However, for operational and strategic reasons, the products were discontinued.</w:t>
      </w:r>
    </w:p>
    <w:p>
      <w:pPr>
        <w:spacing w:after="0" w:line="156"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We also offer a Tabletop Controller for the Converge Pro product lines. This affordable solution gives users the ability to easily start and navigate an audio conference without the need for touch panel control systems, which can be expensive, complex, or intimidating to users. The dial pad on the controller resembles a telephone keypad for instant familiarity and users can dial a conference call as easily as dialing a telephone. The Tabletop Controller can be significantly less expensive than touch-screen panel control systems, which require considerable integration and programming time and costs.</w:t>
      </w:r>
    </w:p>
    <w:p>
      <w:pPr>
        <w:spacing w:after="0" w:line="14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Frost and Sullivan, a leading global research and consulting group, awarded us their Product Line Strategy Award for both 2007 and 2006. This award is presented each year to a company that has demonstrated the most insight into customer needs and product demands within their industry, and has optimized its product line by leveraging products with the various price, performance, and feature points required by the market.</w:t>
      </w:r>
    </w:p>
    <w:p>
      <w:pPr>
        <w:spacing w:after="0" w:line="151"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In November 2008, Frost and Sullivan awarded us their 2008 Global Market Leadership Award. This award is given to the company that has exhibited excellence in all areas of the market leadership process, including the identification of market challenges, drivers and restraints, as well as strategy development and methods of addressing changing market dynamics. Frost &amp; Sullivan noted that ClearOne not only has the largest market share in the installed audio segment, but has also put into practice growth and implementation strategies to a degree well above most of their competitors. We were recognized for our ability to expand our market share, integrate new technologies into our portfolio of products, and maintain market-leading pricing.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Premium Conferencing</w:t>
      </w:r>
    </w:p>
    <w:p>
      <w:pPr>
        <w:spacing w:after="0" w:line="198"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Our RAV audio conferencing product is a complete, out-of-the-box system that includes an audio mixer, Bose® loudspeakers, microphones, and a control device that can be either wired or wireless. The RAV product uniquely combines the sound quality of a professionally installed audio system with the simplicity of a conference phone and can be easily connected to rich-media devices, such as video or web conferencing systems, to deliver enhanced audio performance.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RAV is strategically positioned between our professional and tabletop conferencing products in price and functionality, and fills an important audio conferencing solution requiring integration of quality audio with leading video and web conferencing systems and applications. RAV offers many powerful audio processing technologies from our professional conferencing products without the need for professional installation and programming.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Tabletop Conferencing</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MAX line of tabletop conferencing phones utilizes many of the high-end echo cancellation, noise cancellation, and audio processing technologies found in our professional audio conferencing products.</w:t>
      </w:r>
    </w:p>
    <w:p>
      <w:pPr>
        <w:spacing w:after="0" w:line="156"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MAX product line is comprised of the following product families: the MAX® EX and MAXAttach™; MAX Wireless and MAXAttach Wireless; and MAX IP™ and MAXAttach IP™ tabletop conferencing phones. MAX Wireless was the industry’s first wireless conferencing phone. Designed for use in executive offices or small conference rooms with multiple participants, MAX Wireless can be moved from room to room within 150 feet of its base station.</w:t>
      </w:r>
    </w:p>
    <w:p>
      <w:pPr>
        <w:ind w:right="580"/>
        <w:spacing w:after="0" w:line="243" w:lineRule="auto"/>
        <w:rPr>
          <w:sz w:val="20"/>
          <w:szCs w:val="20"/>
          <w:color w:val="auto"/>
        </w:rPr>
      </w:pPr>
      <w:r>
        <w:rPr>
          <w:rFonts w:ascii="Arial" w:cs="Arial" w:eastAsia="Arial" w:hAnsi="Arial"/>
          <w:sz w:val="18"/>
          <w:szCs w:val="18"/>
          <w:color w:val="auto"/>
        </w:rPr>
        <w:t>MAXAttach Wireless was the industry’s first and remains the only dual-phone, completely wireless solution. This system gives customers tremendous flexibility in covering larger conference room areas.</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MAX EX and MAXAttach wired phones feature an industry-first capability – instead of just adding extension microphones for use in larger rooms, the conference phones can be daisy chained together, up to a total of four phones. This provides even distribution of microphones, loudspeakers, and controls for better sound quality and improved user access in medium to large conference rooms. In addition, all MAXAttach wired versions can be used separately when they are not daisy-chained together.</w:t>
      </w:r>
    </w:p>
    <w:p>
      <w:pPr>
        <w:spacing w:after="0" w:line="17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MAX IP and MAXAttach IP are VoIP tabletop conference phones which are based on the industry-standard SIP signaling protocol. These phones can also be daisy-chained together, up to a total of four phones providing outstanding room and control coverage that other VoIP conference phones on the market cannot match.</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latest addition to the MAX family is MAX IP Response Point. Response Point is an innovative new phone system from Microsoft® that utilizes voice recognition technology to create an easy to use experience for small business users. MAX IP Response Point is the first and only conference phone for the response point phone system, bringing high performance audio to small business. MAX IP Response Point contains HDConference™, our suite of high-performance audio processing technologies and provides the ability to daisy-chain up to four phones together. In January 2009, Internet Telephony magazine recognized MAX IP Response Point as a recipient of its 2008 Product of the Year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Personal Conferencing Products</w:t>
      </w:r>
    </w:p>
    <w:p>
      <w:pPr>
        <w:spacing w:after="0" w:line="198"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Our CHAT™ line of conferencing speaker phones delivers our trademark crystal-clear full-duplex audio performance, and can be used in a variety of applications with a wide number of devices including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PCs and Macs</w:t>
            </w:r>
          </w:p>
        </w:tc>
        <w:tc>
          <w:tcPr>
            <w:tcW w:w="9040" w:type="dxa"/>
            <w:vAlign w:val="bottom"/>
          </w:tcPr>
          <w:p>
            <w:pPr>
              <w:ind w:left="80"/>
              <w:spacing w:after="0"/>
              <w:rPr>
                <w:sz w:val="20"/>
                <w:szCs w:val="20"/>
                <w:color w:val="auto"/>
              </w:rPr>
            </w:pPr>
            <w:r>
              <w:rPr>
                <w:rFonts w:ascii="Arial" w:cs="Arial" w:eastAsia="Arial" w:hAnsi="Arial"/>
                <w:sz w:val="18"/>
                <w:szCs w:val="18"/>
                <w:color w:val="auto"/>
                <w:w w:val="92"/>
              </w:rPr>
              <w:t>VoIP telephony applications such as Skype; Popular audio instant messaging (IM) applications like Yahoo, MSN, Google,</w:t>
            </w:r>
          </w:p>
        </w:tc>
      </w:tr>
      <w:tr>
        <w:trPr>
          <w:trHeight w:val="230"/>
        </w:trPr>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040" w:type="dxa"/>
            <w:vAlign w:val="bottom"/>
          </w:tcPr>
          <w:p>
            <w:pPr>
              <w:ind w:left="80"/>
              <w:spacing w:after="0"/>
              <w:rPr>
                <w:sz w:val="20"/>
                <w:szCs w:val="20"/>
                <w:color w:val="auto"/>
              </w:rPr>
            </w:pPr>
            <w:r>
              <w:rPr>
                <w:rFonts w:ascii="Arial" w:cs="Arial" w:eastAsia="Arial" w:hAnsi="Arial"/>
                <w:sz w:val="18"/>
                <w:szCs w:val="18"/>
                <w:color w:val="auto"/>
              </w:rPr>
              <w:t>etc.; enterprise softphones; audio for web-based videoconferencing applications; gaming; music playback</w:t>
            </w:r>
          </w:p>
        </w:tc>
      </w:tr>
      <w:tr>
        <w:trPr>
          <w:trHeight w:val="284"/>
        </w:trPr>
        <w:tc>
          <w:tcPr>
            <w:tcW w:w="2380" w:type="dxa"/>
            <w:vAlign w:val="bottom"/>
            <w:gridSpan w:val="2"/>
          </w:tcPr>
          <w:p>
            <w:pPr>
              <w:ind w:left="60"/>
              <w:spacing w:after="0"/>
              <w:rPr>
                <w:sz w:val="20"/>
                <w:szCs w:val="20"/>
                <w:color w:val="auto"/>
              </w:rPr>
            </w:pPr>
            <w:r>
              <w:rPr>
                <w:rFonts w:ascii="Arial" w:cs="Arial" w:eastAsia="Arial" w:hAnsi="Arial"/>
                <w:sz w:val="18"/>
                <w:szCs w:val="18"/>
                <w:color w:val="auto"/>
              </w:rPr>
              <w:t>● Cell and Smart phones</w:t>
            </w:r>
          </w:p>
        </w:tc>
        <w:tc>
          <w:tcPr>
            <w:tcW w:w="9040" w:type="dxa"/>
            <w:vAlign w:val="bottom"/>
          </w:tcPr>
          <w:p>
            <w:pPr>
              <w:ind w:left="80"/>
              <w:spacing w:after="0"/>
              <w:rPr>
                <w:sz w:val="20"/>
                <w:szCs w:val="20"/>
                <w:color w:val="auto"/>
              </w:rPr>
            </w:pPr>
            <w:r>
              <w:rPr>
                <w:rFonts w:ascii="Arial" w:cs="Arial" w:eastAsia="Arial" w:hAnsi="Arial"/>
                <w:sz w:val="18"/>
                <w:szCs w:val="18"/>
                <w:color w:val="auto"/>
                <w:w w:val="98"/>
              </w:rPr>
              <w:t>Connects to the 2.5mm headset jack of many cell and smart phones for hands-free, full-duplex audio conferencing</w:t>
            </w:r>
          </w:p>
        </w:tc>
      </w:tr>
      <w:tr>
        <w:trPr>
          <w:trHeight w:val="284"/>
        </w:trPr>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rPr>
              <w:t>Telephones</w:t>
            </w:r>
          </w:p>
        </w:tc>
        <w:tc>
          <w:tcPr>
            <w:tcW w:w="9040" w:type="dxa"/>
            <w:vAlign w:val="bottom"/>
          </w:tcPr>
          <w:p>
            <w:pPr>
              <w:ind w:left="80"/>
              <w:spacing w:after="0"/>
              <w:rPr>
                <w:sz w:val="20"/>
                <w:szCs w:val="20"/>
                <w:color w:val="auto"/>
              </w:rPr>
            </w:pPr>
            <w:r>
              <w:rPr>
                <w:rFonts w:ascii="Arial" w:cs="Arial" w:eastAsia="Arial" w:hAnsi="Arial"/>
                <w:sz w:val="18"/>
                <w:szCs w:val="18"/>
                <w:color w:val="auto"/>
              </w:rPr>
              <w:t>Connects to the headset jack (certain phone models) for hands-free, full-duplex audio conferencing</w:t>
            </w:r>
          </w:p>
        </w:tc>
      </w:tr>
      <w:tr>
        <w:trPr>
          <w:trHeight w:val="284"/>
        </w:trPr>
        <w:tc>
          <w:tcPr>
            <w:tcW w:w="2380" w:type="dxa"/>
            <w:vAlign w:val="bottom"/>
            <w:gridSpan w:val="2"/>
          </w:tcPr>
          <w:p>
            <w:pPr>
              <w:ind w:left="60"/>
              <w:spacing w:after="0"/>
              <w:rPr>
                <w:sz w:val="20"/>
                <w:szCs w:val="20"/>
                <w:color w:val="auto"/>
              </w:rPr>
            </w:pPr>
            <w:r>
              <w:rPr>
                <w:rFonts w:ascii="Arial" w:cs="Arial" w:eastAsia="Arial" w:hAnsi="Arial"/>
                <w:sz w:val="18"/>
                <w:szCs w:val="18"/>
                <w:color w:val="auto"/>
              </w:rPr>
              <w:t>● iPods and MP3 players</w:t>
            </w:r>
          </w:p>
        </w:tc>
        <w:tc>
          <w:tcPr>
            <w:tcW w:w="9040" w:type="dxa"/>
            <w:vAlign w:val="bottom"/>
          </w:tcPr>
          <w:p>
            <w:pPr>
              <w:ind w:left="80"/>
              <w:spacing w:after="0"/>
              <w:rPr>
                <w:sz w:val="20"/>
                <w:szCs w:val="20"/>
                <w:color w:val="auto"/>
              </w:rPr>
            </w:pPr>
            <w:r>
              <w:rPr>
                <w:rFonts w:ascii="Arial" w:cs="Arial" w:eastAsia="Arial" w:hAnsi="Arial"/>
                <w:sz w:val="18"/>
                <w:szCs w:val="18"/>
                <w:color w:val="auto"/>
              </w:rPr>
              <w:t>For full-bandwidth audio playback</w:t>
            </w:r>
          </w:p>
        </w:tc>
      </w:tr>
      <w:tr>
        <w:trPr>
          <w:trHeight w:val="256"/>
        </w:trPr>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160" w:type="dxa"/>
            <w:vAlign w:val="bottom"/>
          </w:tcPr>
          <w:p>
            <w:pPr>
              <w:ind w:left="60"/>
              <w:spacing w:after="0"/>
              <w:rPr>
                <w:sz w:val="20"/>
                <w:szCs w:val="20"/>
                <w:color w:val="auto"/>
              </w:rPr>
            </w:pPr>
            <w:r>
              <w:rPr>
                <w:rFonts w:ascii="Arial" w:cs="Arial" w:eastAsia="Arial" w:hAnsi="Arial"/>
                <w:sz w:val="18"/>
                <w:szCs w:val="18"/>
                <w:color w:val="auto"/>
                <w:w w:val="93"/>
              </w:rPr>
              <w:t>Desktop video conferencing</w:t>
            </w:r>
          </w:p>
        </w:tc>
        <w:tc>
          <w:tcPr>
            <w:tcW w:w="9040" w:type="dxa"/>
            <w:vAlign w:val="bottom"/>
          </w:tcPr>
          <w:p>
            <w:pPr>
              <w:ind w:left="80"/>
              <w:spacing w:after="0"/>
              <w:rPr>
                <w:sz w:val="20"/>
                <w:szCs w:val="20"/>
                <w:color w:val="auto"/>
              </w:rPr>
            </w:pPr>
            <w:r>
              <w:rPr>
                <w:rFonts w:ascii="Arial" w:cs="Arial" w:eastAsia="Arial" w:hAnsi="Arial"/>
                <w:sz w:val="18"/>
                <w:szCs w:val="18"/>
                <w:color w:val="auto"/>
              </w:rPr>
              <w:t>For hands-free, full-duplex audio conferencing</w:t>
            </w:r>
          </w:p>
        </w:tc>
      </w:tr>
      <w:tr>
        <w:trPr>
          <w:trHeight w:val="230"/>
        </w:trPr>
        <w:tc>
          <w:tcPr>
            <w:tcW w:w="220" w:type="dxa"/>
            <w:vAlign w:val="bottom"/>
          </w:tcPr>
          <w:p>
            <w:pPr>
              <w:spacing w:after="0"/>
              <w:rPr>
                <w:sz w:val="20"/>
                <w:szCs w:val="20"/>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systems</w:t>
            </w:r>
          </w:p>
        </w:tc>
        <w:tc>
          <w:tcPr>
            <w:tcW w:w="9040" w:type="dxa"/>
            <w:vAlign w:val="bottom"/>
          </w:tcPr>
          <w:p>
            <w:pPr>
              <w:spacing w:after="0"/>
              <w:rPr>
                <w:sz w:val="20"/>
                <w:szCs w:val="20"/>
                <w:color w:val="auto"/>
              </w:rPr>
            </w:pPr>
          </w:p>
        </w:tc>
      </w:tr>
      <w:tr>
        <w:trPr>
          <w:trHeight w:val="825"/>
        </w:trPr>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040" w:type="dxa"/>
            <w:vAlign w:val="bottom"/>
          </w:tcPr>
          <w:p>
            <w:pPr>
              <w:ind w:left="3220"/>
              <w:spacing w:after="0"/>
              <w:rPr>
                <w:sz w:val="20"/>
                <w:szCs w:val="20"/>
                <w:color w:val="auto"/>
              </w:rPr>
            </w:pPr>
            <w:r>
              <w:rPr>
                <w:rFonts w:ascii="Arial" w:cs="Arial" w:eastAsia="Arial" w:hAnsi="Arial"/>
                <w:sz w:val="14"/>
                <w:szCs w:val="14"/>
                <w:b w:val="1"/>
                <w:bCs w:val="1"/>
                <w:color w:val="auto"/>
              </w:rPr>
              <w:t>- 7 -</w:t>
            </w:r>
          </w:p>
        </w:tc>
      </w:tr>
      <w:tr>
        <w:trPr>
          <w:trHeight w:val="130"/>
        </w:trPr>
        <w:tc>
          <w:tcPr>
            <w:tcW w:w="22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9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200" w:lineRule="exact"/>
        <w:rPr>
          <w:sz w:val="20"/>
          <w:szCs w:val="20"/>
          <w:color w:val="auto"/>
        </w:rPr>
      </w:pPr>
    </w:p>
    <w:p>
      <w:pPr>
        <w:spacing w:after="0" w:line="21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CHAT 50 attracted significant media coverage and won many recognitions since its introduction including, PC Magazine’s Editors’ Choice Award in March 2006 and Portable Computer Magazine’s Best for Business Products Award for 2007.</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CHAT 150 offers many of the same connectivity options as CHAT 50, but features three microphones in a larger form factor for use by a larger number of participants compared to CHAT 50. Customers have the ability to add a high-quality, full-duplex speaker phone to their handsets, and still retain the full functionality that comes with today’s handsets, including access to company directory, voicemail access, audio bridge functions, etc. CHAT 150 makes it possible to introduce quality conferencing capability without the need for extending an additional analog PBX line.</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2009 CHAT 170 and CHAT 70 were introduced to fill the needs for a hands-free speakerphone for individuals using Microsoft's unified communications platform, Office Communications Server 2007. CHAT 70 is similar to CHAT 50 with single microphone, while CHAT 170 has three microphones like CHAT 150. CHAT 70 and CHAT 170 utilize technologies shared by CHAT 50 and CHAT 150 including HDConference and full duplex audio technologies. CHAT 70 and CHAT 170 are the perfect audio peripherals for greatly enhanced collaboration through unified communication. True to their plug-and-play capabilities, CHAT 70 and CHAT 170 require no drivers to be installed and plug into a USB port - enabling all incoming Office Communicator calls to ring on the CHAT 70 or CHAT 170. In the short period since its introduction, CHAT 170 has already gained industry-wide recognition and media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CHAT 60 and CHAT 160 were introduced after June 30, 2009 to support Skype users.</w:t>
      </w:r>
    </w:p>
    <w:p>
      <w:pPr>
        <w:spacing w:after="0" w:line="198"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Our personal conferencing products have become popular with large enterprises and organizations. We have entered into partnerships with Avistar, Microsoft, Skype, and others to offer personal conferencing products uniquely suited to their systems and applications for their enterprise users and consumers.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Networked media and control distribution products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DigiLinX IP audio, video and control system is extremely easy to use. The system can control audio sources, video sources, security systems, HVAC systems and lighting and can activate multiple actions all together in just a single touch. This multi-room system creates a seamless web where audio, video, gaming, heating, air conditioning, security and lighting all reside on one system making for a truly interactive experience. The system enables control through its attractive touch screens, computer or any device with a built-in web browser. DigiLinX also allows you to communicate through room-to-room paging, room monitoring and answering the door using the intercom. DigiLinX has no limits on the numbers of sources, displays, or amplifiers in a project and can be used from residential homes with a few rooms to large commercial projects.</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Expanding the network size is as simple as adding a computer to the network. There is no central controller that limits the number of devices on the network. Content and control are carried over existing network wiring obviating the necessity to pull separate bundles of cable for audio, video, and another system for controlling the sources and displays. Converting an audio or video signal to TCP/IP, preserves the quality of the signal across the network. Unlike analog systems, which lose quality over long distances,TCP/IP packets are decoded with exactly the same quality as they were encoded. Whether the signal is being sent to the next floor or across the campus it arrives just as it was sent. ClearOne’s networked media and control distribution products also allow for decentralization of hardware. Each p iece of hardware contains the needed processing and interfaces for its function. The DigiLinX graphical user interface (GUI) is dynamically generated based on the devices connected on the network requiring no additional programming. The GUI includes everything needed to easily control a system and any third party systems, saving time and money on costly user interface design.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ClearOne's patented StreamNet Technology encompasses several protocols, conventions, and technologies to insure the best quality audio and video distribution over TCP/IP. StreamNet technology provides an end-to-end all digital solution with A/V signal synchronization, automatic device discovery &amp; configuration, remote access for control, software upgrades and more. One fundamental problem with using TCP/IP to distribute digital audio to multiple zones is the synchronization of playback. Without synchronization, audio can sputter, cut out, or have strong echo effects from room to room, sometimes playing several seconds apart. ClearOne’s StreamNet® technology ensures that audio or video content is synchronized to less than a millisecond of each device, preventing any odd echoing or latency.</w:t>
      </w:r>
    </w:p>
    <w:p>
      <w:pPr>
        <w:spacing w:after="0" w:line="17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Musica Distributed Audio system is designed to deliver superior audio performance and features interactive keypads that are very easy to operate and use. The advanced design of the Musica system places digital amplifiers in each zone, behind each keypad, rather than in one central location. This improves sound quality by reducing noise, distortion and power losses as well as increasing reliability and simplifying the installation. Any Musica keypad can be upgraded to include a digital FM Tuner, allowing every zone an independent selection of radio stations. Audio Ports of Musica are highly flexible, allowing the output of the distributed audio to be coupled with a powered subwoofer or external amplifier, as well as the input of a local source such as a television monitor or cable box.</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Quartet®, a residential electronics solution offers an affordable alternative to projects that do not require the full capabilities of Musica. The system enables homeowners to enjoy exceptional audio quality from different audio sources in up to four different zones at the same time.</w:t>
      </w:r>
    </w:p>
    <w:p>
      <w:pPr>
        <w:spacing w:after="0" w:line="15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Panorama® video system is a point to multi-point high definition video distribution and control system. The system serves as the central video switch and distributes various video sources including composite, S-videoand component video sources over standard network cable. Multiple Panorama systems can be cascaded for distribution of video for larger systems. Panorama can also be integrated with DigiLinX and Musica and other third party control systems.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Media Carts</w:t>
      </w:r>
    </w:p>
    <w:p>
      <w:pPr>
        <w:spacing w:after="0" w:line="198"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We complement our audio conferencing products with microphones, media carts for audio and video conferencing. Our wide selection of wood, metal, and laminate media carts features audiovisual carts; plasma screen carts and video conferencing carts. We expanded our Titan media carts line with the Titan Articulating Arm Dual Plasma Cart in June 2009. This innovative product features an articulating plasma mounting system that folds the monitor support arms for angle viewing, transportation and storage. Once folded the cart will fit into standard elevators or through standard doorways while accommodating most Plasma or LCD displays up to 50”. In June 2009, we announced the introduction of ClearPresence Dual Media Cart to accommodate two flat screen monitors for video and audio conferencing systems. However, for operational and strategic reasons, the product was discontinued.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primarily use a two-tier channel model, through which we sell our products directly to a worldwide network of independent audiovisual, residential electronics, information technology, and telecommunications distributors, who then sell our products to independent systems integrators, dealers, and value-added resellers, who in turn work directly with the end-users of our products for product fulfillment and installation. We also sell our products on a limited basis directly to certain dealers, systems integrators, value-added resellers, and end-users.</w:t>
      </w:r>
    </w:p>
    <w:p>
      <w:pPr>
        <w:spacing w:after="0" w:line="175" w:lineRule="exact"/>
        <w:rPr>
          <w:sz w:val="20"/>
          <w:szCs w:val="20"/>
          <w:color w:val="auto"/>
        </w:rPr>
      </w:pPr>
    </w:p>
    <w:p>
      <w:pPr>
        <w:jc w:val="both"/>
        <w:ind w:right="260"/>
        <w:spacing w:after="0" w:line="294" w:lineRule="auto"/>
        <w:rPr>
          <w:sz w:val="20"/>
          <w:szCs w:val="20"/>
          <w:color w:val="auto"/>
        </w:rPr>
      </w:pPr>
      <w:r>
        <w:rPr>
          <w:rFonts w:ascii="Arial" w:cs="Arial" w:eastAsia="Arial" w:hAnsi="Arial"/>
          <w:sz w:val="16"/>
          <w:szCs w:val="16"/>
          <w:color w:val="auto"/>
        </w:rPr>
        <w:t>During the transition period, approximately $10.8 million, or 64 percent, of our total product sales were generated in the United States and product sales of approximately $6.0 million, or 36 percent, were generated outside the United States. Revenue from product sales to customers outside of the United States accounted for approximately 32 percent of our total product sales for fiscal 2009 and approximately 30 percent of our total product sales for fiscal 2008.</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We sell directly to our distributors, resellers and end users in more than 55 countries worldwide. We anticipate that the portion of our total product revenue from international sales will continue to increase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Distributors and resellers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sell our products directly to approximately 190 distributors and resellers throughout the world. Distributors and resellers purchase our products at a discount from list price and resell them on a non-exclusive basis to independent systems integrators, dealers, and other value-added resellers.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Dealers, and Resellers</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direct distributors and resellers sell our products worldwide to approximately 1,000 independent system integrators, telephony value-added resellers, IT value-added resellers, and PC dealers on a non-exclusive basis. While dealers, resellers, and system integrators all sell our products directly to the end-users, system integrators typically add significant value to each sale by combining our products with products from other manufacturers as part of an integrated system solution. Dealers and value-added resellers usually purchase our products from distributors and may bundle our products with products from other manufacturers for resale to the end-user. We maintain close working relationships with our reseller partners and offer them education and training on all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198"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to advertising our products in popular publications serving the conferencing and residential electronics industries, we also conduct public relations initiatives to get press coverage and product reviews in industry and non-industry publications alike.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0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do not believe that any end-user accounted for more than 10 percent of our total revenue during fiscal 2009 or 2008. Revenues included sales to three distributors that represented approximately 50 and 58 percent of total revenue during the transition period of six months ended December 31, 2009 and fiscal year ended June 30, 2009, respectively. Each of these three distributors, NewComm Distributing, Starin Marketing and VSO Marketing, accounted for more than 10 percent of consolidated revenue during the transition period of six months ended December 31, 2009 and fiscal year ended June 30, 2009. As discussed above, these distributors facilitate product sales to a large number of independent systems integrators, dealers, and value-added resellers and subsequently to their end-users. The loss of one or more dis tributors could reduce revenue and have a material adverse effect on our business and results of operations. As of December 31, 2009, our shipped orders on which we had not recognized revenue were $4.7 million and our backlog of unshipped orders was $255,000.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conferencing and the networked media and control distribution product markets are characterized by intense competition and rapidly evolving technology.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61"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Our competitors vary within each product category. We believe we are able to differentiate ourselves and therefore successfully compete as a result of the high audio quality of our products resulting from our proprietary audio signal processing technologies, patented IP based networking technology, technical and channel support services, and the strength of our brands.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39" w:lineRule="exact"/>
        <w:rPr>
          <w:sz w:val="20"/>
          <w:szCs w:val="20"/>
          <w:color w:val="auto"/>
        </w:rPr>
      </w:pPr>
    </w:p>
    <w:p>
      <w:pPr>
        <w:ind w:left="280" w:hanging="219"/>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and functionality of the products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 and deep channel partnerships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history of successful world-wide installations for diverse vertical markets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name recognition</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of customer and partner support, and</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sales and marketing communication</w:t>
      </w:r>
    </w:p>
    <w:p>
      <w:pPr>
        <w:spacing w:after="0" w:line="23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the professional audio conferencing systems and sound reinforcement markets, our main competitors include Biamp Systems, Harman International, Lectrosonics, Peavey, Polycom, and Shure and their original equipment manufacturing (OEM) partners, with several other companies potentially poised to enter the market. We occupy the number one position in the global professional audio conferencing market with more than 50% of the global market share. We uniquely contributed to the professional conferencing market with the introduction of the Audio Perfect (“AP”) product line a number of years ago, followed by the XAP and recently with the introduction of Converge Pro. We believe we continue to have a strong reputation with the system integrators and audio visual consultants.</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believe we created a new audio conferencing category with the introduction of the RAV platform, which we call premium conferencing. RAV is a unique product with capabilities we do not believe can be found on any other competing system.</w:t>
      </w:r>
    </w:p>
    <w:p>
      <w:pPr>
        <w:spacing w:after="0" w:line="15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the tabletop conferencing market, we face significant competition from Aethra, Konftel, LifeSize (now part of Logitech), Panasonic and Polycom and especially from their OEM partnerships. The significant portion of the tabletop market is covered by sales through OEM partnerships. While we believe MAX products have unique features like the ability to attach or daisy chain multiple phones together and have superior quality through our proprietary digital signal processing technologies, our limited OEM partnerships and pricing pressures from higher volume competitors restrict our ability to expand our existing share of this market.</w:t>
      </w:r>
    </w:p>
    <w:p>
      <w:pPr>
        <w:spacing w:after="0" w:line="176"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The personal conferencing market has seen a number of new entrants. Our primary competitors in the personal conferencing market are Actiontec, Iogear, mVox, Phoenix Audio and Polycom and their OEM partners. We believe that our CHAT family of products offer unique advantages in their superior audio performance and their abilities to connect to multiple devices for variety of applications.</w:t>
      </w:r>
    </w:p>
    <w:p>
      <w:pPr>
        <w:spacing w:after="0" w:line="16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Our networked media and control distribution products face intense competition from a few well-established corporations like AMX, Crestron, Extron and Linear and numerous other competitors of diversified capabilities and strengths. We believe that our pioneering patented StreamNet technology delivers superior audio and video performance and provides us a competitive edge over other industry players.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media carts compete primarily with the products of Accuwood, Comlink, and Video Furniture International and multiple small vendors. Sales of media carts are affected by shipping costs, resulting in higher product costs when compared to local vendors and suppliers.</w:t>
      </w:r>
    </w:p>
    <w:p>
      <w:pPr>
        <w:spacing w:after="0" w:line="156" w:lineRule="exact"/>
        <w:rPr>
          <w:sz w:val="20"/>
          <w:szCs w:val="20"/>
          <w:color w:val="auto"/>
        </w:rPr>
      </w:pPr>
    </w:p>
    <w:p>
      <w:pPr>
        <w:jc w:val="both"/>
        <w:ind w:right="660"/>
        <w:spacing w:after="0" w:line="248" w:lineRule="auto"/>
        <w:rPr>
          <w:sz w:val="20"/>
          <w:szCs w:val="20"/>
          <w:color w:val="auto"/>
        </w:rPr>
      </w:pPr>
      <w:r>
        <w:rPr>
          <w:rFonts w:ascii="Arial" w:cs="Arial" w:eastAsia="Arial" w:hAnsi="Arial"/>
          <w:sz w:val="18"/>
          <w:szCs w:val="18"/>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We cannot provide assurance that we will continue to compete effectively in the markets we serve.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02"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manufacture our products through contract manufacturers, who are generally responsible to source and procure required raw materials and components. Most of the components that our contract manufacturers require for manufacturing our products are readily available from a number of sources. We continually work with our contract manufacturers to seek alternative sources for all our components and raw materials requirements to ensure higher quality and better pricing. Most of our contract manufacturers and their vendors are qualified by Corporate Quality Assurance. We work with our contract manufacturers to ensure raw materials and components conform to our specifications.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Currently, all of our products are manufactured by third-party manufacturers. Our primary contract manufacturer is Flextronics.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audio conferencing products revenue has historically been strongest during the second and fourth quarters though the variations between the quarters are not consistently significant. There can be no assurance that any historic sales patterns will continue and, as a result, sales for any prior quarter are not necessarily indicative of the sales to be expected in any future quarter.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$3.5 million during the six months ended December 31, 2009, $7.5 million in fiscal year ended June 30, 2009 and $7.1 million in fiscal year ended June 30, 2008.</w:t>
      </w:r>
    </w:p>
    <w:p>
      <w:pPr>
        <w:spacing w:after="0" w:line="169"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Our core competencies in research and product development include (a) many audio technologies, including telephone echo cancellation, acoustic echo cancellation, and noise cancellation using advanced digital signal processing technology, and (b) networking and media distribution technologies. We also have expertise in wireless technologies, VoIP, and software and network application development. We believe that ongoing development of our core technological competencies is vital to develop new products and to enhance existing products.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ITEM 1 -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16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currently have about 40 patents, whether applied for, pending or issued, that cover conferencing products and networking and media distribution technologies. The expiration dates of issued patents range from 2018 to 2025. We hold 21 registered trademarks and have also applied for registration for 13 trademarks. Registered trademarks include ClearOne, XAP, MAX, Converge, CHAT, AccuMic, Distributed Echo Cancellation, Gentner, NetStreams, StreamNet and others. We have also filed for trademarks for CleaRoom, AVoIP, Interact, and other marks we use. We have received or filed for registered copyrights of certain of our source code for acoustic echo cancellation and other related audio signal processing algorithms.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2009, we had 121 full-time employees and one part-time employee. Of these employees, 83 were located in our Salt Lake City office, 32 in other U.S. locations, two in the United Kingdom and four in Asia. None of our employees are subject to a collective bargaining agreement and we believe our relationship with our employees is good. We occasionally hire contractors with specific skill sets to meet our operational needs.</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transition report on Form 10-K, including our consolidated financial statements and related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9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19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13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 ed. Higher inventory levels or stock shortages may also result from difficulties in estimating customer demand.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1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ITEM 1A -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198" w:lineRule="exact"/>
        <w:rPr>
          <w:sz w:val="20"/>
          <w:szCs w:val="20"/>
          <w:color w:val="auto"/>
        </w:rPr>
      </w:pPr>
    </w:p>
    <w:p>
      <w:pPr>
        <w:ind w:right="600"/>
        <w:spacing w:after="0" w:line="270" w:lineRule="auto"/>
        <w:rPr>
          <w:sz w:val="20"/>
          <w:szCs w:val="20"/>
          <w:color w:val="auto"/>
        </w:rPr>
      </w:pPr>
      <w:r>
        <w:rPr>
          <w:rFonts w:ascii="Arial" w:cs="Arial" w:eastAsia="Arial" w:hAnsi="Arial"/>
          <w:sz w:val="17"/>
          <w:szCs w:val="17"/>
          <w:color w:val="auto"/>
        </w:rPr>
        <w:t>We have, in the past,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 the following:</w:t>
      </w:r>
    </w:p>
    <w:p>
      <w:pPr>
        <w:spacing w:after="0" w:line="191" w:lineRule="exact"/>
        <w:rPr>
          <w:sz w:val="20"/>
          <w:szCs w:val="20"/>
          <w:color w:val="auto"/>
        </w:rPr>
      </w:pPr>
    </w:p>
    <w:p>
      <w:pPr>
        <w:ind w:left="280" w:hanging="2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39"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 could adversely affect our net revenue and profit margins.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adversely be affected if we reduce product prices significantly or distributors happen to have significant inventory on-hand of the affected product at the time of a price reduction. Further, if we do not have sufficient cash resources to compensate distributors on terms satisfactory to them or us, our price protection obligations may prevent us from reacting quickly to competitive market conditions.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reporting of channel inventory by distributors to recognize revenue from product sales to them, which could turn out to be inaccurate.</w:t>
      </w:r>
    </w:p>
    <w:p>
      <w:pPr>
        <w:spacing w:after="0" w:line="21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periodically audit a limited number of distributors.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depend on an outsourced manufacturing strategy, and any disruption in their services could negatively impact our product availability and revenues.</w:t>
      </w:r>
    </w:p>
    <w:p>
      <w:pPr>
        <w:spacing w:after="0" w:line="210"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We outsource the manufacturing of all of our products to third-party manufacturers located in both the U.S. and Asia. If any of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would have a material adverse effect on our business. Operating in the in 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integrating past or potential future acquisitions could adversely affect our business.</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recently acquired NetStreams, a pioneer in digital media networks based on Internet Protocol (TCP/IP). The efficient and effective integration of this business into our organization is important to our growth. Any acquisition involves numerous risks, including difficulties in integrating the operations, technologies and products of the acquired companies, the diversion of our management's attention from other business concerns, and the potential loss of key customers or employees of an acquired company. Failure to achieve the anticipated benefits of this and any future acquisitions or to successfully integrate the operations of any companies we acquire could also harm our bu siness, results of operations and cash flows. Additionally, we cannot assure you that we will not incur material charges in future quarters to reflect additonal costs associated with acquisitions or any future acquisitions we may make.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1A -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 nfringement claims in the future. Our industry is characterized by vigorous protection of intellectual property rights. Such claims and the resulting litigation are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9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 With respect to any patent application we have filed, we cannot assure that a patent will be awarded.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83" w:lineRule="exact"/>
        <w:rPr>
          <w:sz w:val="20"/>
          <w:szCs w:val="20"/>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76" w:lineRule="exact"/>
        <w:rPr>
          <w:rFonts w:ascii="Arial" w:cs="Arial" w:eastAsia="Arial" w:hAnsi="Arial"/>
          <w:sz w:val="18"/>
          <w:szCs w:val="18"/>
          <w:color w:val="auto"/>
        </w:rPr>
      </w:pPr>
    </w:p>
    <w:p>
      <w:pPr>
        <w:ind w:left="280" w:right="60" w:hanging="219"/>
        <w:spacing w:after="0" w:line="262"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200" w:lineRule="exact"/>
        <w:rPr>
          <w:rFonts w:ascii="Arial" w:cs="Arial" w:eastAsia="Arial" w:hAnsi="Arial"/>
          <w:sz w:val="18"/>
          <w:szCs w:val="18"/>
          <w:color w:val="auto"/>
        </w:rPr>
      </w:pPr>
    </w:p>
    <w:p>
      <w:pPr>
        <w:spacing w:after="0" w:line="339" w:lineRule="exact"/>
        <w:rPr>
          <w:rFonts w:ascii="Arial" w:cs="Arial" w:eastAsia="Arial" w:hAnsi="Arial"/>
          <w:sz w:val="18"/>
          <w:szCs w:val="18"/>
          <w:color w:val="auto"/>
        </w:rPr>
      </w:pPr>
    </w:p>
    <w:p>
      <w:pPr>
        <w:ind w:left="5640" w:hanging="82"/>
        <w:spacing w:after="0"/>
        <w:tabs>
          <w:tab w:leader="none" w:pos="5640" w:val="left"/>
        </w:tabs>
        <w:numPr>
          <w:ilvl w:val="1"/>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1A - RISK FACTORS</w:t>
      </w:r>
    </w:p>
    <w:p>
      <w:pPr>
        <w:spacing w:after="0" w:line="18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5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third-party technology and license agreements, the loss of any of which could negatively impact our business.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198"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 ts and financial 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198"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96" w:lineRule="exact"/>
        <w:rPr>
          <w:sz w:val="20"/>
          <w:szCs w:val="20"/>
          <w:color w:val="auto"/>
        </w:rPr>
      </w:pPr>
    </w:p>
    <w:p>
      <w:pPr>
        <w:ind w:left="280" w:right="20" w:hanging="212"/>
        <w:spacing w:after="0" w:line="262"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34"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December 31, 2009, we had outstanding options to acquire approximately 1.2 million shares of our common stock at a weighted average exercise price of $5.44 per share. An additional 753,000 shares remain available for grant under our 2007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 vorable to us than those provided by the exercise of these options.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additional shares of our common stock could have a negative effect on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Sales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 d shares of one or more series of preferred stock. The issuance of such shares could dilute the voting power of the currently outstanding shares of our common stock and could dilute earnings per share.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ITEM 1A -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common stock could be delisted, and, as a result, become more volatile and less liquid.</w:t>
      </w:r>
    </w:p>
    <w:p>
      <w:pPr>
        <w:spacing w:after="0" w:line="19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Our common stock is currently listed on the NASDAQ Capital Market. On April 16, 2010, we received a letter from the NASDAQ Stock Market stating that the Company no longer complies with NASDAQ Marketplace Rule 5250(c)(1) as a result of delay in filing this transition report on Form 10-K for the period ended December 31, 2009. Pursuant to the letter, we have 60 calendar days, or until June 15, 2010, to submit to NASDAQ a plan to regain compliance with the NASDAQ Listing Rules which must be accepted by NASDAQ. While we do not expect to be delisted, in the event of delisting by NASDAQ, our common shares might continue to trade on the “over-the-counter” (“OTC”) market although we can give no assurances this would be the case. OTC transactions involve risks in addition to those associated with transactions on a stock exchange. Many OTC stocks trade less frequently and in smaller volumes than stocks listed on an exchange. Accordingly, OTC-traded shares are less liquid and are likely to be more volatile than exchange-traded stocks.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our Form 10-K for the fiscal year ending June 30, 2006 and Form 10-K/A-2 for the fiscal year ending June 30, 2008,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currently occupy a 36,279 square-foot facility in Salt Lake City, Utah under the terms of an operating lease expiring in December 2013 which supports our principal administrative, sales, marketing, customer support, and research and product development facility.</w:t>
      </w:r>
    </w:p>
    <w:p>
      <w:pPr>
        <w:spacing w:after="0" w:line="15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occupy a 23,712 square-foot warehouse in Salt Lake City under the terms of an operating lease expiring in November 2013 which serves as our primary inventory fulfillment and repair center. We also occupy a warehouse measuring 6,500 square feet in Salt Lake City under the terms of an operating lease expiring in December 2011. We also lease approximately 3,700 square-feet in warehouse space in Hong Kong under the terms of two operating leases both expiring in February 2011 which support our partners and customers located in the Asia-Pacific region.</w:t>
      </w:r>
    </w:p>
    <w:p>
      <w:pPr>
        <w:spacing w:after="0" w:line="156"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We also occupy a 15,370 square-foot facility in Austin, Texas under the terms of two operating leases expiring in September 2010, which serves as an additional facility to support our administrative, sales, marketing, customer support, and research and development activities.</w:t>
      </w:r>
    </w:p>
    <w:p>
      <w:pPr>
        <w:spacing w:after="0" w:line="13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70">
        <w:r>
          <w:rPr>
            <w:rFonts w:ascii="Arial" w:cs="Arial" w:eastAsia="Arial" w:hAnsi="Arial"/>
            <w:sz w:val="18"/>
            <w:szCs w:val="18"/>
            <w:u w:val="single" w:color="auto"/>
            <w:color w:val="0000EE"/>
          </w:rPr>
          <w:t>Note 9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legal proceedings in which we are involved, which is incorporated in this Item 3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02"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Our common stock has been traded on the Nasdaq Capital Market under the symbol CLRO since August 14, 2007. The following table sets forth high and low sale prices (or high and low bid quotations) of our common stock for each fiscal quarter indicated as reported on the applicable exchange or market.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w w:val="95"/>
              </w:rPr>
              <w:t>Period ended December 31, 2009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June 30, 2009</w:t>
            </w:r>
          </w:p>
        </w:tc>
        <w:tc>
          <w:tcPr>
            <w:tcW w:w="4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June 30, 2008</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7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7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Low</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 July 1 to Sep 30</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Second Quarter – Oct 1 to Dec 31</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7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7.42</w:t>
            </w:r>
          </w:p>
        </w:tc>
        <w:tc>
          <w:tcPr>
            <w:tcW w:w="7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 Jan 1 to Mar 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Fourth Quarter – April 1 to Jun 30</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74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7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May 4, 2010, the closing price for our common stock as reported on the Nasdaq Capital Market was $3.03.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0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of May 4, 2010, there were 8,929,279 shares of our common stock issued and outstanding and held by approximately 480 shareholders of record. This number includes each broker dealer and clearing corporation, that hold shares for customers, as a single shareholder.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two equity compensation plans, our 1998 Stock Option Plan (the “1998 Plan”) and our 2007 Equity Incentive Plan (the “2007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ind w:right="20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75">
        <w:r>
          <w:rPr>
            <w:rFonts w:ascii="Arial" w:cs="Arial" w:eastAsia="Arial" w:hAnsi="Arial"/>
            <w:sz w:val="18"/>
            <w:szCs w:val="18"/>
            <w:u w:val="single" w:color="auto"/>
            <w:color w:val="0000EE"/>
          </w:rPr>
          <w:t>Note 10 – Shareholders’ Equity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issuer purchases of equity shares. There were no issuer purchases of equity securities during the six months ended December 31, 2009.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 Unless otherwise indicated, all references to a year reflect our fiscal years ended on June 30 and references to “transition period” reflects the six-month period ended December 31,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During November 2009, we acquired NetStreams, Inc. for approximately $1.45 million in cash and assumption of $2 million in debt. NetStreams is a pioneer in digital media networks based on Internet Protocol (TCP/IP). NetStreams products, for commercial and residential use, combine audio/video content, meta-data and control signals into one stream for distribution over an IP network, incorporating industry standards while doing so. With the acquisition of NetStreams, Inc. we developed, manufactured, marketed, and serviced a comprehensive line of high-quality audio conferencing products. Since the acquisition of NetStreams, we added networked media and control distribution products to ClearOne’s portfolio of products. Audio conferencing products range from personal conferencing products throu gh tabletop conferencing phones to professionally installed audio systems. Our products are used by organizations of all sizes to accomplish effective group communication and collaboration.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NetStreams' products are predominantly sold through the residential electronics channel, but they also share the customary audio and video commercial channel used to sell our audio conferencing products and media carts. We also sell products on a limited basis directly to dealers, systems integrators, value-added resellers, and end-users.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believe the acquisition of NetStreams will enable ClearOne to enter new and large vertical markets such as digital signage and commercial sound distribution. The acquisition also brings intellectual property including several granted and pending patents related to NetStreams’ StreamNet® technology, which is used for streaming time-sensitive synchronous audio and video over a local area network (LAN). StreamNet provides AV practitioners the capability to achieve AV over IP solutions by removing the effect of network delays and packet losses. NetStreams’ products and technologies complement existing ClearOne products and provide a platform for future Audio and Video over IP solutions. ClearOne specializes in conferencing and collaboration technologies, while NetStreams is focused on multimedia and network technologies. The ClearOne and NetStreams products and technologies can stand alone or combine to provide more of an overall solution for customers.</w:t>
      </w:r>
    </w:p>
    <w:p>
      <w:pPr>
        <w:spacing w:after="0" w:line="16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derive a major portion (approximately 67%) of our revenue from North America. Our share of revenue from foreign markets outside North America is increasing steadily over the years.</w:t>
      </w:r>
    </w:p>
    <w:p>
      <w:pPr>
        <w:spacing w:after="0" w:line="15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Our competitors vary within each product category. The professionally installed product side of our business continues to perform at a high level and the personal product side is growing. However we face significant competition in tabletop category due to pricing pressures and significant OEM partnerships that our competitors enjoy. The expected introduction of new products should improve our presence in the premium market in the future.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deep recession that affected the global economy continues to impact our financial condition. The worldwide budget tightening in technology spending impacted our industry and our business during the transition period. However, we are seeing encouraging signs of sustainable improvement. Except for the personal conferencing products all other product categories suffered a drop in the revenue during the transition period of six months ended December 31, 2009 when compared with six months ended December 31, 2008. Both gross profit and net income dropped significantly by $3.6 million and $1.8 million during the transition period when compared to six months ended December 31, 2008. The decrease in net income was primarily due to a decline in sales in professional conferencing products, which was partially offset b y a reduction of tax expenses by $1.5 million. Please refer to detailed discussions that follow.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2009 COMPARED TO SIX MONTHS ENDED DECEMBER 31, 2008</w:t>
      </w:r>
    </w:p>
    <w:p>
      <w:pPr>
        <w:spacing w:after="0" w:line="21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six months ended December 31, 2009 and 2008, together with the percentage of total revenue which each such item represents.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3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gridSpan w:val="3"/>
          </w:tcPr>
          <w:p>
            <w:pPr>
              <w:jc w:val="right"/>
              <w:ind w:right="656"/>
              <w:spacing w:after="0" w:line="139" w:lineRule="exact"/>
              <w:rPr>
                <w:sz w:val="20"/>
                <w:szCs w:val="20"/>
                <w:color w:val="auto"/>
              </w:rPr>
            </w:pPr>
            <w:r>
              <w:rPr>
                <w:rFonts w:ascii="Arial" w:cs="Arial" w:eastAsia="Arial" w:hAnsi="Arial"/>
                <w:sz w:val="14"/>
                <w:szCs w:val="14"/>
                <w:b w:val="1"/>
                <w:bCs w:val="1"/>
                <w:color w:val="auto"/>
              </w:rPr>
              <w:t>December 31, 2009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80" w:type="dxa"/>
            <w:vAlign w:val="bottom"/>
            <w:gridSpan w:val="3"/>
          </w:tcPr>
          <w:p>
            <w:pPr>
              <w:jc w:val="right"/>
              <w:ind w:right="654"/>
              <w:spacing w:after="0" w:line="139" w:lineRule="exact"/>
              <w:rPr>
                <w:sz w:val="20"/>
                <w:szCs w:val="20"/>
                <w:color w:val="auto"/>
              </w:rPr>
            </w:pPr>
            <w:r>
              <w:rPr>
                <w:rFonts w:ascii="Arial" w:cs="Arial" w:eastAsia="Arial" w:hAnsi="Arial"/>
                <w:sz w:val="14"/>
                <w:szCs w:val="14"/>
                <w:b w:val="1"/>
                <w:bCs w:val="1"/>
                <w:color w:val="auto"/>
              </w:rPr>
              <w:t>December 31, 2008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ind w:left="760"/>
              <w:spacing w:after="0" w:line="139" w:lineRule="exact"/>
              <w:rPr>
                <w:sz w:val="20"/>
                <w:szCs w:val="20"/>
                <w:color w:val="auto"/>
              </w:rPr>
            </w:pPr>
            <w:r>
              <w:rPr>
                <w:rFonts w:ascii="Arial" w:cs="Arial" w:eastAsia="Arial" w:hAnsi="Arial"/>
                <w:sz w:val="14"/>
                <w:szCs w:val="14"/>
                <w:b w:val="1"/>
                <w:bCs w:val="1"/>
                <w:color w:val="auto"/>
              </w:rPr>
              <w:t>Variance</w:t>
            </w:r>
          </w:p>
        </w:tc>
        <w:tc>
          <w:tcPr>
            <w:tcW w:w="880" w:type="dxa"/>
            <w:vAlign w:val="bottom"/>
          </w:tcPr>
          <w:p>
            <w:pPr>
              <w:spacing w:after="0"/>
              <w:rPr>
                <w:sz w:val="12"/>
                <w:szCs w:val="12"/>
                <w:color w:val="auto"/>
              </w:rPr>
            </w:pPr>
          </w:p>
        </w:tc>
      </w:tr>
      <w:tr>
        <w:trPr>
          <w:trHeight w:val="192"/>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Audited</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Favorable (Unfavorable)</w:t>
            </w:r>
          </w:p>
        </w:tc>
      </w:tr>
      <w:tr>
        <w:trPr>
          <w:trHeight w:val="169"/>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16,836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21,037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3,204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3,911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3,493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32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3,291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50"/>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16"/>
        </w:trPr>
        <w:tc>
          <w:tcPr>
            <w:tcW w:w="20" w:type="dxa"/>
            <w:vAlign w:val="bottom"/>
          </w:tcPr>
          <w:p>
            <w:pPr>
              <w:spacing w:after="0"/>
              <w:rPr>
                <w:sz w:val="18"/>
                <w:szCs w:val="18"/>
                <w:color w:val="auto"/>
              </w:rPr>
            </w:pPr>
          </w:p>
        </w:tc>
        <w:tc>
          <w:tcPr>
            <w:tcW w:w="3240" w:type="dxa"/>
            <w:vAlign w:val="bottom"/>
          </w:tcPr>
          <w:p>
            <w:pPr>
              <w:ind w:left="48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3,452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50"/>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(Provision) benefit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16"/>
        </w:trPr>
        <w:tc>
          <w:tcPr>
            <w:tcW w:w="20" w:type="dxa"/>
            <w:vAlign w:val="bottom"/>
          </w:tcPr>
          <w:p>
            <w:pPr>
              <w:spacing w:after="0"/>
              <w:rPr>
                <w:sz w:val="18"/>
                <w:szCs w:val="18"/>
                <w:color w:val="auto"/>
              </w:rPr>
            </w:pPr>
          </w:p>
        </w:tc>
        <w:tc>
          <w:tcPr>
            <w:tcW w:w="324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40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2,269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Our revenue was $16.8 million for the transition period compared to $21.0 million for the six months ended December 31, 2008 (“comparable period”). Revenue during the transition period decreased approximately $4.2 million, or 20% from the comparable period. The decrease in revenue in the transition period was primarily the result of declines in our professional, premium, tabletop, conferencing media carts and conferencing accessories products which collectively decreased approximately $5.0 million partially offset by a collective increase of approximately $0.8 million from our personal conferencing products. The revenue from professional products which contributed to more than 90% of the decline in revenues, declined by approximately 30% during the transition period from the comparabl e period. The share of revenue from professional products as a percentage of total revenue also declined from approximately 75% during the comparable period to about 65% in the transition period. Revenue from tabletop products declined approximately 11% during the transition period from the comparable period. However, the revenue from personal conferencing products increased approximately 70% during the transition period from the comparable period. With the improving outlook for the worldwide economy and especially for technology spending, we expect revenue from professional products to improve, while the competitive pressures in the tabletop category will continue to restrict improvement in that market. We continue to explore newer markets for personal conferencing products and our opportunities continue to be promising.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contribution of NetStreams products to total revenue during the transition period was immaterial as we were completing the acquisition and just beginning to integrate the NetStreams products into our existing sales channels, but we expect this to continue to improve as we implement our integration plans.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channel inventory at quarter-end. During the transition period and the comparable period the change in deferred revenue based on the movement of inventory in the channel was a recognition of revenue of $2,000 and $476,000,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0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6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gross profit during the transition period was approximately $9.6 million compared to approximately $13.2 million in the comparable period. Gross profit margins (“GPM”), gross profit as a percentage of sales, were 56.8% and 62.5% in the transition period and the comparable period, respectively. The gross profit decline was mostly due to the significant decline in revenues from professional products. GPM also declined due to a reduced mix of high margin professional products during the transition period as against the comparable period.</w:t>
      </w:r>
    </w:p>
    <w:p>
      <w:pPr>
        <w:spacing w:after="0" w:line="17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Despite the steep reduction in revenue and gross margin from professional conferencing products, they continue to be the major contributor to the gross margin. Our profitability in the near-term continues to depend heavily on our ability to increase revenue from professional conferencing products. We hold significant amounts of long-term inventory and if we are unable to sell our long-term inventory in the near-term, profitability might be affected by inventory write-offs and price mark-downs.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0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Operating profits (losses), or income from operations, is the surplus after operating expenses are deducted from gross profits. Operating expenses include sales &amp; marketing (“S&amp;M”) expenses, research and development (“R&amp;D”) expenses and general and administrative (“G&amp;A”) expenses. Total operating expenses were approximately $9.6 million in the transition period compared to approximately $9.9 million during the comparable period. Following is a more detailed discussion of expenses related to sales and marketing, research and product development, general and administrative, and other items.</w:t>
      </w:r>
    </w:p>
    <w:p>
      <w:pPr>
        <w:spacing w:after="0" w:line="138"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b w:val="1"/>
          <w:bCs w:val="1"/>
          <w:u w:val="single" w:color="auto"/>
          <w:color w:val="auto"/>
        </w:rPr>
        <w:t>Sales and Marketing</w:t>
      </w:r>
      <w:r>
        <w:rPr>
          <w:rFonts w:ascii="Arial" w:cs="Arial" w:eastAsia="Arial" w:hAnsi="Arial"/>
          <w:sz w:val="17"/>
          <w:szCs w:val="17"/>
          <w:b w:val="1"/>
          <w:bCs w:val="1"/>
          <w:color w:val="auto"/>
        </w:rPr>
        <w:t xml:space="preserve"> . </w:t>
      </w:r>
      <w:r>
        <w:rPr>
          <w:rFonts w:ascii="Arial" w:cs="Arial" w:eastAsia="Arial" w:hAnsi="Arial"/>
          <w:sz w:val="17"/>
          <w:szCs w:val="17"/>
          <w:color w:val="auto"/>
        </w:rPr>
        <w:t>S&amp;M expenses include selling, customer service, and marketing expenses such as employee-related costs, allocations of overhead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trade shows, and other advertising and selling expenses. Total S&amp;M expenses were approximately $3.2 million in the transition period compared with approximately $3.9 million in the comparable period. As a percentage of revenue, S&amp;M expenses were 19% in the transition period compared with 18.6% in the comparable period. The reduction in S&amp;M expenses during the transition period were approximately $707,000 or 18% lesser than the comparable period as a result of reduction in marketing related expense .</w:t>
      </w:r>
    </w:p>
    <w:p>
      <w:pPr>
        <w:spacing w:after="0" w:line="15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u w:val="single" w:color="auto"/>
          <w:color w:val="auto"/>
        </w:rPr>
        <w:t>Research and Development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R&amp;D expenses include research and development, product line management, engineering services, and test and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employee-related costs, outside services, expensed materials, depreciation, and an allocation of overhead expenses. Total R&amp;D expenses were approximately $3.5 million in the transition period compared to approximately $3.6 million during the comparable period. As a percentage of revenue, R&amp;D expenses were 20.7% in the transition period compared to 17.2% in the comparable period. R&amp;D outla y did not change materially during the transition period when compared to the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u w:val="single" w:color="auto"/>
          <w:color w:val="auto"/>
        </w:rPr>
        <w:t>General and Administrative</w:t>
      </w:r>
      <w:r>
        <w:rPr>
          <w:rFonts w:ascii="Arial" w:cs="Arial" w:eastAsia="Arial" w:hAnsi="Arial"/>
          <w:sz w:val="17"/>
          <w:szCs w:val="17"/>
          <w:b w:val="1"/>
          <w:bCs w:val="1"/>
          <w:color w:val="auto"/>
        </w:rPr>
        <w:t xml:space="preserve"> . </w:t>
      </w:r>
      <w:r>
        <w:rPr>
          <w:rFonts w:ascii="Arial" w:cs="Arial" w:eastAsia="Arial" w:hAnsi="Arial"/>
          <w:sz w:val="17"/>
          <w:szCs w:val="17"/>
          <w:color w:val="auto"/>
        </w:rPr>
        <w:t>G&amp;A expenses include employee-related costs, professional service fees, allocations of overhead expenses, litigation costs</w:t>
      </w:r>
      <w:r>
        <w:rPr>
          <w:rFonts w:ascii="Arial" w:cs="Arial" w:eastAsia="Arial" w:hAnsi="Arial"/>
          <w:sz w:val="17"/>
          <w:szCs w:val="17"/>
          <w:b w:val="1"/>
          <w:bCs w:val="1"/>
          <w:color w:val="auto"/>
        </w:rPr>
        <w:t xml:space="preserve"> </w:t>
      </w:r>
      <w:r>
        <w:rPr>
          <w:rFonts w:ascii="Arial" w:cs="Arial" w:eastAsia="Arial" w:hAnsi="Arial"/>
          <w:sz w:val="17"/>
          <w:szCs w:val="17"/>
          <w:color w:val="auto"/>
        </w:rPr>
        <w:t>and corporate administrative costs, including finance and human resources. Total G&amp;A expenses were approximately $2.9 million in the transition period compared with approximately $2.3 million in the comparable period. As a percentage of revenue, G&amp;A expenses were 17.2% in the transition period and 11.1% in the comparable period. G&amp;A expenses increased during the transition period primarily as a result of increase in legal and audit expenses by approximately $800,000, which included legal and due diligence expenses during the acquisition of NetStreams. W e will continue to incur legal expenses as we defend ourselves from indemnification claims, protect our intellectual property and attempt to collect judgments entered in our favor. Any unfavorable outcomes from these legal matters could adversely affect our profitability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0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tax benefit of approximately $320,000 during the transition period was primarily the result of an increase in the current year federal research and development credit and the true-up of federal research and development credits and state tax expense from the prior year’s tax return. This compared to a tax expense of $1.2 million during the comparable period. The tax expense for the comparable period was primarily the result of tax on current period income, an increase in unrecognized tax benefits, offset by a benefit from an increase of the current year federal research and development credit.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2009 COMPARED TO FISCAL YEAR ENDED JUNE 30, 2008</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fiscal years ended June 30, 2009 and 2008, together with the percentage of total revenue which each such item represents.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4"/>
          </w:tcPr>
          <w:p>
            <w:pPr>
              <w:jc w:val="center"/>
              <w:ind w:left="173"/>
              <w:spacing w:after="0"/>
              <w:rPr>
                <w:sz w:val="20"/>
                <w:szCs w:val="20"/>
                <w:color w:val="auto"/>
              </w:rPr>
            </w:pPr>
            <w:r>
              <w:rPr>
                <w:rFonts w:ascii="Arial" w:cs="Arial" w:eastAsia="Arial" w:hAnsi="Arial"/>
                <w:sz w:val="14"/>
                <w:szCs w:val="14"/>
                <w:b w:val="1"/>
                <w:bCs w:val="1"/>
                <w:color w:val="auto"/>
                <w:w w:val="90"/>
              </w:rPr>
              <w:t>Year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left="613"/>
              <w:spacing w:after="0"/>
              <w:rPr>
                <w:sz w:val="20"/>
                <w:szCs w:val="20"/>
                <w:color w:val="auto"/>
              </w:rPr>
            </w:pPr>
            <w:r>
              <w:rPr>
                <w:rFonts w:ascii="Arial" w:cs="Arial" w:eastAsia="Arial" w:hAnsi="Arial"/>
                <w:sz w:val="14"/>
                <w:szCs w:val="14"/>
                <w:b w:val="1"/>
                <w:bCs w:val="1"/>
                <w:color w:val="auto"/>
                <w:w w:val="92"/>
              </w:rPr>
              <w:t>Year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left="193"/>
              <w:spacing w:after="0"/>
              <w:rPr>
                <w:sz w:val="20"/>
                <w:szCs w:val="20"/>
                <w:color w:val="auto"/>
              </w:rPr>
            </w:pPr>
            <w:r>
              <w:rPr>
                <w:rFonts w:ascii="Arial" w:cs="Arial" w:eastAsia="Arial" w:hAnsi="Arial"/>
                <w:sz w:val="14"/>
                <w:szCs w:val="14"/>
                <w:b w:val="1"/>
                <w:bCs w:val="1"/>
                <w:color w:val="auto"/>
                <w:w w:val="89"/>
              </w:rPr>
              <w:t>2009 vs. 2008</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173"/>
              <w:spacing w:after="0"/>
              <w:rPr>
                <w:sz w:val="20"/>
                <w:szCs w:val="20"/>
                <w:color w:val="auto"/>
              </w:rPr>
            </w:pPr>
            <w:r>
              <w:rPr>
                <w:rFonts w:ascii="Arial" w:cs="Arial" w:eastAsia="Arial" w:hAnsi="Arial"/>
                <w:sz w:val="14"/>
                <w:szCs w:val="14"/>
                <w:b w:val="1"/>
                <w:bCs w:val="1"/>
                <w:color w:val="auto"/>
                <w:w w:val="92"/>
              </w:rPr>
              <w:t>June 30, 2009</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633"/>
              <w:spacing w:after="0"/>
              <w:rPr>
                <w:sz w:val="20"/>
                <w:szCs w:val="20"/>
                <w:color w:val="auto"/>
              </w:rPr>
            </w:pPr>
            <w:r>
              <w:rPr>
                <w:rFonts w:ascii="Arial" w:cs="Arial" w:eastAsia="Arial" w:hAnsi="Arial"/>
                <w:sz w:val="14"/>
                <w:szCs w:val="14"/>
                <w:b w:val="1"/>
                <w:bCs w:val="1"/>
                <w:color w:val="auto"/>
                <w:w w:val="92"/>
              </w:rPr>
              <w:t>June 30, 2008</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ind w:left="193"/>
              <w:spacing w:after="0"/>
              <w:rPr>
                <w:sz w:val="20"/>
                <w:szCs w:val="20"/>
                <w:color w:val="auto"/>
              </w:rPr>
            </w:pPr>
            <w:r>
              <w:rPr>
                <w:rFonts w:ascii="Arial" w:cs="Arial" w:eastAsia="Arial" w:hAnsi="Arial"/>
                <w:sz w:val="14"/>
                <w:szCs w:val="14"/>
                <w:b w:val="1"/>
                <w:bCs w:val="1"/>
                <w:color w:val="auto"/>
                <w:w w:val="94"/>
              </w:rPr>
              <w:t>Favorable (Unfavorable)</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4"/>
                <w:szCs w:val="14"/>
                <w:color w:val="auto"/>
              </w:rPr>
            </w:pPr>
          </w:p>
        </w:tc>
        <w:tc>
          <w:tcPr>
            <w:tcW w:w="360" w:type="dxa"/>
            <w:vAlign w:val="bottom"/>
            <w:tcBorders>
              <w:bottom w:val="single" w:sz="8" w:color="auto"/>
            </w:tcBorders>
            <w:gridSpan w:val="2"/>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of Revenue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 thousands</w:t>
            </w:r>
          </w:p>
        </w:tc>
        <w:tc>
          <w:tcPr>
            <w:tcW w:w="220" w:type="dxa"/>
            <w:vAlign w:val="bottom"/>
          </w:tcPr>
          <w:p>
            <w:pPr>
              <w:spacing w:after="0"/>
              <w:rPr>
                <w:sz w:val="14"/>
                <w:szCs w:val="14"/>
                <w:color w:val="auto"/>
              </w:rPr>
            </w:pPr>
          </w:p>
        </w:tc>
        <w:tc>
          <w:tcPr>
            <w:tcW w:w="400" w:type="dxa"/>
            <w:vAlign w:val="bottom"/>
            <w:tcBorders>
              <w:bottom w:val="single" w:sz="8" w:color="auto"/>
            </w:tcBorders>
            <w:gridSpan w:val="2"/>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of Revenue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35,700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4"/>
              </w:rPr>
              <w:t>15,323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4"/>
              </w:rPr>
              <w:t>20,377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expenses (benefit):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Insurance settlement proceeds</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4"/>
              </w:rPr>
              <w:t>17,601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tcPr>
          <w:p>
            <w:pPr>
              <w:spacing w:after="0" w:line="189" w:lineRule="exact"/>
              <w:rPr>
                <w:sz w:val="20"/>
                <w:szCs w:val="20"/>
                <w:color w:val="auto"/>
              </w:rPr>
            </w:pPr>
            <w:r>
              <w:rPr>
                <w:rFonts w:ascii="Arial" w:cs="Arial" w:eastAsia="Arial" w:hAnsi="Arial"/>
                <w:sz w:val="18"/>
                <w:szCs w:val="18"/>
                <w:color w:val="auto"/>
                <w:w w:val="93"/>
              </w:rPr>
              <w:t>Income from continuing operations before</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5"/>
              </w:rPr>
              <w:t>Benefit from (provision for) income taxes</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-132.1%</w:t>
            </w:r>
          </w:p>
        </w:tc>
        <w:tc>
          <w:tcPr>
            <w:tcW w:w="0" w:type="dxa"/>
            <w:vAlign w:val="bottom"/>
          </w:tcPr>
          <w:p>
            <w:pPr>
              <w:spacing w:after="0"/>
              <w:rPr>
                <w:sz w:val="1"/>
                <w:szCs w:val="1"/>
                <w:color w:val="auto"/>
              </w:rPr>
            </w:pPr>
          </w:p>
        </w:tc>
      </w:tr>
      <w:tr>
        <w:trPr>
          <w:trHeight w:val="426"/>
        </w:trPr>
        <w:tc>
          <w:tcPr>
            <w:tcW w:w="31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4"/>
        </w:trPr>
        <w:tc>
          <w:tcPr>
            <w:tcW w:w="31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 Not Meaningful</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- 25 -</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following is a discussion of our results of operations for our fiscal years ended June 30, 2009 and 2008. All items are discussed on a consolidated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revenue was $35.7 million for the fiscal year ended June 30, 2009 (“2009”) compared to revenue of $38.8 million for the fiscal year ended June 30, 2008 (“2008”).</w:t>
      </w:r>
    </w:p>
    <w:p>
      <w:pPr>
        <w:spacing w:after="0" w:line="15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Revenue during 2009 decreased approximately $3.1 million, or 8% from 2008. The decrease in revenue in 2009 from 2008 was primarily the result of declines in our professional, premium, tabletop, conferencing media carts and conferencing accessories products which collectively decreased approximately $4.3 million partially offset by a collective increase of approximately $1.2 million in our personal conferencing products. The revenue from professional products declined by approximately 10% during 2009 and the share of revenue from professional products as a percentage of total revenue also reduced from approximately 75% in 2008 to about 73.5% in 2009. Revenue from tabletop products declined approximately 22% during 2009. However, the revenue from personal conferencing products increased approximately 73 % during 2009. The competitive pressures in the professional and tabletop categories are not expected to ease while the outlook for personal conferencing products continues to be promising.</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channel inventory at quarter-end. During the fiscal years ended June 30, 2009 and 2008, the change in deferred revenue based on the movement of inventory in the channel was a recognition (deferral) of $1.1 million and ($670,000) in revenue,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Revenue from sales outside of the United States as a percent of total revenue was 32% for 2009 and 30% for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0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2009 gross profit was approximately $20.4 million compared to approximately $22.6 million in 2008. Gross profit margins (“GPM”), gross profit as a percentage of sales, were 57.1% and 58.2% in 2009 and 2008, respectively. The gross profit decline was primarily the result of inventory write-offs amounting to approximately $2.3 million during 2009. GPM as a percentage of sales excluding the inventory write-offs were 63.5% and 58.4% in 2009 and 2008 respectively, signifying increased manufacturing efficiencies during 2009. The positive impact on gross profit of increased efficiencies in manufacturing operations was offset by reduced revenue and inventory write-offs. While we believe the manufacturing efficiencies can be sustained in the near future, any change in our outsourced manufacturers’ capabilities would negatively impact the cost to manufacture our products.</w:t>
      </w:r>
    </w:p>
    <w:p>
      <w:pPr>
        <w:spacing w:after="0" w:line="16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Professional conferencing products continued to be the major contributor to the gross margin despite a decline in its revenue during 2009. Our profitability in the near-term depends heavily on our ability to increase revenue from professional conferencing products. Significant increase in inventories during 2009 might further impact future gross margin as we attempt to sell the accumulated inventory through sales promotions and other means. If we are unable to sell our long-term inventory in the near-term, profitability might be affected by more inventory write-offs.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02" w:lineRule="exact"/>
        <w:rPr>
          <w:sz w:val="20"/>
          <w:szCs w:val="20"/>
          <w:color w:val="auto"/>
        </w:rPr>
      </w:pPr>
    </w:p>
    <w:p>
      <w:pPr>
        <w:jc w:val="both"/>
        <w:ind w:right="340"/>
        <w:spacing w:after="0" w:line="263" w:lineRule="auto"/>
        <w:rPr>
          <w:sz w:val="20"/>
          <w:szCs w:val="20"/>
          <w:color w:val="auto"/>
        </w:rPr>
      </w:pPr>
      <w:r>
        <w:rPr>
          <w:rFonts w:ascii="Arial" w:cs="Arial" w:eastAsia="Arial" w:hAnsi="Arial"/>
          <w:sz w:val="17"/>
          <w:szCs w:val="17"/>
          <w:color w:val="auto"/>
        </w:rPr>
        <w:t>Operating profits (losses), or income from operations, is the surplus after operating expenses are deducted from gross profits. Operating expenses include sales &amp; marketing (“S&amp;M”) expenses, research and development (“R&amp;D”) expenses and general and administrative (“G&amp;A”) expenses. Total operating expenses were approximately $17.6 million in 2009 compared with approximately $21.4 million in 2008. The following is a more detailed discussion of expenses related to sales and marketing, research and product development, general and administrative, and other items.</w:t>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u w:val="single" w:color="auto"/>
          <w:color w:val="auto"/>
        </w:rPr>
        <w:t>Sales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S&amp;M expenses include selling, customer service, and marketing expenses such as employee-related costs, allocations of overhead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trade shows, and other advertising and selling expenses. Total S&amp;M expenses were approximately $7.5 million in 2009 compared with approximately $6.7 million in 2008. As a percentage of revenue, S&amp;M expenses were 21.1% in 2009 compared with 17.2% in 2008. S&amp;M expenses during 2009 were approximately $900,000 or 13% higher than 2008, primarily as a result of higher labor and related expenses and higher marketing related expense.</w:t>
      </w:r>
    </w:p>
    <w:p>
      <w:pPr>
        <w:spacing w:after="0" w:line="136"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u w:val="single" w:color="auto"/>
          <w:color w:val="auto"/>
        </w:rPr>
        <w:t>Research and Development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R&amp;D expenses include research and development, product line management, engineering services, and test and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including employee-related costs, outside services, expensed materials, depreciation, and an allocation of overhead expenses. Total R&amp;D expenses were approximately $7.5 million in 2009 compared to approximately $7.1 million in 2008. As a percentage of revenue, R&amp;D expenses were 21.1% in 2009 compared to 18.2% in 2008. R&amp;D expenses during 2009 increased approximately $500,000 from 2008, primarily as a result of higher labor and related expenses as well as increased research and developme nt project related expenses.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u w:val="single" w:color="auto"/>
          <w:color w:val="auto"/>
        </w:rPr>
        <w:t>General and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G&amp;A expenses include employee-related costs, professional service fees, allocations of overhead expenses, litigation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administrative costs, including finance and human resources. Total G&amp;A expenses were approximately $3.6 million in 2009 compared with approximately $7.7 million in 2008. As a percentage of revenue, G&amp;A expenses were 10.2% in 2009 and 19.8% in 2008. G&amp;A expenses were lower in 2009 when compared to 2008 primarily as a result of reduction in legal expenses by approximately $3.7 million, which included reversal of $1.1million of a contingent liability associated with the indemnification agreements wi th two former officers and payment of $200,000 in fiscal year 2008 to Edward D. Bagley, our former director and Chairman, upon his resignation and in consideration for his service as a director of the Company since 1994. The above reductions were partially offset by an increase in the allowance for bad debts by $16,000. We will continue to incur legal expenses as we defend ourselves from indemnification claims, protect our intellectual property and attempt to collect judgments entered in our favor. Any unfavorable outcomes from these legal matters could adversely affect our profitability and financial position.</w:t>
      </w:r>
    </w:p>
    <w:p>
      <w:pPr>
        <w:spacing w:after="0" w:line="16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 xml:space="preserve">Insurance Settlement Proceeds. </w:t>
      </w:r>
      <w:r>
        <w:rPr>
          <w:rFonts w:ascii="Arial" w:cs="Arial" w:eastAsia="Arial" w:hAnsi="Arial"/>
          <w:sz w:val="17"/>
          <w:szCs w:val="17"/>
          <w:color w:val="auto"/>
        </w:rPr>
        <w:t>We recognized income of $1.1 million received from our insurance company in settlement of a dispute over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under directors and officers’ liability insurance policies in 2009. (See section titled "Insurance Coverage Action" under Note 8 - Commitments and Contingencies to our Consolidated Financial Statements of our Form 10-K for the year ended June 30, 2009).</w:t>
      </w:r>
    </w:p>
    <w:p>
      <w:pPr>
        <w:spacing w:after="0" w:line="146"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color w:val="auto"/>
        </w:rPr>
        <w:t xml:space="preserve">Other operating income, net. </w:t>
      </w:r>
      <w:r>
        <w:rPr>
          <w:rFonts w:ascii="Arial" w:cs="Arial" w:eastAsia="Arial" w:hAnsi="Arial"/>
          <w:sz w:val="17"/>
          <w:szCs w:val="17"/>
          <w:color w:val="auto"/>
        </w:rPr>
        <w:t>Other income, net, includes our interest income, interest expense, capital gains, gain (loss) on the disposal of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gain (loss). Other income was approximately $446,000 in 2009 compared to approximately $1.0 million in 2008. The $559,000 decrease in 2009 from 2008 was primarily the result of lower interest income associated with lower interest rates on our investments and lower cash and marketable securities balances as we used approximately $6.77 million of our cash during 2009 to repurchase our common stock. The decreases were partially offset by the recognition of approximately $200,000 in additional interest income related to insurance settlement proceeds.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 xml:space="preserve">(Provision for) Benefit from income taxes. </w:t>
      </w:r>
      <w:r>
        <w:rPr>
          <w:rFonts w:ascii="Arial" w:cs="Arial" w:eastAsia="Arial" w:hAnsi="Arial"/>
          <w:sz w:val="17"/>
          <w:szCs w:val="17"/>
          <w:color w:val="auto"/>
        </w:rPr>
        <w:t>Our provision for income taxes from continuing operations was ($995,000) in 2009 compared to a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$3.1 million in 2008. The ($995,000) provision in 2009 was primarily the result of tax on current year income; the true-up of certain tax attribute carryovers related to federal and state research and development credits and federal alternative minimum tax credits from the prior year’s tax returns; and the recording of a valuation allowance against capital and unrealized loss carryovers, certain state net operating loss (“NOL”) carryovers and state research and development credits. The true-up of these tax attribute carryovers resulted in a relatively low 30.8% effective income tax rate on 2009 income from continuing operations. The valuation allowance was established, in accordance with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because it was not considered more likely than not that certain deferred tax assets related to capital and unrealized loss carryovers, certain state NOL carryovers and state research and development credits would be realized. As a result of our analysis, and in accordance with generally accepted accounting principles, a valuation allowance of $928,000 was recorded against certain deferred tax assets.</w:t>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$3.1 million benefit in 2008 was primarily the result of reversal of our valuation allowance during the fiscal fourth quarter that we had recorded against our deferred tax assets. Given our past history of losses from continuing operations, prior to fiscal 2007, a valuation allowance was recorded against all of our deferred tax assets. The valuation allowance was initially established, in accordance with ASC topic 740 because it was not considered more likely than not that the deferred tax assets would be realized. However, as a result of our analysis and in accordance with generally accepted accounting principles, the previously established valuation allowance related primarily to deferred revenue, inventory reserves, and accrued liabilities of approximately $4.7 million was reversed. Our income taxes were negatively impacted in 2008 by our adoption of the guidelines contained in ASC Topic 740 related to accounting for uncertain tax positions, in addition to our recognition of tax on the undistributed earnings of our foreign subsidiaries which together added approximately $541,000 to our 2008 income tax expense.</w:t>
      </w:r>
    </w:p>
    <w:p>
      <w:pPr>
        <w:spacing w:after="0" w:line="177" w:lineRule="exact"/>
        <w:rPr>
          <w:sz w:val="20"/>
          <w:szCs w:val="20"/>
          <w:color w:val="auto"/>
        </w:rPr>
      </w:pPr>
    </w:p>
    <w:p>
      <w:pPr>
        <w:jc w:val="both"/>
        <w:ind w:right="380"/>
        <w:spacing w:after="0" w:line="297" w:lineRule="auto"/>
        <w:rPr>
          <w:sz w:val="20"/>
          <w:szCs w:val="20"/>
          <w:color w:val="auto"/>
        </w:rPr>
      </w:pPr>
      <w:r>
        <w:rPr>
          <w:rFonts w:ascii="Arial" w:cs="Arial" w:eastAsia="Arial" w:hAnsi="Arial"/>
          <w:sz w:val="16"/>
          <w:szCs w:val="16"/>
          <w:b w:val="1"/>
          <w:bCs w:val="1"/>
          <w:color w:val="auto"/>
        </w:rPr>
        <w:t xml:space="preserve">Income from discontinued operations, net of tax. </w:t>
      </w:r>
      <w:r>
        <w:rPr>
          <w:rFonts w:ascii="Arial" w:cs="Arial" w:eastAsia="Arial" w:hAnsi="Arial"/>
          <w:sz w:val="16"/>
          <w:szCs w:val="16"/>
          <w:color w:val="auto"/>
        </w:rPr>
        <w:t>Income from discontinued operations related to our Canadian audiovisual integration business (“OM</w:t>
      </w:r>
      <w:r>
        <w:rPr>
          <w:rFonts w:ascii="Arial" w:cs="Arial" w:eastAsia="Arial" w:hAnsi="Arial"/>
          <w:sz w:val="16"/>
          <w:szCs w:val="16"/>
          <w:b w:val="1"/>
          <w:bCs w:val="1"/>
          <w:color w:val="auto"/>
        </w:rPr>
        <w:t xml:space="preserve"> </w:t>
      </w:r>
      <w:r>
        <w:rPr>
          <w:rFonts w:ascii="Arial" w:cs="Arial" w:eastAsia="Arial" w:hAnsi="Arial"/>
          <w:sz w:val="16"/>
          <w:szCs w:val="16"/>
          <w:color w:val="auto"/>
        </w:rPr>
        <w:t>Video”). Accordingly, the results of operations and the financial position have been reclassified in the accompanying consolidated financial statements as discontinued operations. The total income from discontinued operations, net of tax, was $0 for 2009 compared with $16,000 for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As of December 31, 2009, our cash and cash equivalents were approximately $9.5 million compared to $9.8 million and $3.3 million as of June 30, 2009 and June 30, 2008 respectively. We didn’t have any marketable securities as of December 31, 2009, while we held marketable securities of approximately $2.1 million and $17.1 million as of June 30, 2009 and June 30, 2008 respectively. Our working capital was $16.4 million, $17.7 million and $17.9 million as of December 31, 2009, June 30, 2009 and June 30, 2008 respectively.</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Net cash flows used in operating activities were approximately $136,000 during the transition period compared to net cash flows used in operating activities of approximately $2.2 million in comparable period. During the transition period net cash flows used in operating activities was $136,000 primarily as a result of increase in accounts receivable by $1.5 million, decrease in accounts payable by $2.6 million and reduction in accrued liabilities by $1.2 million, partially offset by a reduction in inventories by $4.3 million. During the comparable period, net cash flows used in operating activities was $2.2 million primarily due to increase in inventories of $5.3 million and a decrease in accounts receivable of $0.7 million, partially offset by net income of $2.3 million and realizati on of a bond posted for litigation of $0.9 million.</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Net cash flows used in operating activities were approximately $1.9 million in 2009 compared to net cash flows provided by operating activities of approximately $3.5 million in 2008. During 2009 net cash flows from operating activities decreased by approximately $5.4 million primarily as a result of an increase in inventories by $8.9 million, a decrease in net income by $3.0 million, a change in accrued liabilities by $3.0 million, and a decrease in our deferred revenue accrual by $1.8 million, partially offset by a $5.1 million change in deferred taxes, a $2.2 million increase in inventory write-offs, and a $4.2 million increase in changes in other operating assets and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ind w:right="80"/>
        <w:spacing w:after="0"/>
        <w:rPr>
          <w:rFonts w:ascii="Arial" w:cs="Arial" w:eastAsia="Arial" w:hAnsi="Arial"/>
          <w:sz w:val="18"/>
          <w:szCs w:val="18"/>
          <w:color w:val="auto"/>
        </w:rPr>
      </w:pPr>
      <w:r>
        <w:rPr>
          <w:rFonts w:ascii="Arial" w:cs="Arial" w:eastAsia="Arial" w:hAnsi="Arial"/>
          <w:sz w:val="18"/>
          <w:szCs w:val="18"/>
          <w:color w:val="auto"/>
        </w:rPr>
        <w:t xml:space="preserve">Net cash flows used in investing activities were $172,000 during the transition period compared to net cash flows provided by investing activities of $6.8 million during the comparable period. The increase in cash flows from investing activities of $7.0 million was primarily due to a change in cash flows due to marketable securities of $9.0 million offset by cash outflows due to acquisition of NetStreams, Inc. of $1.6 million and increased purchase of property and equipment of $0.1 million. During the transition period, we acquired NetStreams, Inc. for $1.45 million cash consideration and assumed all assets and liabilities, including $2 million in debt. Please refer to </w:t>
      </w:r>
      <w:hyperlink w:anchor="page64">
        <w:r>
          <w:rPr>
            <w:rFonts w:ascii="Arial" w:cs="Arial" w:eastAsia="Arial" w:hAnsi="Arial"/>
            <w:sz w:val="18"/>
            <w:szCs w:val="18"/>
            <w:u w:val="single" w:color="auto"/>
            <w:color w:val="0000EE"/>
          </w:rPr>
          <w:t>Note 3 - Business Combinations, Goodwill and Intangible Assets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Consolidated Financial Statements.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Net cash flows provided by investing activities were $15.0 million in 2009 compared to $700,000 in 2008. The $14.3 million increase in net cash provided by investing activities during 2009 was primarily a result of a $14.6 million increase in the sale of marketable securities, net of purchases of marketable securities in 2008, partially offset by purchases of property and equipment.</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There were no cash flows associated with financing activities during the transition period, while cash flows used in repurchasing of common stock were $6.8 million during the comparable period.</w:t>
      </w:r>
    </w:p>
    <w:p>
      <w:pPr>
        <w:spacing w:after="0" w:line="156"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Net cash used in financing activities during 2009 totaled approximately $6.6 million compared with approximately $3.7 million in 2008. During 2009, we repurchased 1,343,000 shares of our common stock for $6.77 million. We also received $135,000 and issued 41,000 shares of stock upon the exercise of employee stock options. During 2008, we repurchased 835,000 shares of our common stock for $4.3 million. Also during 2008 we received $800,000 and issued 228,000 shares of stock upon the exercise of employee stock options. We received a $70,000 tax benefit from option exercises in 2008.</w:t>
      </w:r>
    </w:p>
    <w:p>
      <w:pPr>
        <w:spacing w:after="0" w:line="14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2009 we paid approximately $1.6 million in income taxes. Additionally, in 2008 we paid approximately $1.7 million in income taxes and reduced our July 1, 2007 balance of retained earnings by $295,000 upon adoption of guidelines issued under Financial Accounting Standard Board’s (FASB) 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addressing the requirements for accounting for tax benefits arising out of uncertain tax positions.</w:t>
      </w:r>
    </w:p>
    <w:p>
      <w:pPr>
        <w:spacing w:after="0" w:line="134"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would help us raise additional capital when needed to meet our short and long-term financing needs. In addition to capital expenditures, we may use cash during the near future for selective infusions of technological, marketing or product manufacturing rights to broaden our product offerings; and acquisitions that may strategically fit our business and are accretive to performance.</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At December 31, 2009, we had open purchase orders related to our contract manufacturers and other contractual obligations of approximately $2.8 million, primarily related to inventory purchases.</w:t>
      </w:r>
    </w:p>
    <w:p>
      <w:pPr>
        <w:spacing w:after="0" w:line="15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As of December 31, 2009, we had inventories totaling $12.6 million out of which non-current inventory accounted for $6.4 million. We have started liquidating inventories as evidenced by the reduction in total inventories (including non-current inventory) of $3.0 million from $15.6 million as of June 30, 2009. As our business prospects continue to improve, we expect to continue to liquidate our inventories and convert them into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spacing w:after="0" w:line="271" w:lineRule="auto"/>
        <w:rPr>
          <w:rFonts w:ascii="Arial" w:cs="Arial" w:eastAsia="Arial" w:hAnsi="Arial"/>
          <w:sz w:val="16"/>
          <w:szCs w:val="16"/>
          <w:color w:val="auto"/>
        </w:rPr>
      </w:pPr>
      <w:r>
        <w:rPr>
          <w:rFonts w:ascii="Arial" w:cs="Arial" w:eastAsia="Arial" w:hAnsi="Arial"/>
          <w:sz w:val="16"/>
          <w:szCs w:val="16"/>
          <w:color w:val="auto"/>
        </w:rPr>
        <w:t xml:space="preserve">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 wever, actual results could differ from those estimates. Our significant accounting policies are described in </w:t>
      </w:r>
      <w:hyperlink w:anchor="page58">
        <w:r>
          <w:rPr>
            <w:rFonts w:ascii="Arial" w:cs="Arial" w:eastAsia="Arial" w:hAnsi="Arial"/>
            <w:sz w:val="16"/>
            <w:szCs w:val="16"/>
            <w:u w:val="single" w:color="auto"/>
            <w:color w:val="0000EE"/>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Item 8 of this report. We believe the following critical accounting policies identify our most critical accounting policies, which are the policies that are both important to the representation of our financial condition and results and requires our most difficult, subjective or complex judgments, often as a result of the need to make estimates about the effect of matters that are inherently uncertain.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35" w:lineRule="exact"/>
        <w:rPr>
          <w:sz w:val="20"/>
          <w:szCs w:val="20"/>
          <w:color w:val="auto"/>
        </w:rPr>
      </w:pPr>
    </w:p>
    <w:p>
      <w:pPr>
        <w:ind w:right="60" w:firstLine="8"/>
        <w:spacing w:after="0" w:line="243"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 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 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5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amounts of deferred cost of goods sold were included in consigned inventory. The following table details the amount of deferred revenue, cost of goods sold, and gross profit: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46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180" w:type="dxa"/>
            <w:vAlign w:val="bottom"/>
          </w:tcPr>
          <w:p>
            <w:pPr>
              <w:jc w:val="right"/>
              <w:ind w:right="437"/>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As of</w:t>
            </w: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December 31, 2009</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June 30, 2009</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June 30, 2008</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4,707</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firstLine="45"/>
        <w:spacing w:after="0" w:line="262"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5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allocated the purchase price for the acquisition of NetStreams, Inc. on the basis of well established valuation techniques performed by qualified experts. Goodwill is measured as the excess of the cost of acquisition over the sum of the amounts assigned to tangible and identifiable intangible assets acquired less liabilities assumed. We intend to perform impairment tests goodwill and intangible assets with indefinite useful life, on an annual basis in the fourth fiscal quarter, or sooner if a triggering event occurs suggesting possible impairment of the values of these assets. As of December 31, 2009, $669,000 and $400,000 have been recorded as goodwill and intangible assets with indefinite useful life, respectively. In response to changes in industry, technology and competitive circumstances we might b e required to exit or dispose of the business acquired through the NetStreams, Inc. acquisition, which could result in an impairment of goodwill and intangible assets.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1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 r income taxes, our deferred tax assets and liabilities, and any valuation allowance recorded against our deferred tax assets.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spacing w:after="0" w:line="271" w:lineRule="auto"/>
        <w:rPr>
          <w:rFonts w:ascii="Arial" w:cs="Arial" w:eastAsia="Arial" w:hAnsi="Arial"/>
          <w:sz w:val="16"/>
          <w:szCs w:val="16"/>
          <w:color w:val="auto"/>
        </w:rPr>
      </w:pPr>
      <w:r>
        <w:rPr>
          <w:rFonts w:ascii="Arial" w:cs="Arial" w:eastAsia="Arial" w:hAnsi="Arial"/>
          <w:sz w:val="16"/>
          <w:szCs w:val="16"/>
          <w:color w:val="auto"/>
        </w:rPr>
        <w:t xml:space="preserve">To the extent we establish a valuation allowance in a period we must include and expense the allowance within the tax provision in the consolidated statement of operations. In accordance with ASC Topic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we analyzed our valuation allowance at June 30, 2009 and determined that based upon available evidence it is more likely than not that certain of our deferred tax assets related to capital and unrealized loss carryovers, certain state net operating loss carryovers and state research and development credits will not be realized and as such we have recorded a valuation allowance against these deferred tax assets in the amount of $928,000. The recording of a portion of this valuation allowance resulted in an increase in our in come tax expense for the year ended June 30, 2009 of $83,000. For the six months ended December 31, 2009 we continued to maintain a valuation allowance on our capital loss carryovers and state research and development credits. During the current period we withdrew from certain states where we had net operating loss carryovers. Our valuation allowance at December 31, 2009 is $880,000, resulting in a decrease in our tax benefit of $48,000 during the six months ended December 31, 2009. Please refer to </w:t>
      </w:r>
      <w:hyperlink w:anchor="page79">
        <w:r>
          <w:rPr>
            <w:rFonts w:ascii="Arial" w:cs="Arial" w:eastAsia="Arial" w:hAnsi="Arial"/>
            <w:sz w:val="16"/>
            <w:szCs w:val="16"/>
            <w:u w:val="single" w:color="auto"/>
            <w:color w:val="0000EE"/>
          </w:rPr>
          <w:t>Note 14 - Income Taxes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Consolidated Financial Statements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17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6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 nst slow-moving or obsolete inventory is increased or reduced based on several factors which among other things require us to make an estimate of a product’s life-cycle, potential demand and our ability to sell these products at estimated price levels. While we</w:t>
      </w:r>
    </w:p>
    <w:p>
      <w:pPr>
        <w:spacing w:after="0" w:line="1" w:lineRule="exact"/>
        <w:rPr>
          <w:sz w:val="20"/>
          <w:szCs w:val="20"/>
          <w:color w:val="auto"/>
        </w:rPr>
      </w:pPr>
    </w:p>
    <w:p>
      <w:pPr>
        <w:jc w:val="both"/>
        <w:ind w:right="60"/>
        <w:spacing w:after="0" w:line="260" w:lineRule="auto"/>
        <w:rPr>
          <w:sz w:val="20"/>
          <w:szCs w:val="20"/>
          <w:color w:val="auto"/>
        </w:rPr>
      </w:pPr>
      <w:r>
        <w:rPr>
          <w:rFonts w:ascii="Arial" w:cs="Arial" w:eastAsia="Arial" w:hAnsi="Arial"/>
          <w:sz w:val="17"/>
          <w:szCs w:val="17"/>
          <w:color w:val="auto"/>
        </w:rPr>
        <w:t>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December 2004, the FASB issued guidelines now contained under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jc w:val="both"/>
        <w:ind w:right="80"/>
        <w:spacing w:after="0" w:line="241"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76"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 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July 2009, FASB completed the codification of nongovernmental GAAP and issued Accounting Standards Codification (“ASC”). ASC supersedes existing pronouncements of FASB, Emerging Issues Task Force, American Institute of Certified Public Accountants and related accounting literature. Pursuant to this Codification, ASC remains the only official and authoritative source of GAAP and all other hierarchies of accounting literature is now considered non-authoritative. The Codification also includes relevant SEC pronouncements on accounting organized under the same topics under which the rest of the accounting topics are codified. ASC is effective for interim and annual periods ending after September 15, 20 09.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0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response to this item is submitted as a separate section of this Form 10-KT beginning on </w:t>
      </w:r>
      <w:hyperlink w:anchor="page51">
        <w:r>
          <w:rPr>
            <w:rFonts w:ascii="Arial" w:cs="Arial" w:eastAsia="Arial" w:hAnsi="Arial"/>
            <w:sz w:val="18"/>
            <w:szCs w:val="18"/>
            <w:u w:val="single" w:color="auto"/>
            <w:color w:val="0000EE"/>
          </w:rPr>
          <w:t>page F-1</w:t>
        </w:r>
      </w:hyperlink>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9A(T).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8"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2009.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4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note that after December 31, 2009, we determined we would not be in a position to complete this Form 10-KT for the six-month transition period ended December 31, 2009 and file it within the required time period, given the acquisition of NetStreams completed in November 2009 and the amount of resources and time necessary to gather and process the required financial information. For this reason, since December 31, 2009, we have determined our disclosure controls and procedures are not effective.</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 during the transition period ended December 31, 2009, and there were no significant deficiencies or material weaknesses.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are intended to:</w:t>
      </w:r>
    </w:p>
    <w:p>
      <w:pPr>
        <w:spacing w:after="0" w:line="175" w:lineRule="exact"/>
        <w:rPr>
          <w:sz w:val="20"/>
          <w:szCs w:val="20"/>
          <w:color w:val="auto"/>
        </w:rPr>
      </w:pPr>
    </w:p>
    <w:p>
      <w:pPr>
        <w:ind w:left="520" w:hanging="367"/>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9" w:lineRule="exact"/>
        <w:rPr>
          <w:rFonts w:ascii="Arial" w:cs="Arial" w:eastAsia="Arial" w:hAnsi="Arial"/>
          <w:sz w:val="17"/>
          <w:szCs w:val="17"/>
          <w:color w:val="auto"/>
        </w:rPr>
      </w:pPr>
    </w:p>
    <w:p>
      <w:pPr>
        <w:ind w:left="520" w:right="120" w:hanging="367"/>
        <w:spacing w:after="0" w:line="248"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68" w:lineRule="exact"/>
        <w:rPr>
          <w:rFonts w:ascii="Arial" w:cs="Arial" w:eastAsia="Arial" w:hAnsi="Arial"/>
          <w:sz w:val="18"/>
          <w:szCs w:val="18"/>
          <w:color w:val="auto"/>
        </w:rPr>
      </w:pPr>
    </w:p>
    <w:p>
      <w:pPr>
        <w:ind w:left="520" w:right="200" w:hanging="367"/>
        <w:spacing w:after="0" w:line="262"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5640" w:hanging="82"/>
        <w:spacing w:after="0"/>
        <w:tabs>
          <w:tab w:leader="none" w:pos="5640" w:val="left"/>
        </w:tabs>
        <w:numPr>
          <w:ilvl w:val="1"/>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39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connection with the preparation of this transition report on Form 10-KT for the six months ended December 31, 2009, our management, with the participation of our Chief Executive Officer and Principal Financial Officer, has assessed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We have concluded that the design and operation of our internal control over financial reporting are effective as of December 31, 2009. 60; There were no significant changes in our internal control over financial reporting that occurred during the fourth fiscal quarter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w:t>
      </w:r>
    </w:p>
    <w:p>
      <w:pPr>
        <w:spacing w:after="0" w:line="12"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reporting. Management's report was not subject to attestation by our registered public accounting firm pursuant to temporary rules of the Commission that permit us to provide only management's report in this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certain information regarding our directors and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60" w:type="dxa"/>
            <w:vAlign w:val="bottom"/>
          </w:tcPr>
          <w:p>
            <w:pPr>
              <w:ind w:left="100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6"/>
                <w:szCs w:val="16"/>
                <w:color w:val="auto"/>
              </w:rPr>
            </w:pPr>
          </w:p>
        </w:tc>
        <w:tc>
          <w:tcPr>
            <w:tcW w:w="604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6"/>
                <w:szCs w:val="16"/>
                <w:color w:val="auto"/>
              </w:rPr>
            </w:pPr>
          </w:p>
        </w:tc>
        <w:tc>
          <w:tcPr>
            <w:tcW w:w="2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Director or Officer since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Zeynep “Zee” Hakimoglu</w:t>
            </w:r>
          </w:p>
        </w:tc>
        <w:tc>
          <w:tcPr>
            <w:tcW w:w="5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56</w:t>
            </w:r>
          </w:p>
        </w:tc>
        <w:tc>
          <w:tcPr>
            <w:tcW w:w="6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Chairman of the Board of Directors, Chief Executive Officer, and President</w:t>
            </w:r>
          </w:p>
        </w:tc>
        <w:tc>
          <w:tcPr>
            <w:tcW w:w="22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See Note 1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Brad R. Baldwin</w:t>
            </w:r>
          </w:p>
        </w:tc>
        <w:tc>
          <w:tcPr>
            <w:tcW w:w="60" w:type="dxa"/>
            <w:vAlign w:val="bottom"/>
          </w:tcPr>
          <w:p>
            <w:pPr>
              <w:spacing w:after="0"/>
              <w:rPr>
                <w:sz w:val="18"/>
                <w:szCs w:val="18"/>
                <w:color w:val="auto"/>
              </w:rPr>
            </w:pPr>
          </w:p>
        </w:tc>
        <w:tc>
          <w:tcPr>
            <w:tcW w:w="6720" w:type="dxa"/>
            <w:vAlign w:val="bottom"/>
            <w:gridSpan w:val="3"/>
          </w:tcPr>
          <w:p>
            <w:pPr>
              <w:ind w:left="180"/>
              <w:spacing w:after="0"/>
              <w:rPr>
                <w:sz w:val="20"/>
                <w:szCs w:val="20"/>
                <w:color w:val="auto"/>
              </w:rPr>
            </w:pPr>
            <w:r>
              <w:rPr>
                <w:rFonts w:ascii="Arial" w:cs="Arial" w:eastAsia="Arial" w:hAnsi="Arial"/>
                <w:sz w:val="18"/>
                <w:szCs w:val="18"/>
                <w:color w:val="auto"/>
                <w:w w:val="99"/>
              </w:rPr>
              <w:t>54  Director and Member of the Audit, Compensation and Nominating Committees</w:t>
            </w:r>
          </w:p>
        </w:tc>
        <w:tc>
          <w:tcPr>
            <w:tcW w:w="2220" w:type="dxa"/>
            <w:vAlign w:val="bottom"/>
            <w:gridSpan w:val="3"/>
          </w:tcPr>
          <w:p>
            <w:pPr>
              <w:ind w:left="160"/>
              <w:spacing w:after="0"/>
              <w:rPr>
                <w:sz w:val="20"/>
                <w:szCs w:val="20"/>
                <w:color w:val="auto"/>
              </w:rPr>
            </w:pPr>
            <w:r>
              <w:rPr>
                <w:rFonts w:ascii="Arial" w:cs="Arial" w:eastAsia="Arial" w:hAnsi="Arial"/>
                <w:sz w:val="18"/>
                <w:szCs w:val="18"/>
                <w:color w:val="auto"/>
              </w:rPr>
              <w:t>October 1988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Larry R. Hendricks</w:t>
            </w:r>
          </w:p>
        </w:tc>
        <w:tc>
          <w:tcPr>
            <w:tcW w:w="5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67</w:t>
            </w:r>
          </w:p>
        </w:tc>
        <w:tc>
          <w:tcPr>
            <w:tcW w:w="6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Director and Member of the Audit, Compensation and Nominating Committees</w:t>
            </w:r>
          </w:p>
        </w:tc>
        <w:tc>
          <w:tcPr>
            <w:tcW w:w="22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June 2003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Scott M. Huntsman</w:t>
            </w:r>
          </w:p>
        </w:tc>
        <w:tc>
          <w:tcPr>
            <w:tcW w:w="5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44</w:t>
            </w:r>
          </w:p>
        </w:tc>
        <w:tc>
          <w:tcPr>
            <w:tcW w:w="62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8"/>
              </w:rPr>
              <w:t>Director and Member of the Audit, Compensation and Nominating Committees</w:t>
            </w:r>
          </w:p>
        </w:tc>
        <w:tc>
          <w:tcPr>
            <w:tcW w:w="22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June 2003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 Bryan Bagley</w:t>
            </w:r>
          </w:p>
        </w:tc>
        <w:tc>
          <w:tcPr>
            <w:tcW w:w="5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46</w:t>
            </w:r>
          </w:p>
        </w:tc>
        <w:tc>
          <w:tcPr>
            <w:tcW w:w="6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Director</w:t>
            </w:r>
          </w:p>
        </w:tc>
        <w:tc>
          <w:tcPr>
            <w:tcW w:w="22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November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Narsi Narayanan</w:t>
            </w:r>
          </w:p>
        </w:tc>
        <w:tc>
          <w:tcPr>
            <w:tcW w:w="5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39</w:t>
            </w:r>
          </w:p>
        </w:tc>
        <w:tc>
          <w:tcPr>
            <w:tcW w:w="6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Vice President of Finance and Corporate Secretary</w:t>
            </w:r>
          </w:p>
        </w:tc>
        <w:tc>
          <w:tcPr>
            <w:tcW w:w="22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July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Tracy A. Bathurst</w:t>
            </w:r>
          </w:p>
        </w:tc>
        <w:tc>
          <w:tcPr>
            <w:tcW w:w="5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45</w:t>
            </w:r>
          </w:p>
        </w:tc>
        <w:tc>
          <w:tcPr>
            <w:tcW w:w="6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Chief Technology Officer</w:t>
            </w:r>
          </w:p>
        </w:tc>
        <w:tc>
          <w:tcPr>
            <w:tcW w:w="22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August 2007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0" w:type="dxa"/>
            <w:vAlign w:val="bottom"/>
            <w:gridSpan w:val="2"/>
          </w:tcPr>
          <w:p>
            <w:pPr>
              <w:spacing w:after="0" w:line="189" w:lineRule="exact"/>
              <w:rPr>
                <w:sz w:val="20"/>
                <w:szCs w:val="20"/>
                <w:color w:val="auto"/>
              </w:rPr>
            </w:pPr>
            <w:r>
              <w:rPr>
                <w:rFonts w:ascii="Arial" w:cs="Arial" w:eastAsia="Arial" w:hAnsi="Arial"/>
                <w:sz w:val="18"/>
                <w:szCs w:val="18"/>
                <w:color w:val="auto"/>
              </w:rPr>
              <w:t>Michael E. Braithwaite</w:t>
            </w:r>
          </w:p>
        </w:tc>
        <w:tc>
          <w:tcPr>
            <w:tcW w:w="58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42</w:t>
            </w:r>
          </w:p>
        </w:tc>
        <w:tc>
          <w:tcPr>
            <w:tcW w:w="6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Senior Vice President of Technology</w:t>
            </w:r>
          </w:p>
        </w:tc>
        <w:tc>
          <w:tcPr>
            <w:tcW w:w="222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November 2009</w:t>
            </w:r>
          </w:p>
        </w:tc>
        <w:tc>
          <w:tcPr>
            <w:tcW w:w="0" w:type="dxa"/>
            <w:vAlign w:val="bottom"/>
          </w:tcPr>
          <w:p>
            <w:pPr>
              <w:spacing w:after="0"/>
              <w:rPr>
                <w:sz w:val="1"/>
                <w:szCs w:val="1"/>
                <w:color w:val="auto"/>
              </w:rPr>
            </w:pPr>
          </w:p>
        </w:tc>
      </w:tr>
      <w:tr>
        <w:trPr>
          <w:trHeight w:val="219"/>
        </w:trPr>
        <w:tc>
          <w:tcPr>
            <w:tcW w:w="2420" w:type="dxa"/>
            <w:vAlign w:val="bottom"/>
            <w:gridSpan w:val="3"/>
          </w:tcPr>
          <w:p>
            <w:pPr>
              <w:spacing w:after="0"/>
              <w:rPr>
                <w:sz w:val="20"/>
                <w:szCs w:val="20"/>
                <w:color w:val="auto"/>
              </w:rPr>
            </w:pPr>
            <w:r>
              <w:rPr>
                <w:rFonts w:ascii="Arial" w:cs="Arial" w:eastAsia="Arial" w:hAnsi="Arial"/>
                <w:sz w:val="18"/>
                <w:szCs w:val="18"/>
                <w:color w:val="auto"/>
              </w:rPr>
              <w:t>_______________________</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-1231265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-1231265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-1231265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-1231265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-1231265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-1231265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-1231265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-1231265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been an Officer since July 2004. Became a Director in April 2006 and was appointed Chairman of the Board in July 2007.</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has served as a director of our company since April 2006. Ms. Hakimoglu joined our company in December 2003 with more than 15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senior-level, high-tech management 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 Vice President of Product Line Management for Oplink Communications, a publicly traded developer of fiber optic subsystems and components from December 2001 to December 2002; President of OZ Optics USA, a manufacturer of fiber optic test equipm ent and components from August 2000 to November 2001; and various management positions including Vice President of Wireless Engineering and Vice President of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business unit.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Brad R. Baldwin </w:t>
      </w:r>
      <w:r>
        <w:rPr>
          <w:rFonts w:ascii="Arial" w:cs="Arial" w:eastAsia="Arial" w:hAnsi="Arial"/>
          <w:sz w:val="16"/>
          <w:szCs w:val="16"/>
          <w:color w:val="auto"/>
        </w:rPr>
        <w:t>has served as a director of our company since October 1988. Mr. Baldwin is an attorney licensed to practice in Utah. Since April 2009, Mr.</w:t>
      </w:r>
      <w:r>
        <w:rPr>
          <w:rFonts w:ascii="Arial" w:cs="Arial" w:eastAsia="Arial" w:hAnsi="Arial"/>
          <w:sz w:val="16"/>
          <w:szCs w:val="16"/>
          <w:b w:val="1"/>
          <w:bCs w:val="1"/>
          <w:color w:val="auto"/>
        </w:rPr>
        <w:t xml:space="preserve"> </w:t>
      </w:r>
      <w:r>
        <w:rPr>
          <w:rFonts w:ascii="Arial" w:cs="Arial" w:eastAsia="Arial" w:hAnsi="Arial"/>
          <w:sz w:val="16"/>
          <w:szCs w:val="16"/>
          <w:color w:val="auto"/>
        </w:rPr>
        <w:t>Baldwin has served as general counsel to the Wasatch Front Regional Multiple Listing Service. The WFRMLS currently assists over 12,000 broker, agents and appraisers with their MLS needs and services.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contine to serve as a director.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Larry R. Hendricks </w:t>
      </w:r>
      <w:r>
        <w:rPr>
          <w:rFonts w:ascii="Arial" w:cs="Arial" w:eastAsia="Arial" w:hAnsi="Arial"/>
          <w:sz w:val="18"/>
          <w:szCs w:val="18"/>
          <w:color w:val="auto"/>
        </w:rPr>
        <w:t>has served as a director of our company since June 2003. Mr. Hendricks is a Certified Public Accountant who retired in December 2002</w:t>
      </w:r>
      <w:r>
        <w:rPr>
          <w:rFonts w:ascii="Arial" w:cs="Arial" w:eastAsia="Arial" w:hAnsi="Arial"/>
          <w:sz w:val="18"/>
          <w:szCs w:val="18"/>
          <w:b w:val="1"/>
          <w:bCs w:val="1"/>
          <w:color w:val="auto"/>
        </w:rPr>
        <w:t xml:space="preserve"> </w:t>
      </w:r>
      <w:r>
        <w:rPr>
          <w:rFonts w:ascii="Arial" w:cs="Arial" w:eastAsia="Arial" w:hAnsi="Arial"/>
          <w:sz w:val="18"/>
          <w:szCs w:val="18"/>
          <w:color w:val="auto"/>
        </w:rPr>
        <w:t>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In light of Mr. Hendricks' background in finance and accounting and his deep understanding of our business after his ser vice on our Board, the Board has concluded that Mr. Hendricks should continue to serve as a director.</w:t>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Scott M. Huntsman </w:t>
      </w:r>
      <w:r>
        <w:rPr>
          <w:rFonts w:ascii="Arial" w:cs="Arial" w:eastAsia="Arial" w:hAnsi="Arial"/>
          <w:sz w:val="17"/>
          <w:szCs w:val="17"/>
          <w:color w:val="auto"/>
        </w:rPr>
        <w:t>has served as a director of our company since June 2003. Mr. Huntsman has served as President of GlobalSim, a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simulation company, since February 2003 and Chief Financial Officer from April 2002 to February 2003. Prior to GlobalSim, he spent 11 years on Wall Street as an investment banker, where he focused on mergers, acquisitions, and corporate finance transactions. From August 1996 to 2000, Mr. Huntsman served at Donaldson, Lufkin and Jenrette Securities Corporation until their merger with Credit Suisse First Boston where he served until October 2001. Mr. Huntsman earned a Bachelor’s Degree from Columbia University and a Master of Business Administration Degree from The Wharton Scho ol at the University of Pennsylvania. He also studied at the London School of Economics as a Kohn Fellowship recipient. In light of Mr. Huntsman's background in finance and particularly in the area of mergers, acquisitions and corporate finance and in view of his experience as a leader of a technology company, the Board has concluded that Mr. Huntsman should continue to serve as a director.</w:t>
      </w:r>
    </w:p>
    <w:p>
      <w:pPr>
        <w:spacing w:after="0" w:line="19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E. Bryan Bagley </w:t>
      </w:r>
      <w:r>
        <w:rPr>
          <w:rFonts w:ascii="Arial" w:cs="Arial" w:eastAsia="Arial" w:hAnsi="Arial"/>
          <w:sz w:val="17"/>
          <w:szCs w:val="17"/>
          <w:color w:val="auto"/>
        </w:rPr>
        <w:t>has served as a director of our company since November 2009 and was a director of Nevada Chemicals from June 2000 until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was sold in September 2008 and served as Chairman of the Board from December 2001 until September 2008. Since November 2002, Mr. Bagley has been a private investor managing accounts on his own behalf. From December 1991 to November 2002, Mr. Bagley served as a market maker for Wilson-Davis &amp; Company. Prior to that position, he served as a trader for Covey &amp; Co. and Bagley Securities. Mr. Bagley graduated from the University of Utah in 1987 with a Bachelor of Science degree in Economics. Mr. Bryan Bagley is the son of Edward D. Bagley, our former Chairman of the Board and currently a consultant to our company. Mr. Edward D. Bagley beneficially owns 22.3% of our issued and outstanding common stock. In light of Mr. Bagley's prior experience as the Chairman of a public company and the benefit that may accrue to our company from his leadership experience, the Board has concluded that Mr. Bagley should continue to serve as a director.</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has served as our Vice President of Finance since July 2009 and has over 15 years of professional experience in the areas of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Tracy A. Bathurst </w:t>
      </w:r>
      <w:r>
        <w:rPr>
          <w:rFonts w:ascii="Arial" w:cs="Arial" w:eastAsia="Arial" w:hAnsi="Arial"/>
          <w:sz w:val="18"/>
          <w:szCs w:val="18"/>
          <w:color w:val="auto"/>
        </w:rPr>
        <w:t>joined our company in September 1988 and has held several positions with us until he was named Chief Technology Officer in August</w:t>
      </w:r>
      <w:r>
        <w:rPr>
          <w:rFonts w:ascii="Arial" w:cs="Arial" w:eastAsia="Arial" w:hAnsi="Arial"/>
          <w:sz w:val="18"/>
          <w:szCs w:val="18"/>
          <w:b w:val="1"/>
          <w:bCs w:val="1"/>
          <w:color w:val="auto"/>
        </w:rPr>
        <w:t xml:space="preserve"> </w:t>
      </w:r>
      <w:r>
        <w:rPr>
          <w:rFonts w:ascii="Arial" w:cs="Arial" w:eastAsia="Arial" w:hAnsi="Arial"/>
          <w:sz w:val="18"/>
          <w:szCs w:val="18"/>
          <w:color w:val="auto"/>
        </w:rPr>
        <w:t>2007. He most recently served as our Vice President of Product Line Management and has nearly 20 years experience in defining and developing communications-related products and technology. Mr. Bathurst has led the design and development of our high performance audio and telecommunications equipment. He earned a Bachelor of Science degree in Industrial Technology from Southern Utah University.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Michael Braithwaite </w:t>
      </w:r>
      <w:r>
        <w:rPr>
          <w:rFonts w:ascii="Arial" w:cs="Arial" w:eastAsia="Arial" w:hAnsi="Arial"/>
          <w:sz w:val="17"/>
          <w:szCs w:val="17"/>
          <w:color w:val="auto"/>
        </w:rPr>
        <w:t>joined us in November 2009 through the acquisition of NetStreams, Inc. where he was the CTO and co-founder since 2004 and has lead</w:t>
      </w:r>
      <w:r>
        <w:rPr>
          <w:rFonts w:ascii="Arial" w:cs="Arial" w:eastAsia="Arial" w:hAnsi="Arial"/>
          <w:sz w:val="17"/>
          <w:szCs w:val="17"/>
          <w:b w:val="1"/>
          <w:bCs w:val="1"/>
          <w:color w:val="auto"/>
        </w:rPr>
        <w:t xml:space="preserve"> </w:t>
      </w:r>
      <w:r>
        <w:rPr>
          <w:rFonts w:ascii="Arial" w:cs="Arial" w:eastAsia="Arial" w:hAnsi="Arial"/>
          <w:sz w:val="17"/>
          <w:szCs w:val="17"/>
          <w:color w:val="auto"/>
        </w:rPr>
        <w:t>a distinguished twenty-year career as a visionary, disruptive innovator, and proven leader in the professional audio and consumer electronics industries. He has authored more than twenty U.S. and International patents. Before NetStreams, Michael was a product and market manager for Crestron Electronics where he worked on highly successful audio and video distribution products. He currently serves as a Chairman on the Consumer Electronics Association's R10 working group technical committees and is a very active member in technology standard efforts.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Section 16(a) of the Exchange Act, as amended, requires our directors and executive officers, and persons who own more than 10% of a registered class of our equity securities to file with the SEC initial reports of ownership on Form 3 and reports of changes of ownership of our equity securities on Forms 4 and</w:t>
      </w:r>
    </w:p>
    <w:p>
      <w:pPr>
        <w:spacing w:after="0" w:line="1" w:lineRule="exact"/>
        <w:rPr>
          <w:sz w:val="20"/>
          <w:szCs w:val="20"/>
          <w:color w:val="auto"/>
        </w:rPr>
      </w:pPr>
    </w:p>
    <w:p>
      <w:pPr>
        <w:jc w:val="both"/>
        <w:ind w:firstLine="8"/>
        <w:spacing w:after="0" w:line="256" w:lineRule="auto"/>
        <w:tabs>
          <w:tab w:leader="none" w:pos="184" w:val="left"/>
        </w:tabs>
        <w:numPr>
          <w:ilvl w:val="0"/>
          <w:numId w:val="12"/>
        </w:numPr>
        <w:rPr>
          <w:rFonts w:ascii="Arial" w:cs="Arial" w:eastAsia="Arial" w:hAnsi="Arial"/>
          <w:sz w:val="17"/>
          <w:szCs w:val="17"/>
          <w:color w:val="auto"/>
        </w:rPr>
      </w:pPr>
      <w:r>
        <w:rPr>
          <w:rFonts w:ascii="Arial" w:cs="Arial" w:eastAsia="Arial" w:hAnsi="Arial"/>
          <w:sz w:val="17"/>
          <w:szCs w:val="17"/>
          <w:color w:val="auto"/>
        </w:rPr>
        <w:t>Officers, directors, and greater than 10% shareholders are required to furnish us with copies of all Section 16(a) reports they file. Based solely on a review of the reports and amendments to reports furnished to us during the transition period ended December 31, 2009, and written representations that no other reports were required, we believe that each person who, at any time during such transition period was a director, officer, or beneficial owner of more than 10% of our common stock, complied wit h all Section 16(a) filing requirements during such transition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 xml:space="preserve"> .</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changes have been made to the procedures by which our shareholders may recommend nominees to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a separate Audit Committee and its members are Scott M. Huntsman (Chairman), Brad R. Baldwin, and Larry R. Hendricks. The Board of Directors has determined that Scott M. Huntsman is an “audit committee financial expert” and is independent in accordance with applicable rules and regulations of NASDAQ and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set forth for the periods indicated the compensation paid or earned by each named executive officer for the transition period ended December 31, 2009 and fiscal years ending June 30, 2009 and June 30, 2008.</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4560" w:type="dxa"/>
            <w:vAlign w:val="bottom"/>
          </w:tcPr>
          <w:p>
            <w:pPr>
              <w:ind w:left="140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 xml:space="preserve">Option Awards </w:t>
            </w:r>
            <w:r>
              <w:rPr>
                <w:rFonts w:ascii="Arial" w:cs="Arial" w:eastAsia="Arial" w:hAnsi="Arial"/>
                <w:sz w:val="10"/>
                <w:szCs w:val="10"/>
                <w:b w:val="1"/>
                <w:bCs w:val="1"/>
                <w:color w:val="auto"/>
                <w:w w:val="95"/>
              </w:rPr>
              <w:t>(1)</w:t>
            </w:r>
          </w:p>
        </w:tc>
        <w:tc>
          <w:tcPr>
            <w:tcW w:w="12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0"/>
                <w:szCs w:val="10"/>
                <w:b w:val="1"/>
                <w:bCs w:val="1"/>
                <w:color w:val="auto"/>
                <w:w w:val="91"/>
              </w:rPr>
              <w:t>(2)</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10"/>
                <w:szCs w:val="10"/>
                <w:b w:val="1"/>
                <w:bCs w:val="1"/>
                <w:color w:val="auto"/>
                <w:w w:val="95"/>
              </w:rPr>
              <w:t>(3)</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r>
      <w:tr>
        <w:trPr>
          <w:trHeight w:val="152"/>
        </w:trPr>
        <w:tc>
          <w:tcPr>
            <w:tcW w:w="20" w:type="dxa"/>
            <w:vAlign w:val="bottom"/>
          </w:tcPr>
          <w:p>
            <w:pPr>
              <w:spacing w:after="0"/>
              <w:rPr>
                <w:sz w:val="13"/>
                <w:szCs w:val="13"/>
                <w:color w:val="auto"/>
              </w:rPr>
            </w:pPr>
          </w:p>
        </w:tc>
        <w:tc>
          <w:tcPr>
            <w:tcW w:w="45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w w:val="98"/>
              </w:rPr>
              <w:t xml:space="preserve">Zee Hakimoglu </w:t>
            </w:r>
            <w:r>
              <w:rPr>
                <w:rFonts w:ascii="Arial" w:cs="Arial" w:eastAsia="Arial" w:hAnsi="Arial"/>
                <w:sz w:val="16"/>
                <w:szCs w:val="16"/>
                <w:color w:val="auto"/>
                <w:w w:val="98"/>
              </w:rPr>
              <w:t>- Chairman of the Board, Chief Executive Officer</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9"/>
        </w:trPr>
        <w:tc>
          <w:tcPr>
            <w:tcW w:w="4580" w:type="dxa"/>
            <w:vAlign w:val="bottom"/>
            <w:gridSpan w:val="2"/>
          </w:tcPr>
          <w:p>
            <w:pPr>
              <w:spacing w:after="0"/>
              <w:rPr>
                <w:sz w:val="20"/>
                <w:szCs w:val="20"/>
                <w:color w:val="auto"/>
              </w:rPr>
            </w:pPr>
            <w:r>
              <w:rPr>
                <w:rFonts w:ascii="Arial" w:cs="Arial" w:eastAsia="Arial" w:hAnsi="Arial"/>
                <w:sz w:val="16"/>
                <w:szCs w:val="16"/>
                <w:color w:val="auto"/>
              </w:rPr>
              <w:t>and President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Six months ended December 31, 2009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110,000</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110,000</w:t>
            </w:r>
          </w:p>
        </w:tc>
      </w:tr>
      <w:tr>
        <w:trPr>
          <w:trHeight w:val="203"/>
        </w:trPr>
        <w:tc>
          <w:tcPr>
            <w:tcW w:w="4580" w:type="dxa"/>
            <w:vAlign w:val="bottom"/>
            <w:gridSpan w:val="2"/>
          </w:tcPr>
          <w:p>
            <w:pPr>
              <w:spacing w:after="0"/>
              <w:rPr>
                <w:sz w:val="20"/>
                <w:szCs w:val="20"/>
                <w:color w:val="auto"/>
              </w:rPr>
            </w:pPr>
            <w:r>
              <w:rPr>
                <w:rFonts w:ascii="Arial" w:cs="Arial" w:eastAsia="Arial" w:hAnsi="Arial"/>
                <w:sz w:val="16"/>
                <w:szCs w:val="16"/>
                <w:color w:val="auto"/>
              </w:rPr>
              <w:t>Year ended June 30, 2009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215,157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87,000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44,485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8,390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355,032</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Year ended June 30, 2008</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555,000</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7,267</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762,267</w:t>
            </w:r>
          </w:p>
        </w:tc>
      </w:tr>
      <w:tr>
        <w:trPr>
          <w:trHeight w:val="176"/>
        </w:trPr>
        <w:tc>
          <w:tcPr>
            <w:tcW w:w="20" w:type="dxa"/>
            <w:vAlign w:val="bottom"/>
          </w:tcPr>
          <w:p>
            <w:pPr>
              <w:spacing w:after="0"/>
              <w:rPr>
                <w:sz w:val="15"/>
                <w:szCs w:val="15"/>
                <w:color w:val="auto"/>
              </w:rPr>
            </w:pPr>
          </w:p>
        </w:tc>
        <w:tc>
          <w:tcPr>
            <w:tcW w:w="4560" w:type="dxa"/>
            <w:vAlign w:val="bottom"/>
          </w:tcPr>
          <w:p>
            <w:pPr>
              <w:spacing w:after="0" w:line="176" w:lineRule="exact"/>
              <w:rPr>
                <w:sz w:val="20"/>
                <w:szCs w:val="20"/>
                <w:color w:val="auto"/>
              </w:rPr>
            </w:pPr>
            <w:r>
              <w:rPr>
                <w:rFonts w:ascii="Arial" w:cs="Arial" w:eastAsia="Arial" w:hAnsi="Arial"/>
                <w:sz w:val="16"/>
                <w:szCs w:val="16"/>
                <w:b w:val="1"/>
                <w:bCs w:val="1"/>
                <w:color w:val="auto"/>
              </w:rPr>
              <w:t xml:space="preserve">Tracy A. Bathurst </w:t>
            </w:r>
            <w:r>
              <w:rPr>
                <w:rFonts w:ascii="Arial" w:cs="Arial" w:eastAsia="Arial" w:hAnsi="Arial"/>
                <w:sz w:val="16"/>
                <w:szCs w:val="16"/>
                <w:color w:val="auto"/>
              </w:rPr>
              <w:t>- Chief Strategy Officer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Six months ended December 31, 2009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72,500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85,232</w:t>
            </w:r>
          </w:p>
        </w:tc>
      </w:tr>
      <w:tr>
        <w:trPr>
          <w:trHeight w:val="203"/>
        </w:trPr>
        <w:tc>
          <w:tcPr>
            <w:tcW w:w="4580" w:type="dxa"/>
            <w:vAlign w:val="bottom"/>
            <w:gridSpan w:val="2"/>
          </w:tcPr>
          <w:p>
            <w:pPr>
              <w:spacing w:after="0"/>
              <w:rPr>
                <w:sz w:val="20"/>
                <w:szCs w:val="20"/>
                <w:color w:val="auto"/>
              </w:rPr>
            </w:pPr>
            <w:r>
              <w:rPr>
                <w:rFonts w:ascii="Arial" w:cs="Arial" w:eastAsia="Arial" w:hAnsi="Arial"/>
                <w:sz w:val="16"/>
                <w:szCs w:val="16"/>
                <w:color w:val="auto"/>
              </w:rPr>
              <w:t>Year ended June 30, 2009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142,123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43,500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3,867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224,226</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Year ended June 30, 2008</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139,664</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92,500</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41,155</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4,442</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277,761</w:t>
            </w:r>
          </w:p>
        </w:tc>
      </w:tr>
      <w:tr>
        <w:trPr>
          <w:trHeight w:val="166"/>
        </w:trPr>
        <w:tc>
          <w:tcPr>
            <w:tcW w:w="20" w:type="dxa"/>
            <w:vAlign w:val="bottom"/>
          </w:tcPr>
          <w:p>
            <w:pPr>
              <w:spacing w:after="0"/>
              <w:rPr>
                <w:sz w:val="14"/>
                <w:szCs w:val="14"/>
                <w:color w:val="auto"/>
              </w:rPr>
            </w:pPr>
          </w:p>
        </w:tc>
        <w:tc>
          <w:tcPr>
            <w:tcW w:w="4560" w:type="dxa"/>
            <w:vAlign w:val="bottom"/>
          </w:tcPr>
          <w:p>
            <w:pPr>
              <w:spacing w:after="0" w:line="166" w:lineRule="exact"/>
              <w:rPr>
                <w:sz w:val="20"/>
                <w:szCs w:val="20"/>
                <w:color w:val="auto"/>
              </w:rPr>
            </w:pPr>
            <w:r>
              <w:rPr>
                <w:rFonts w:ascii="Arial" w:cs="Arial" w:eastAsia="Arial" w:hAnsi="Arial"/>
                <w:sz w:val="16"/>
                <w:szCs w:val="16"/>
                <w:b w:val="1"/>
                <w:bCs w:val="1"/>
                <w:color w:val="auto"/>
              </w:rPr>
              <w:t xml:space="preserve">Narsi Narayanan </w:t>
            </w:r>
            <w:r>
              <w:rPr>
                <w:rFonts w:ascii="Arial" w:cs="Arial" w:eastAsia="Arial" w:hAnsi="Arial"/>
                <w:sz w:val="11"/>
                <w:szCs w:val="11"/>
                <w:color w:val="auto"/>
              </w:rPr>
              <w:t>(4)</w:t>
            </w:r>
            <w:r>
              <w:rPr>
                <w:rFonts w:ascii="Arial" w:cs="Arial" w:eastAsia="Arial" w:hAnsi="Arial"/>
                <w:sz w:val="16"/>
                <w:szCs w:val="16"/>
                <w:b w:val="1"/>
                <w:bCs w:val="1"/>
                <w:color w:val="auto"/>
              </w:rPr>
              <w:t xml:space="preserve"> </w:t>
            </w:r>
            <w:r>
              <w:rPr>
                <w:rFonts w:ascii="Arial" w:cs="Arial" w:eastAsia="Arial" w:hAnsi="Arial"/>
                <w:sz w:val="16"/>
                <w:szCs w:val="16"/>
                <w:color w:val="auto"/>
              </w:rPr>
              <w:t>– Vice President of Finance and Corporate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9"/>
        </w:trPr>
        <w:tc>
          <w:tcPr>
            <w:tcW w:w="4580" w:type="dxa"/>
            <w:vAlign w:val="bottom"/>
            <w:gridSpan w:val="2"/>
          </w:tcPr>
          <w:p>
            <w:pPr>
              <w:spacing w:after="0"/>
              <w:rPr>
                <w:sz w:val="20"/>
                <w:szCs w:val="20"/>
                <w:color w:val="auto"/>
              </w:rPr>
            </w:pPr>
            <w:r>
              <w:rPr>
                <w:rFonts w:ascii="Arial" w:cs="Arial" w:eastAsia="Arial" w:hAnsi="Arial"/>
                <w:sz w:val="16"/>
                <w:szCs w:val="16"/>
                <w:color w:val="auto"/>
              </w:rPr>
              <w:t>Secretary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Six months ended December 31, 2009</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45,833</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36,300</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94,162</w:t>
            </w: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 xml:space="preserve">Michael Braithwaite </w:t>
            </w:r>
            <w:r>
              <w:rPr>
                <w:rFonts w:ascii="Arial" w:cs="Arial" w:eastAsia="Arial" w:hAnsi="Arial"/>
                <w:sz w:val="11"/>
                <w:szCs w:val="11"/>
                <w:b w:val="1"/>
                <w:bCs w:val="1"/>
                <w:color w:val="auto"/>
              </w:rPr>
              <w:t>(7)</w:t>
            </w:r>
            <w:r>
              <w:rPr>
                <w:rFonts w:ascii="Arial" w:cs="Arial" w:eastAsia="Arial" w:hAnsi="Arial"/>
                <w:sz w:val="16"/>
                <w:szCs w:val="16"/>
                <w:b w:val="1"/>
                <w:bCs w:val="1"/>
                <w:color w:val="auto"/>
              </w:rPr>
              <w:t xml:space="preserve"> </w:t>
            </w:r>
            <w:r>
              <w:rPr>
                <w:rFonts w:ascii="Arial" w:cs="Arial" w:eastAsia="Arial" w:hAnsi="Arial"/>
                <w:sz w:val="16"/>
                <w:szCs w:val="16"/>
                <w:color w:val="auto"/>
              </w:rPr>
              <w:t>– Senior Vice President of Technology</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Six months ended December 31, 2009</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31,800</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56,800</w:t>
            </w: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w w:val="91"/>
              </w:rPr>
              <w:t xml:space="preserve">Joseph P. Sorrentino </w:t>
            </w:r>
            <w:r>
              <w:rPr>
                <w:rFonts w:ascii="Arial" w:cs="Arial" w:eastAsia="Arial" w:hAnsi="Arial"/>
                <w:sz w:val="11"/>
                <w:szCs w:val="11"/>
                <w:color w:val="auto"/>
                <w:w w:val="91"/>
              </w:rPr>
              <w:t>(6)</w:t>
            </w:r>
            <w:r>
              <w:rPr>
                <w:rFonts w:ascii="Arial" w:cs="Arial" w:eastAsia="Arial" w:hAnsi="Arial"/>
                <w:sz w:val="16"/>
                <w:szCs w:val="16"/>
                <w:b w:val="1"/>
                <w:bCs w:val="1"/>
                <w:color w:val="auto"/>
                <w:w w:val="91"/>
              </w:rPr>
              <w:t xml:space="preserve"> </w:t>
            </w:r>
            <w:r>
              <w:rPr>
                <w:rFonts w:ascii="Arial" w:cs="Arial" w:eastAsia="Arial" w:hAnsi="Arial"/>
                <w:sz w:val="16"/>
                <w:szCs w:val="16"/>
                <w:color w:val="auto"/>
                <w:w w:val="91"/>
              </w:rPr>
              <w:t>– Former Vice President of Worldwide Sales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Six months ended December 31, 2009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79,110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84,548</w:t>
            </w:r>
          </w:p>
        </w:tc>
      </w:tr>
      <w:tr>
        <w:trPr>
          <w:trHeight w:val="237"/>
        </w:trPr>
        <w:tc>
          <w:tcPr>
            <w:tcW w:w="4580" w:type="dxa"/>
            <w:vAlign w:val="bottom"/>
            <w:gridSpan w:val="2"/>
          </w:tcPr>
          <w:p>
            <w:pPr>
              <w:spacing w:after="0"/>
              <w:rPr>
                <w:sz w:val="20"/>
                <w:szCs w:val="20"/>
                <w:color w:val="auto"/>
              </w:rPr>
            </w:pPr>
            <w:r>
              <w:rPr>
                <w:rFonts w:ascii="Arial" w:cs="Arial" w:eastAsia="Arial" w:hAnsi="Arial"/>
                <w:sz w:val="16"/>
                <w:szCs w:val="16"/>
                <w:color w:val="auto"/>
              </w:rPr>
              <w:t>Year ended June 30, 2009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46,250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60,500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146,750</w:t>
            </w:r>
          </w:p>
        </w:tc>
      </w:tr>
      <w:tr>
        <w:trPr>
          <w:trHeight w:val="166"/>
        </w:trPr>
        <w:tc>
          <w:tcPr>
            <w:tcW w:w="20" w:type="dxa"/>
            <w:vAlign w:val="bottom"/>
          </w:tcPr>
          <w:p>
            <w:pPr>
              <w:spacing w:after="0"/>
              <w:rPr>
                <w:sz w:val="14"/>
                <w:szCs w:val="14"/>
                <w:color w:val="auto"/>
              </w:rPr>
            </w:pPr>
          </w:p>
        </w:tc>
        <w:tc>
          <w:tcPr>
            <w:tcW w:w="456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6"/>
                <w:szCs w:val="16"/>
                <w:b w:val="1"/>
                <w:bCs w:val="1"/>
                <w:color w:val="auto"/>
                <w:w w:val="94"/>
              </w:rPr>
              <w:t xml:space="preserve">Greg A. LeClaire </w:t>
            </w:r>
            <w:r>
              <w:rPr>
                <w:rFonts w:ascii="Arial" w:cs="Arial" w:eastAsia="Arial" w:hAnsi="Arial"/>
                <w:sz w:val="11"/>
                <w:szCs w:val="11"/>
                <w:color w:val="auto"/>
                <w:w w:val="94"/>
              </w:rPr>
              <w:t>(5)</w:t>
            </w:r>
            <w:r>
              <w:rPr>
                <w:rFonts w:ascii="Arial" w:cs="Arial" w:eastAsia="Arial" w:hAnsi="Arial"/>
                <w:sz w:val="16"/>
                <w:szCs w:val="16"/>
                <w:b w:val="1"/>
                <w:bCs w:val="1"/>
                <w:color w:val="auto"/>
                <w:w w:val="94"/>
              </w:rPr>
              <w:t xml:space="preserve"> </w:t>
            </w:r>
            <w:r>
              <w:rPr>
                <w:rFonts w:ascii="Arial" w:cs="Arial" w:eastAsia="Arial" w:hAnsi="Arial"/>
                <w:sz w:val="16"/>
                <w:szCs w:val="16"/>
                <w:color w:val="auto"/>
                <w:w w:val="94"/>
              </w:rPr>
              <w:t>– Former Chief Financial Officer and Corporate</w:t>
            </w:r>
          </w:p>
        </w:tc>
        <w:tc>
          <w:tcPr>
            <w:tcW w:w="1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Secretary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spacing w:after="0"/>
              <w:rPr>
                <w:sz w:val="20"/>
                <w:szCs w:val="20"/>
                <w:color w:val="auto"/>
              </w:rPr>
            </w:pPr>
            <w:r>
              <w:rPr>
                <w:rFonts w:ascii="Arial" w:cs="Arial" w:eastAsia="Arial" w:hAnsi="Arial"/>
                <w:sz w:val="16"/>
                <w:szCs w:val="16"/>
                <w:color w:val="auto"/>
              </w:rPr>
              <w:t>Year ended June 30, 2009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133,227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43,500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12,169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218,904</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Year ended June 30, 2008</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149,615</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185,000</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49,311</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6,744</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390,670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38" w:lineRule="exact"/>
        <w:rPr>
          <w:sz w:val="20"/>
          <w:szCs w:val="20"/>
          <w:color w:val="auto"/>
        </w:rPr>
      </w:pPr>
    </w:p>
    <w:p>
      <w:pPr>
        <w:ind w:left="380" w:right="340" w:hanging="286"/>
        <w:spacing w:after="0" w:line="259" w:lineRule="auto"/>
        <w:tabs>
          <w:tab w:leader="none" w:pos="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assumptions made in the valuation of our option awards is disclosed in </w:t>
      </w:r>
      <w:hyperlink w:anchor="page75">
        <w:r>
          <w:rPr>
            <w:rFonts w:ascii="Arial" w:cs="Arial" w:eastAsia="Arial" w:hAnsi="Arial"/>
            <w:sz w:val="18"/>
            <w:szCs w:val="18"/>
            <w:u w:val="single" w:color="auto"/>
            <w:color w:val="0000EE"/>
          </w:rPr>
          <w:t>Note 11 - Share Based Payments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Notes to Consolidated Financial Statements contained in this transition annual report on Form 10-KT.</w:t>
      </w:r>
    </w:p>
    <w:p>
      <w:pPr>
        <w:spacing w:after="0" w:line="51" w:lineRule="exact"/>
        <w:rPr>
          <w:rFonts w:ascii="Arial" w:cs="Arial" w:eastAsia="Arial" w:hAnsi="Arial"/>
          <w:sz w:val="18"/>
          <w:szCs w:val="18"/>
          <w:color w:val="auto"/>
        </w:rPr>
      </w:pPr>
    </w:p>
    <w:p>
      <w:pPr>
        <w:ind w:left="380" w:right="60" w:hanging="308"/>
        <w:spacing w:after="0" w:line="268" w:lineRule="auto"/>
        <w:tabs>
          <w:tab w:leader="none" w:pos="4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Non-Equity Incentive Plan Compensation is based upon the achievement of pre-determined quarterly goals, namely, quantitative financial goals comprising of revenue, gross margin and operating income, and non-quantitative performance goals. While quantitative financial goals are similar for all the executive officers, non-quantitative goals vary for each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Compensation under the non-equity incentive plan is calculated by assigning 70% weight to quantitative financial goals (with revenue, gross margin and operating income having equal share) and 30% to non-quantitative goals. Of the amounts included above, Ms. Hakimoglu’s compensation for year ended June 30, 2009 included $15,385 for achieving financial goals and $29,100 for achieving non-quantitative goals. Mr. LeClaire’s compensation for year ended June 30, 2009 included $6,119 for achieving financial goals and $23,889 for achieving non-quantitative goals. Mr. Bathurst’s compensation for six months included December 31, 2009 included $12,732 for achieving non-quantitative goals and during the year ended June 30, 2009, $5,915 for achieving financial goals and $28,821 for achieving non-quantitative goals. Mr. Sorrentino's compensation for the year ended June 30, 2009 included $5,438 towards achieving non-quantitative goals. Mr. Narayanan's compesation for the six months ended December 31, 2009 includes $12,732 towards achieving non-quantitative goals.</w:t>
      </w:r>
    </w:p>
    <w:p>
      <w:pPr>
        <w:spacing w:after="0" w:line="395" w:lineRule="exact"/>
        <w:rPr>
          <w:rFonts w:ascii="Arial" w:cs="Arial" w:eastAsia="Arial" w:hAnsi="Arial"/>
          <w:sz w:val="17"/>
          <w:szCs w:val="17"/>
          <w:color w:val="auto"/>
        </w:rPr>
      </w:pPr>
    </w:p>
    <w:p>
      <w:pPr>
        <w:ind w:left="5640" w:hanging="82"/>
        <w:spacing w:after="0"/>
        <w:tabs>
          <w:tab w:leader="none" w:pos="5640" w:val="left"/>
        </w:tabs>
        <w:numPr>
          <w:ilvl w:val="2"/>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320" w:lineRule="exact"/>
        <w:rPr>
          <w:sz w:val="20"/>
          <w:szCs w:val="20"/>
          <w:color w:val="auto"/>
        </w:rPr>
      </w:pPr>
    </w:p>
    <w:p>
      <w:pPr>
        <w:ind w:left="340" w:right="40" w:hanging="288"/>
        <w:spacing w:after="0" w:line="25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 the “All Other Compensation” column reflect the value of our 401(k) and Employee Stock Purchase Plan, or ESPP, matching contributions; paid time off, sign-on bonus and severance payments as follows. Ms. Hakimoglu received the following: 401(k) matching contribution of $6,009 during 2009 and $5,055 during 2008; and ESPP matching contribution of $2,381 during 2009 and $2,212 during 2008. Mr. LeClaire received the following: 401(k) matching contribution of $3,666 during 2009 and $5,096 during 2008; ESPP matching contribution of $1,517 during 2009 and $1,648 during 2008; and time off payout of $6,986 during 2009. Mr. Bathurst received the following: 401(k) matching contribution of $3,867 during 2009 and $4,442 during 2008. Mr. Fletcher received the followi ng: time off payout of $4,784 and severance of $7,778 during 2009. Mr. Sorrentino received $40,000 towards sign-on bonus.</w:t>
      </w:r>
    </w:p>
    <w:p>
      <w:pPr>
        <w:spacing w:after="0" w:line="54" w:lineRule="exact"/>
        <w:rPr>
          <w:rFonts w:ascii="Arial" w:cs="Arial" w:eastAsia="Arial" w:hAnsi="Arial"/>
          <w:sz w:val="18"/>
          <w:szCs w:val="18"/>
          <w:color w:val="auto"/>
        </w:rPr>
      </w:pPr>
    </w:p>
    <w:p>
      <w:pPr>
        <w:ind w:left="340" w:hanging="2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Narayanan joined our company as our Vice President of Finance during July 2009.</w:t>
      </w:r>
    </w:p>
    <w:p>
      <w:pPr>
        <w:spacing w:after="0" w:line="90" w:lineRule="exact"/>
        <w:rPr>
          <w:rFonts w:ascii="Arial" w:cs="Arial" w:eastAsia="Arial" w:hAnsi="Arial"/>
          <w:sz w:val="18"/>
          <w:szCs w:val="18"/>
          <w:color w:val="auto"/>
        </w:rPr>
      </w:pPr>
    </w:p>
    <w:p>
      <w:pPr>
        <w:ind w:left="340" w:hanging="2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LeClaire left our company during May 2009.</w:t>
      </w:r>
    </w:p>
    <w:p>
      <w:pPr>
        <w:spacing w:after="0" w:line="90" w:lineRule="exact"/>
        <w:rPr>
          <w:rFonts w:ascii="Arial" w:cs="Arial" w:eastAsia="Arial" w:hAnsi="Arial"/>
          <w:sz w:val="18"/>
          <w:szCs w:val="18"/>
          <w:color w:val="auto"/>
        </w:rPr>
      </w:pPr>
    </w:p>
    <w:p>
      <w:pPr>
        <w:ind w:left="340" w:hanging="2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Sorrentino joined our company during April 2009 and left our company during December 2009.</w:t>
      </w:r>
    </w:p>
    <w:p>
      <w:pPr>
        <w:spacing w:after="0" w:line="90" w:lineRule="exact"/>
        <w:rPr>
          <w:rFonts w:ascii="Arial" w:cs="Arial" w:eastAsia="Arial" w:hAnsi="Arial"/>
          <w:sz w:val="18"/>
          <w:szCs w:val="18"/>
          <w:color w:val="auto"/>
        </w:rPr>
      </w:pPr>
    </w:p>
    <w:p>
      <w:pPr>
        <w:ind w:left="340" w:hanging="2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Braithwaite joined our company during November 2009.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The following table provides information on the holdings of stock options by the named executive officers as of December 31, 2009. None of the officers listed exercised any stock options during the transition period ended December 31, 2009 and fiscal year ended June 30, 2009.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Underlying</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Unexercisable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Exericse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Option Grant</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222"/>
        </w:trPr>
        <w:tc>
          <w:tcPr>
            <w:tcW w:w="20" w:type="dxa"/>
            <w:vAlign w:val="bottom"/>
          </w:tcPr>
          <w:p>
            <w:pPr>
              <w:spacing w:after="0"/>
              <w:rPr>
                <w:sz w:val="19"/>
                <w:szCs w:val="19"/>
                <w:color w:val="auto"/>
              </w:rPr>
            </w:pPr>
          </w:p>
        </w:tc>
        <w:tc>
          <w:tcPr>
            <w:tcW w:w="29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 Date</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03/24/2004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03/24/2014</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5.55</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07/26/2004</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07/26/2014</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09/18/2006</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09/18/2016</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116,666</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33,334</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08/14/2007</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08/14/2017</w:t>
            </w:r>
          </w:p>
        </w:tc>
      </w:tr>
      <w:tr>
        <w:trPr>
          <w:trHeight w:val="243"/>
        </w:trPr>
        <w:tc>
          <w:tcPr>
            <w:tcW w:w="20" w:type="dxa"/>
            <w:vAlign w:val="bottom"/>
          </w:tcPr>
          <w:p>
            <w:pPr>
              <w:spacing w:after="0"/>
              <w:rPr>
                <w:sz w:val="21"/>
                <w:szCs w:val="21"/>
                <w:color w:val="auto"/>
              </w:rPr>
            </w:pPr>
          </w:p>
        </w:tc>
        <w:tc>
          <w:tcPr>
            <w:tcW w:w="29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18,055</w:t>
            </w:r>
          </w:p>
        </w:tc>
        <w:tc>
          <w:tcPr>
            <w:tcW w:w="11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31,945</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11/14/2008</w:t>
            </w:r>
          </w:p>
        </w:tc>
        <w:tc>
          <w:tcPr>
            <w:tcW w:w="12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11/14/2018</w:t>
            </w: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Tracy A. Bathurst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15.25</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05/17/2000</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05/17/2010</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04/12/2004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04/12/2014</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01/27/2005</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01/27/2015</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09/18/2006</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09/18/2016</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19,444</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5,556</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08/14/2007</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08/14/2017</w:t>
            </w:r>
          </w:p>
        </w:tc>
      </w:tr>
      <w:tr>
        <w:trPr>
          <w:trHeight w:val="243"/>
        </w:trPr>
        <w:tc>
          <w:tcPr>
            <w:tcW w:w="20" w:type="dxa"/>
            <w:vAlign w:val="bottom"/>
          </w:tcPr>
          <w:p>
            <w:pPr>
              <w:spacing w:after="0"/>
              <w:rPr>
                <w:sz w:val="21"/>
                <w:szCs w:val="21"/>
                <w:color w:val="auto"/>
              </w:rPr>
            </w:pPr>
          </w:p>
        </w:tc>
        <w:tc>
          <w:tcPr>
            <w:tcW w:w="29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9,027</w:t>
            </w:r>
          </w:p>
        </w:tc>
        <w:tc>
          <w:tcPr>
            <w:tcW w:w="11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15,973</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11/14/2008</w:t>
            </w:r>
          </w:p>
        </w:tc>
        <w:tc>
          <w:tcPr>
            <w:tcW w:w="12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11/14/2018</w:t>
            </w: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Narsi Narayanan</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08/27/2009</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08/27/2019</w:t>
            </w:r>
          </w:p>
        </w:tc>
      </w:tr>
      <w:tr>
        <w:trPr>
          <w:trHeight w:val="237"/>
        </w:trPr>
        <w:tc>
          <w:tcPr>
            <w:tcW w:w="20" w:type="dxa"/>
            <w:vAlign w:val="bottom"/>
          </w:tcPr>
          <w:p>
            <w:pPr>
              <w:spacing w:after="0"/>
              <w:rPr>
                <w:sz w:val="20"/>
                <w:szCs w:val="20"/>
                <w:color w:val="auto"/>
              </w:rPr>
            </w:pPr>
          </w:p>
        </w:tc>
        <w:tc>
          <w:tcPr>
            <w:tcW w:w="2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11/30/2009</w:t>
            </w:r>
          </w:p>
        </w:tc>
        <w:tc>
          <w:tcPr>
            <w:tcW w:w="12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11/30/2019</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rPr>
          <w:sz w:val="20"/>
          <w:szCs w:val="20"/>
          <w:color w:val="auto"/>
        </w:rPr>
      </w:pPr>
      <w:r>
        <w:rPr>
          <w:rFonts w:ascii="Arial" w:cs="Arial" w:eastAsia="Arial" w:hAnsi="Arial"/>
          <w:sz w:val="18"/>
          <w:szCs w:val="18"/>
          <w:color w:val="auto"/>
        </w:rPr>
        <w:t>(1) Unvested options vest monthly over a three year period beginning on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end of our transition period ended December 31, 2009, none of our named executive officers were party to an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severance agreement with us, and each named executive officer’s employment was on an “at-will” basis, permitting either us or the executive to terminate his or her employment for any reason or for no reason.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then all of such optionee’s unvested stock options will vest and become exercisable immediately prior to the event or closing of the transaction causing the change in control.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the option grants </w:t>
      </w:r>
      <w:r>
        <w:rPr>
          <w:rFonts w:ascii="Arial" w:cs="Arial" w:eastAsia="Arial" w:hAnsi="Arial"/>
          <w:sz w:val="16"/>
          <w:szCs w:val="16"/>
          <w:i w:val="1"/>
          <w:iCs w:val="1"/>
          <w:color w:val="auto"/>
        </w:rPr>
        <w:t>a "Change in Control"</w:t>
      </w:r>
      <w:r>
        <w:rPr>
          <w:rFonts w:ascii="Arial" w:cs="Arial" w:eastAsia="Arial" w:hAnsi="Arial"/>
          <w:sz w:val="16"/>
          <w:szCs w:val="16"/>
          <w:color w:val="auto"/>
        </w:rPr>
        <w:t xml:space="preserve"> means a change in ownership or control of the Company effected through either of the following transactions:</w:t>
      </w:r>
    </w:p>
    <w:p>
      <w:pPr>
        <w:spacing w:after="0" w:line="35" w:lineRule="exact"/>
        <w:rPr>
          <w:sz w:val="20"/>
          <w:szCs w:val="20"/>
          <w:color w:val="auto"/>
        </w:rPr>
      </w:pPr>
    </w:p>
    <w:p>
      <w:pPr>
        <w:jc w:val="both"/>
        <w:ind w:firstLine="8"/>
        <w:spacing w:after="0" w:line="264"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1934 Act) of securities possessing more than fifty percent (50%) of the total combined voting power of the Company's outstanding securities pursuant to a tender or exchange offer made directly to the Company's stockholders, which the Board does not r ecommend such stockholders to accept, or ( ii ) 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w:t>
      </w:r>
    </w:p>
    <w:p>
      <w:pPr>
        <w:spacing w:after="0" w:line="1" w:lineRule="exact"/>
        <w:rPr>
          <w:rFonts w:ascii="Arial" w:cs="Arial" w:eastAsia="Arial" w:hAnsi="Arial"/>
          <w:sz w:val="16"/>
          <w:szCs w:val="16"/>
          <w:color w:val="auto"/>
        </w:rPr>
      </w:pPr>
    </w:p>
    <w:p>
      <w:pPr>
        <w:spacing w:after="0" w:line="243" w:lineRule="auto"/>
        <w:rPr>
          <w:rFonts w:ascii="Arial" w:cs="Arial" w:eastAsia="Arial" w:hAnsi="Arial"/>
          <w:sz w:val="16"/>
          <w:szCs w:val="16"/>
          <w:color w:val="auto"/>
        </w:rPr>
      </w:pPr>
      <w:r>
        <w:rPr>
          <w:rFonts w:ascii="Arial" w:cs="Arial" w:eastAsia="Arial" w:hAnsi="Arial"/>
          <w:sz w:val="18"/>
          <w:szCs w:val="18"/>
          <w:color w:val="auto"/>
        </w:rPr>
        <w:t>(B) have been elected or nominated for election as Board members during such period by at least a majority of the Board members described in clause (A) who were still in office at the time the Board approved such election or nomination.</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June 30, 2009. Ms. Hakimoglu did not receive additional compensation for her service as a director.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Fees Earned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or Paid in</w:t>
            </w:r>
          </w:p>
        </w:tc>
        <w:tc>
          <w:tcPr>
            <w:tcW w:w="18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25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21"/>
                <w:szCs w:val="21"/>
                <w:color w:val="auto"/>
              </w:rPr>
            </w:pPr>
          </w:p>
        </w:tc>
        <w:tc>
          <w:tcPr>
            <w:tcW w:w="27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 xml:space="preserve">Cash </w:t>
            </w:r>
            <w:r>
              <w:rPr>
                <w:rFonts w:ascii="Arial" w:cs="Arial" w:eastAsia="Arial" w:hAnsi="Arial"/>
                <w:sz w:val="10"/>
                <w:szCs w:val="10"/>
                <w:b w:val="1"/>
                <w:bCs w:val="1"/>
                <w:color w:val="auto"/>
                <w:w w:val="91"/>
              </w:rPr>
              <w:t>(1)</w:t>
            </w:r>
          </w:p>
        </w:tc>
        <w:tc>
          <w:tcPr>
            <w:tcW w:w="18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 xml:space="preserve">Awards </w:t>
            </w:r>
            <w:r>
              <w:rPr>
                <w:rFonts w:ascii="Arial" w:cs="Arial" w:eastAsia="Arial" w:hAnsi="Arial"/>
                <w:sz w:val="10"/>
                <w:szCs w:val="10"/>
                <w:b w:val="1"/>
                <w:bCs w:val="1"/>
                <w:color w:val="auto"/>
                <w:w w:val="98"/>
              </w:rPr>
              <w:t>(2)(4)</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Brad R. Baldwin</w:t>
            </w: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Period ended 12/31/09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50,100</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Year ended 06/30/09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Larry R. Hendricks</w:t>
            </w: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Period ended 12/31/09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50,100</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Year ended 06/30/09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Scott M. Huntsman</w:t>
            </w: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Period ended 12/31/09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50,100</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Year ended 06/30/09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 Bryan Bagley</w:t>
            </w:r>
            <w:r>
              <w:rPr>
                <w:rFonts w:ascii="Arial" w:cs="Arial" w:eastAsia="Arial" w:hAnsi="Arial"/>
                <w:sz w:val="12"/>
                <w:szCs w:val="12"/>
                <w:color w:val="auto"/>
              </w:rPr>
              <w:t>(3)(4)</w:t>
            </w:r>
          </w:p>
        </w:tc>
        <w:tc>
          <w:tcPr>
            <w:tcW w:w="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Period ended 12/31/09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6" w:lineRule="exact"/>
        <w:rPr>
          <w:sz w:val="20"/>
          <w:szCs w:val="20"/>
          <w:color w:val="auto"/>
        </w:rPr>
      </w:pPr>
    </w:p>
    <w:p>
      <w:pPr>
        <w:ind w:left="380" w:hanging="286"/>
        <w:spacing w:after="0"/>
        <w:tabs>
          <w:tab w:leader="none" w:pos="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base annual director’s fee for the period ended December 31, 2009 and year ended June 30, 2009 was $24,000.</w:t>
      </w:r>
    </w:p>
    <w:p>
      <w:pPr>
        <w:spacing w:after="0" w:line="90" w:lineRule="exact"/>
        <w:rPr>
          <w:rFonts w:ascii="Arial" w:cs="Arial" w:eastAsia="Arial" w:hAnsi="Arial"/>
          <w:sz w:val="18"/>
          <w:szCs w:val="18"/>
          <w:color w:val="auto"/>
        </w:rPr>
      </w:pPr>
    </w:p>
    <w:p>
      <w:pPr>
        <w:ind w:left="380" w:right="340" w:hanging="308"/>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assumptions made in the valuation of our option awards is disclosed in </w:t>
      </w:r>
      <w:hyperlink w:anchor="page75">
        <w:r>
          <w:rPr>
            <w:rFonts w:ascii="Arial" w:cs="Arial" w:eastAsia="Arial" w:hAnsi="Arial"/>
            <w:sz w:val="18"/>
            <w:szCs w:val="18"/>
            <w:u w:val="single" w:color="auto"/>
            <w:color w:val="0000EE"/>
          </w:rPr>
          <w:t>Note 11 - Share Based Payments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Notes to Consolidated Financial Statements contained in this transition annual report on Form 10-KT.</w:t>
      </w:r>
    </w:p>
    <w:p>
      <w:pPr>
        <w:spacing w:after="0" w:line="51" w:lineRule="exact"/>
        <w:rPr>
          <w:rFonts w:ascii="Arial" w:cs="Arial" w:eastAsia="Arial" w:hAnsi="Arial"/>
          <w:sz w:val="18"/>
          <w:szCs w:val="18"/>
          <w:color w:val="auto"/>
        </w:rPr>
      </w:pPr>
    </w:p>
    <w:p>
      <w:pPr>
        <w:ind w:left="380" w:hanging="308"/>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 Bryan Bagley became a director in November 2009.</w:t>
      </w:r>
    </w:p>
    <w:p>
      <w:pPr>
        <w:spacing w:after="0" w:line="90" w:lineRule="exact"/>
        <w:rPr>
          <w:rFonts w:ascii="Arial" w:cs="Arial" w:eastAsia="Arial" w:hAnsi="Arial"/>
          <w:sz w:val="18"/>
          <w:szCs w:val="18"/>
          <w:color w:val="auto"/>
        </w:rPr>
      </w:pPr>
    </w:p>
    <w:p>
      <w:pPr>
        <w:ind w:left="380" w:right="480" w:hanging="308"/>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end of December 31, 2009, each non-employee director had outstanding options to purchase the following number of company shares of common stock: Mr. Baldwin, 150,000; Mr. Hendricks, 75,000: Mr. Huntsman, 75,000 and Mr. Bagley, 15,000.</w:t>
      </w: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640" w:hanging="82"/>
        <w:spacing w:after="0"/>
        <w:tabs>
          <w:tab w:leader="none" w:pos="5640" w:val="left"/>
        </w:tabs>
        <w:numPr>
          <w:ilvl w:val="2"/>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All non-employee directors are paid a fixed fee at the rate of $2,000 per month and receive the same option grants.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MATTERS(Item 403 and 201(d))</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information as of December 31, 2009 with respect to compensation plans under with equity securities of ClearOne are authorized for issuance.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Equity compensation plans approved by shareholders Equity compensation plans not approved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shareholders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Weighted-average</w:t>
            </w:r>
          </w:p>
        </w:tc>
        <w:tc>
          <w:tcPr>
            <w:tcW w:w="1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Number of securities</w:t>
            </w:r>
          </w:p>
        </w:tc>
      </w:tr>
      <w:tr>
        <w:trPr>
          <w:trHeight w:val="162"/>
        </w:trPr>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exercise price of</w:t>
            </w:r>
          </w:p>
        </w:tc>
        <w:tc>
          <w:tcPr>
            <w:tcW w:w="1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remaining</w:t>
            </w:r>
          </w:p>
        </w:tc>
      </w:tr>
      <w:tr>
        <w:trPr>
          <w:trHeight w:val="162"/>
        </w:trPr>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available for future issuance</w:t>
            </w:r>
          </w:p>
        </w:tc>
      </w:tr>
      <w:tr>
        <w:trPr>
          <w:trHeight w:val="162"/>
        </w:trPr>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w:t>
            </w:r>
          </w:p>
        </w:tc>
        <w:tc>
          <w:tcPr>
            <w:tcW w:w="1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under equity compensation</w:t>
            </w:r>
          </w:p>
        </w:tc>
      </w:tr>
      <w:tr>
        <w:trPr>
          <w:trHeight w:val="162"/>
        </w:trPr>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outstanding options,</w:t>
            </w: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warrants and</w:t>
            </w:r>
          </w:p>
        </w:tc>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plans (excluding securities</w:t>
            </w:r>
          </w:p>
        </w:tc>
      </w:tr>
      <w:tr>
        <w:trPr>
          <w:trHeight w:val="162"/>
        </w:trPr>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rights</w:t>
            </w:r>
          </w:p>
        </w:tc>
        <w:tc>
          <w:tcPr>
            <w:tcW w:w="1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reflected in column (a))</w:t>
            </w:r>
          </w:p>
        </w:tc>
      </w:tr>
      <w:tr>
        <w:trPr>
          <w:trHeight w:val="192"/>
        </w:trPr>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w:t>
            </w:r>
          </w:p>
        </w:tc>
      </w:tr>
      <w:tr>
        <w:trPr>
          <w:trHeight w:val="230"/>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1,226,117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753,344</w:t>
            </w:r>
          </w:p>
        </w:tc>
        <w:tc>
          <w:tcPr>
            <w:tcW w:w="20" w:type="dxa"/>
            <w:vAlign w:val="bottom"/>
          </w:tcPr>
          <w:p>
            <w:pPr>
              <w:spacing w:after="0"/>
              <w:rPr>
                <w:sz w:val="20"/>
                <w:szCs w:val="20"/>
                <w:color w:val="auto"/>
              </w:rPr>
            </w:pPr>
          </w:p>
        </w:tc>
      </w:tr>
      <w:tr>
        <w:trPr>
          <w:trHeight w:val="398"/>
        </w:trPr>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1,226,117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753,344</w:t>
            </w:r>
          </w:p>
        </w:tc>
        <w:tc>
          <w:tcPr>
            <w:tcW w:w="20" w:type="dxa"/>
            <w:vAlign w:val="bottom"/>
          </w:tcPr>
          <w:p>
            <w:pPr>
              <w:spacing w:after="0"/>
              <w:rPr>
                <w:sz w:val="18"/>
                <w:szCs w:val="18"/>
                <w:color w:val="auto"/>
              </w:rPr>
            </w:pPr>
          </w:p>
        </w:tc>
      </w:tr>
      <w:tr>
        <w:trPr>
          <w:trHeight w:val="21"/>
        </w:trPr>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-582295</wp:posOffset>
            </wp:positionV>
            <wp:extent cx="57975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-170815</wp:posOffset>
            </wp:positionV>
            <wp:extent cx="57975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460"/>
            <w:col w:w="7100"/>
          </w:cols>
          <w:pgMar w:left="240" w:top="118" w:right="239" w:bottom="1440" w:gutter="0" w:footer="0" w:header="0"/>
          <w:type w:val="continuous"/>
        </w:sectPr>
      </w:pP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sets forth certain information regarding ownership of our common stock as of April 30, 2009 by (i) each director (ii) the named executive officers, (iii) all of our named executive officers and directors as a group, and (iv) each person known to us to be the beneficial owner of more than 5% of our outstanding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4900" w:type="dxa"/>
            <w:vAlign w:val="bottom"/>
            <w:gridSpan w:val="3"/>
          </w:tcPr>
          <w:p>
            <w:pPr>
              <w:ind w:left="20"/>
              <w:spacing w:after="0"/>
              <w:rPr>
                <w:sz w:val="20"/>
                <w:szCs w:val="20"/>
                <w:color w:val="auto"/>
              </w:rPr>
            </w:pPr>
            <w:r>
              <w:rPr>
                <w:rFonts w:ascii="Arial" w:cs="Arial" w:eastAsia="Arial" w:hAnsi="Arial"/>
                <w:sz w:val="16"/>
                <w:szCs w:val="16"/>
                <w:b w:val="1"/>
                <w:bCs w:val="1"/>
                <w:color w:val="auto"/>
              </w:rPr>
              <w:t xml:space="preserve">Name of Beneficial Owner </w:t>
            </w:r>
            <w:r>
              <w:rPr>
                <w:rFonts w:ascii="Arial" w:cs="Arial" w:eastAsia="Arial" w:hAnsi="Arial"/>
                <w:sz w:val="22"/>
                <w:szCs w:val="22"/>
                <w:b w:val="1"/>
                <w:bCs w:val="1"/>
                <w:color w:val="auto"/>
                <w:vertAlign w:val="superscript"/>
              </w:rPr>
              <w:t>(1)</w:t>
            </w:r>
          </w:p>
        </w:tc>
        <w:tc>
          <w:tcPr>
            <w:tcW w:w="250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Shares Beneficially 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20"/>
              <w:spacing w:after="0" w:line="203" w:lineRule="exact"/>
              <w:rPr>
                <w:sz w:val="20"/>
                <w:szCs w:val="20"/>
                <w:color w:val="auto"/>
              </w:rPr>
            </w:pPr>
            <w:r>
              <w:rPr>
                <w:rFonts w:ascii="Arial" w:cs="Arial" w:eastAsia="Arial" w:hAnsi="Arial"/>
                <w:sz w:val="16"/>
                <w:szCs w:val="16"/>
                <w:b w:val="1"/>
                <w:bCs w:val="1"/>
                <w:color w:val="auto"/>
              </w:rPr>
              <w:t xml:space="preserve">Number </w:t>
            </w:r>
            <w:r>
              <w:rPr>
                <w:rFonts w:ascii="Arial" w:cs="Arial" w:eastAsia="Arial" w:hAnsi="Arial"/>
                <w:sz w:val="22"/>
                <w:szCs w:val="22"/>
                <w:b w:val="1"/>
                <w:bCs w:val="1"/>
                <w:color w:val="auto"/>
                <w:vertAlign w:val="superscript"/>
              </w:rPr>
              <w:t>(2)</w:t>
            </w:r>
          </w:p>
        </w:tc>
        <w:tc>
          <w:tcPr>
            <w:tcW w:w="1220" w:type="dxa"/>
            <w:vAlign w:val="bottom"/>
          </w:tcPr>
          <w:p>
            <w:pPr>
              <w:ind w:left="260"/>
              <w:spacing w:after="0" w:line="203" w:lineRule="exact"/>
              <w:rPr>
                <w:sz w:val="20"/>
                <w:szCs w:val="20"/>
                <w:color w:val="auto"/>
              </w:rPr>
            </w:pPr>
            <w:r>
              <w:rPr>
                <w:rFonts w:ascii="Arial" w:cs="Arial" w:eastAsia="Arial" w:hAnsi="Arial"/>
                <w:sz w:val="16"/>
                <w:szCs w:val="16"/>
                <w:b w:val="1"/>
                <w:bCs w:val="1"/>
                <w:color w:val="auto"/>
              </w:rPr>
              <w:t xml:space="preserve">Percent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Directors and Executive Officers:</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Zeynep “Zee” Hakimoglu </w:t>
            </w:r>
            <w:r>
              <w:rPr>
                <w:rFonts w:ascii="Arial" w:cs="Arial" w:eastAsia="Arial" w:hAnsi="Arial"/>
                <w:sz w:val="12"/>
                <w:szCs w:val="12"/>
                <w:b w:val="1"/>
                <w:bCs w:val="1"/>
                <w:color w:val="auto"/>
              </w:rPr>
              <w:t>(3)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530,431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xml:space="preserve">Brad R. Baldwin </w:t>
            </w:r>
            <w:r>
              <w:rPr>
                <w:rFonts w:ascii="Arial" w:cs="Arial" w:eastAsia="Arial" w:hAnsi="Arial"/>
                <w:sz w:val="12"/>
                <w:szCs w:val="12"/>
                <w:b w:val="1"/>
                <w:bCs w:val="1"/>
                <w:color w:val="auto"/>
              </w:rPr>
              <w:t>(4)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240,582</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Tracy A. Bathurst </w:t>
            </w:r>
            <w:r>
              <w:rPr>
                <w:rFonts w:ascii="Arial" w:cs="Arial" w:eastAsia="Arial" w:hAnsi="Arial"/>
                <w:sz w:val="12"/>
                <w:szCs w:val="12"/>
                <w:b w:val="1"/>
                <w:bCs w:val="1"/>
                <w:color w:val="auto"/>
              </w:rPr>
              <w:t>(5)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137,303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xml:space="preserve">E. Bryan Bagley </w:t>
            </w:r>
            <w:r>
              <w:rPr>
                <w:rFonts w:ascii="Arial" w:cs="Arial" w:eastAsia="Arial" w:hAnsi="Arial"/>
                <w:sz w:val="12"/>
                <w:szCs w:val="12"/>
                <w:b w:val="1"/>
                <w:bCs w:val="1"/>
                <w:color w:val="auto"/>
              </w:rPr>
              <w:t>(6)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236,215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Larry R. Hendricks </w:t>
            </w:r>
            <w:r>
              <w:rPr>
                <w:rFonts w:ascii="Arial" w:cs="Arial" w:eastAsia="Arial" w:hAnsi="Arial"/>
                <w:sz w:val="12"/>
                <w:szCs w:val="12"/>
                <w:b w:val="1"/>
                <w:bCs w:val="1"/>
                <w:color w:val="auto"/>
              </w:rPr>
              <w:t>(7)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67,916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xml:space="preserve">Scott M. Huntsman </w:t>
            </w:r>
            <w:r>
              <w:rPr>
                <w:rFonts w:ascii="Arial" w:cs="Arial" w:eastAsia="Arial" w:hAnsi="Arial"/>
                <w:sz w:val="12"/>
                <w:szCs w:val="12"/>
                <w:b w:val="1"/>
                <w:bCs w:val="1"/>
                <w:color w:val="auto"/>
              </w:rPr>
              <w:t>(8)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67,916</w:t>
            </w: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Narsi Narayanan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1,280,363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Borders>
              <w:top w:val="single" w:sz="8" w:color="CCEEFF"/>
            </w:tcBorders>
            <w:gridSpan w:val="2"/>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xml:space="preserve">Edward Dallin Bagley </w:t>
            </w:r>
            <w:r>
              <w:rPr>
                <w:rFonts w:ascii="Arial" w:cs="Arial" w:eastAsia="Arial" w:hAnsi="Arial"/>
                <w:sz w:val="12"/>
                <w:szCs w:val="12"/>
                <w:color w:val="auto"/>
              </w:rPr>
              <w:t>(9)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2,204,402</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FMR Corp. </w:t>
            </w:r>
            <w:r>
              <w:rPr>
                <w:rFonts w:ascii="Arial" w:cs="Arial" w:eastAsia="Arial" w:hAnsi="Arial"/>
                <w:sz w:val="12"/>
                <w:szCs w:val="12"/>
                <w:color w:val="auto"/>
              </w:rPr>
              <w:t>(10)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1,000,503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 xml:space="preserve">Royce &amp; Associates Inc. </w:t>
            </w:r>
            <w:r>
              <w:rPr>
                <w:rFonts w:ascii="Arial" w:cs="Arial" w:eastAsia="Arial" w:hAnsi="Arial"/>
                <w:sz w:val="12"/>
                <w:szCs w:val="12"/>
                <w:color w:val="auto"/>
              </w:rPr>
              <w:t>(11)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909,126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9.3%</w:t>
            </w:r>
          </w:p>
        </w:tc>
        <w:tc>
          <w:tcPr>
            <w:tcW w:w="0" w:type="dxa"/>
            <w:vAlign w:val="bottom"/>
          </w:tcPr>
          <w:p>
            <w:pPr>
              <w:spacing w:after="0"/>
              <w:rPr>
                <w:sz w:val="1"/>
                <w:szCs w:val="1"/>
                <w:color w:val="auto"/>
              </w:rPr>
            </w:pPr>
          </w:p>
        </w:tc>
      </w:tr>
      <w:tr>
        <w:trPr>
          <w:trHeight w:val="406"/>
        </w:trPr>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4560" w:type="dxa"/>
            <w:vAlign w:val="bottom"/>
            <w:gridSpan w:val="2"/>
          </w:tcPr>
          <w:p>
            <w:pPr>
              <w:ind w:left="280"/>
              <w:spacing w:after="0"/>
              <w:rPr>
                <w:sz w:val="20"/>
                <w:szCs w:val="20"/>
                <w:color w:val="auto"/>
              </w:rPr>
            </w:pPr>
            <w:r>
              <w:rPr>
                <w:rFonts w:ascii="Arial" w:cs="Arial" w:eastAsia="Arial" w:hAnsi="Arial"/>
                <w:sz w:val="18"/>
                <w:szCs w:val="18"/>
                <w:color w:val="auto"/>
              </w:rPr>
              <w:t>Less than 1.0%.</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239" w:lineRule="exact"/>
        <w:rPr>
          <w:sz w:val="20"/>
          <w:szCs w:val="20"/>
          <w:color w:val="auto"/>
        </w:rPr>
      </w:pPr>
    </w:p>
    <w:p>
      <w:pPr>
        <w:ind w:left="480" w:right="340" w:hanging="361"/>
        <w:spacing w:after="0" w:line="264"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46" w:lineRule="exact"/>
        <w:rPr>
          <w:rFonts w:ascii="Arial" w:cs="Arial" w:eastAsia="Arial" w:hAnsi="Arial"/>
          <w:sz w:val="18"/>
          <w:szCs w:val="18"/>
          <w:color w:val="auto"/>
        </w:rPr>
      </w:pPr>
    </w:p>
    <w:p>
      <w:pPr>
        <w:ind w:left="480" w:hanging="361"/>
        <w:spacing w:after="0" w:line="273"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percentages shown are calculated based on 8,929,279 shares of common stock outstanding on May 4, 2010. The numbers and percentages shown include the shares of common stock actually owned as of May 4, 2010 and the shares of common stock that the identified person or group had the right to acquire within 60 days of such date. In calculating the percentage of ownership, all shares of common stock that the identified person or group had the right to acquire within 60 days of May 4, 2010 upon the exercise of options are deemed to be outstanding for the purpose of computing the percentage of the shares of common stock owned by that person or group, but are not deemed to be outstanding for the purpose of computing the percentage of the shares of common stock owned by any other person or group.</w:t>
      </w:r>
    </w:p>
    <w:p>
      <w:pPr>
        <w:spacing w:after="0" w:line="43" w:lineRule="exact"/>
        <w:rPr>
          <w:rFonts w:ascii="Arial" w:cs="Arial" w:eastAsia="Arial" w:hAnsi="Arial"/>
          <w:sz w:val="17"/>
          <w:szCs w:val="17"/>
          <w:color w:val="auto"/>
        </w:rPr>
      </w:pPr>
    </w:p>
    <w:p>
      <w:pPr>
        <w:ind w:left="480" w:hanging="361"/>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468,055 shares of common stock issuable upon exercise of stock options.</w:t>
      </w:r>
    </w:p>
    <w:p>
      <w:pPr>
        <w:spacing w:after="0" w:line="90" w:lineRule="exact"/>
        <w:rPr>
          <w:rFonts w:ascii="Arial" w:cs="Arial" w:eastAsia="Arial" w:hAnsi="Arial"/>
          <w:sz w:val="18"/>
          <w:szCs w:val="18"/>
          <w:color w:val="auto"/>
        </w:rPr>
      </w:pPr>
    </w:p>
    <w:p>
      <w:pPr>
        <w:ind w:left="480" w:right="140" w:hanging="361"/>
        <w:spacing w:after="0" w:line="277"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88,666 shares held in the Baldwin Family Trust; 9,000 shares owned directly, which are held in an IRA under the name of Mr. Baldwin; and 142,916 shares of common stock issuable upon exercise of stock options.</w:t>
      </w:r>
    </w:p>
    <w:p>
      <w:pPr>
        <w:spacing w:after="0" w:line="35" w:lineRule="exact"/>
        <w:rPr>
          <w:rFonts w:ascii="Arial" w:cs="Arial" w:eastAsia="Arial" w:hAnsi="Arial"/>
          <w:sz w:val="18"/>
          <w:szCs w:val="18"/>
          <w:color w:val="auto"/>
        </w:rPr>
      </w:pPr>
    </w:p>
    <w:p>
      <w:pPr>
        <w:ind w:left="480" w:hanging="361"/>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136,085 shares of common stock issuable upon exercise of stock options.</w:t>
      </w:r>
    </w:p>
    <w:p>
      <w:pPr>
        <w:spacing w:after="0" w:line="90" w:lineRule="exact"/>
        <w:rPr>
          <w:rFonts w:ascii="Arial" w:cs="Arial" w:eastAsia="Arial" w:hAnsi="Arial"/>
          <w:sz w:val="18"/>
          <w:szCs w:val="18"/>
          <w:color w:val="auto"/>
        </w:rPr>
      </w:pPr>
    </w:p>
    <w:p>
      <w:pPr>
        <w:ind w:left="480" w:hanging="361"/>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1,000 shares held by E. Bryan Bagley’s spouse with respect to which he disclaims beneficial ownership.</w:t>
      </w:r>
    </w:p>
    <w:p>
      <w:pPr>
        <w:spacing w:after="0" w:line="90" w:lineRule="exact"/>
        <w:rPr>
          <w:rFonts w:ascii="Arial" w:cs="Arial" w:eastAsia="Arial" w:hAnsi="Arial"/>
          <w:sz w:val="18"/>
          <w:szCs w:val="18"/>
          <w:color w:val="auto"/>
        </w:rPr>
      </w:pPr>
    </w:p>
    <w:p>
      <w:pPr>
        <w:ind w:left="480" w:hanging="361"/>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67,916 of common stock issuable upon exercise of stock options.</w:t>
      </w:r>
    </w:p>
    <w:p>
      <w:pPr>
        <w:spacing w:after="0" w:line="90" w:lineRule="exact"/>
        <w:rPr>
          <w:rFonts w:ascii="Arial" w:cs="Arial" w:eastAsia="Arial" w:hAnsi="Arial"/>
          <w:sz w:val="18"/>
          <w:szCs w:val="18"/>
          <w:color w:val="auto"/>
        </w:rPr>
      </w:pPr>
    </w:p>
    <w:p>
      <w:pPr>
        <w:ind w:left="480" w:hanging="361"/>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67,916 shares of common stock issuable upon exercise of stock options.</w:t>
      </w:r>
    </w:p>
    <w:p>
      <w:pPr>
        <w:spacing w:after="0" w:line="90" w:lineRule="exact"/>
        <w:rPr>
          <w:rFonts w:ascii="Arial" w:cs="Arial" w:eastAsia="Arial" w:hAnsi="Arial"/>
          <w:sz w:val="18"/>
          <w:szCs w:val="18"/>
          <w:color w:val="auto"/>
        </w:rPr>
      </w:pPr>
    </w:p>
    <w:p>
      <w:pPr>
        <w:ind w:left="480" w:right="160" w:hanging="361"/>
        <w:spacing w:after="0" w:line="257"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 Bryan Bagley is the son of Edward D. Bagley, and each of them disclaims beneficial ownership of common stock beneficially owned by the other. Amounts for Mr. Edward D. Bagley, include 126,166 shares held by Edward D. Bagley’s spouse with respect to which he disclaims beneficial ownership and 55,083 shares of common stock issuable upon exercise of stock options. Mr. Edward D. Bagley has sole voting and dispositive power over 2,078,236 shares (including the shares that may be acquired pursuant to the exercise of stock options) and shared voting and dispositive power over the 126,166 shares held by Mr. Edward D. Bagley’s spouse.</w:t>
      </w:r>
    </w:p>
    <w:p>
      <w:pPr>
        <w:spacing w:after="0" w:line="53" w:lineRule="exact"/>
        <w:rPr>
          <w:sz w:val="20"/>
          <w:szCs w:val="20"/>
          <w:color w:val="auto"/>
        </w:rPr>
      </w:pPr>
    </w:p>
    <w:p>
      <w:pPr>
        <w:ind w:left="480" w:right="60" w:hanging="383"/>
        <w:spacing w:after="0" w:line="293"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1,000,503 shares of common stock beneficially owned by FMR Corp. Fidelity Management &amp; Research Company, a wholly owned subsidiary of FMR Corp. and a registered investment advisor beneficially owns 1,000,503 of such shares as a result of acting as investment advisor to various investment companies. Edward C. Johnson III and FMR Corp. each have sole power to dispose of the 1,000,503 shares owned by the Fidelity Funds. Neither FMR Corp., nor Edward C. Johnson III as Chairman of FMR Corp. has sole power to vote or direct the voting of the shares owned directly by the Fidelity Funds, which power resides with the funds’ board of trustees. The address of FMR Corp. is 82 Devonshire Street, Boston, Massachusetts 02109. This information is based upon a Schedule 13 G, as filed and amended with the SEC as of February 17, 2009.</w:t>
      </w:r>
    </w:p>
    <w:p>
      <w:pPr>
        <w:spacing w:after="0" w:line="29" w:lineRule="exact"/>
        <w:rPr>
          <w:rFonts w:ascii="Arial" w:cs="Arial" w:eastAsia="Arial" w:hAnsi="Arial"/>
          <w:sz w:val="16"/>
          <w:szCs w:val="16"/>
          <w:color w:val="auto"/>
        </w:rPr>
      </w:pPr>
    </w:p>
    <w:p>
      <w:pPr>
        <w:ind w:left="480" w:right="20" w:hanging="380"/>
        <w:spacing w:after="0" w:line="28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909,126 shares of our common stock beneficially owned by Royce &amp; Associates, LLC in its capacity as investment advisor on behalf of its clients. Royce &amp; Associates has sole voting and dispositive power over all of such shares. The address of Royce &amp; Associates is 745 Fifth Avenue, New York, NY 10151. This information is based upon a Schedule 13G, as filed and amended with the SEC as of January 22, 2010.</w:t>
      </w:r>
    </w:p>
    <w:p>
      <w:pPr>
        <w:spacing w:after="0" w:line="332" w:lineRule="exact"/>
        <w:rPr>
          <w:rFonts w:ascii="Arial" w:cs="Arial" w:eastAsia="Arial" w:hAnsi="Arial"/>
          <w:sz w:val="17"/>
          <w:szCs w:val="17"/>
          <w:color w:val="auto"/>
        </w:rPr>
      </w:pPr>
    </w:p>
    <w:p>
      <w:pPr>
        <w:ind w:left="5640" w:hanging="82"/>
        <w:spacing w:after="0"/>
        <w:tabs>
          <w:tab w:leader="none" w:pos="5640" w:val="left"/>
        </w:tabs>
        <w:numPr>
          <w:ilvl w:val="1"/>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Edward D. Bagley, former Chairman of the Board and shareholder with greater than 20% benefical ownership in the Company serves as a consultant to our company. During the six months ended December 31, 2009 and fiscal years ended June 30, 2009 and June 30, 2008, Mr. Bagley received consulting fees of $24,000, $48,000 and $48,000 respectively. Mr. Bagley is eligible to participate in our equity incentive programs and pursuant to his consulting agreement with us will be granted stock options commensurate with grants of stock options made to our directors. Additionally, in connection with the insurance coverage action described under the caption “Item 3, Legal Proceedings” of our Form 10-K for the year ended June 30, 2009, we and our counsel entered into a Joint Prosecution and Defense Agreement dated as of April 1, 2004 with Edward D. Bagley, former Chairman of the Board of Directors, and his counsel, which generally provides that we and Mr. Bagley will jointly prosecute their claims against the carriers of certain prior period directors’ and officers’ liability insurance policies and jointly defend the claims made by the insurance carriers in order to reduce litigation expenses.</w:t>
      </w:r>
    </w:p>
    <w:p>
      <w:pPr>
        <w:spacing w:after="0" w:line="15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On October 7, 2009, we entered into an agreement with Bagley, wherein the Joint Prosecution and Defense Agreement was terminated and Bagley waived all his claims to settlement proceeds received from Lumbermens Mutual and National Union. We also released Bagley of any obligations for attorneys’ fees or other expenses that might have been incurred in the litigation against Lumbermens Mutual or National Union.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Mr. Bryan E. Bagley, a director of the Company is Edward D. Bagley’s son.</w:t>
      </w:r>
    </w:p>
    <w:p>
      <w:pPr>
        <w:spacing w:after="0" w:line="198" w:lineRule="exact"/>
        <w:rPr>
          <w:sz w:val="20"/>
          <w:szCs w:val="20"/>
          <w:color w:val="auto"/>
        </w:rPr>
      </w:pPr>
    </w:p>
    <w:p>
      <w:pPr>
        <w:ind w:right="940"/>
        <w:spacing w:after="0" w:line="324"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Indemnification of Officers and Directors. </w:t>
      </w:r>
      <w:r>
        <w:rPr>
          <w:rFonts w:ascii="Arial" w:cs="Arial" w:eastAsia="Arial" w:hAnsi="Arial"/>
          <w:sz w:val="16"/>
          <w:szCs w:val="16"/>
          <w:color w:val="auto"/>
        </w:rPr>
        <w:t>Please refer to the section titled “</w:t>
      </w:r>
      <w:hyperlink w:anchor="page70">
        <w:r>
          <w:rPr>
            <w:rFonts w:ascii="Arial" w:cs="Arial" w:eastAsia="Arial" w:hAnsi="Arial"/>
            <w:sz w:val="16"/>
            <w:szCs w:val="16"/>
            <w:u w:val="single" w:color="auto"/>
            <w:color w:val="0000EE"/>
          </w:rPr>
          <w:t>Former Officers Indemnification</w:t>
        </w:r>
      </w:hyperlink>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Note 9 - Contingencies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Commitments in our Notes to Consolidated Financial Statements forming part of this transition annual report on Form 10-KT for full details.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has an Audit Committee, a Compensation Committee, and a Nominating Committee, each consisting entirely of independent directors.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Jones Simkins, P.C. served as our principal accountants, auditors and independent certified public accountants for the six months ended December 31, 2009 and during the fiscal years ended June 30, 2009 and June 30, 2008.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Six months ended</w:t>
            </w:r>
          </w:p>
        </w:tc>
        <w:tc>
          <w:tcPr>
            <w:tcW w:w="1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9"/>
              </w:rPr>
              <w:t>December 31, 2009</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June 30, 2009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June 30, 2008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2"/>
                <w:szCs w:val="12"/>
                <w:color w:val="auto"/>
              </w:rPr>
              <w:t>(1)</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158,192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83,579</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2"/>
                <w:szCs w:val="12"/>
                <w:color w:val="auto"/>
              </w:rPr>
              <w:t>(2)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42,854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58,582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66,823</w:t>
            </w: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2"/>
                <w:szCs w:val="12"/>
                <w:color w:val="auto"/>
              </w:rPr>
              <w:t>(3)</w:t>
            </w:r>
          </w:p>
        </w:tc>
        <w:tc>
          <w:tcPr>
            <w:tcW w:w="1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24,249</w:t>
            </w: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5,529</w:t>
            </w: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54,058</w:t>
            </w: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225,295</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204,460</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right="100" w:hanging="288"/>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35" w:lineRule="exact"/>
        <w:rPr>
          <w:rFonts w:ascii="Arial" w:cs="Arial" w:eastAsia="Arial" w:hAnsi="Arial"/>
          <w:sz w:val="18"/>
          <w:szCs w:val="18"/>
          <w:color w:val="auto"/>
        </w:rPr>
      </w:pPr>
    </w:p>
    <w:p>
      <w:pPr>
        <w:ind w:left="340" w:hanging="2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90" w:lineRule="exact"/>
        <w:rPr>
          <w:rFonts w:ascii="Arial" w:cs="Arial" w:eastAsia="Arial" w:hAnsi="Arial"/>
          <w:sz w:val="18"/>
          <w:szCs w:val="18"/>
          <w:color w:val="auto"/>
        </w:rPr>
      </w:pPr>
    </w:p>
    <w:p>
      <w:pPr>
        <w:ind w:left="340" w:hanging="288"/>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Audit Committee ensures that we engage our independent registered public accounting firm to provide only audit and non-audit services that are compatible with maintaining the independence of our public accountants. The Audit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Committee. ;During 2009, the Audit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27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98"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financial statements set forth under Item 8 of this Transition Annual Report on Form 10-KT are filed in a separate section of this Form 10-K/A beginning on page F-1.</w:t>
      </w:r>
    </w:p>
    <w:p>
      <w:pPr>
        <w:spacing w:after="0" w:line="196" w:lineRule="exact"/>
        <w:rPr>
          <w:sz w:val="20"/>
          <w:szCs w:val="20"/>
          <w:color w:val="auto"/>
        </w:rPr>
      </w:pPr>
    </w:p>
    <w:p>
      <w:pPr>
        <w:ind w:left="440" w:right="4580"/>
        <w:spacing w:after="0" w:line="413" w:lineRule="auto"/>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Report of Independent Registered Public Accounting Firm – Jones Simkins, P.C.</w:t>
        </w:r>
      </w:hyperlink>
      <w:r>
        <w:rPr>
          <w:rFonts w:ascii="Arial" w:cs="Arial" w:eastAsia="Arial" w:hAnsi="Arial"/>
          <w:sz w:val="15"/>
          <w:szCs w:val="15"/>
          <w:u w:val="single" w:color="auto"/>
          <w:color w:val="0000EE"/>
        </w:rPr>
        <w:t xml:space="preserve"> </w:t>
      </w:r>
      <w:hyperlink w:anchor="page53">
        <w:r>
          <w:rPr>
            <w:rFonts w:ascii="Arial" w:cs="Arial" w:eastAsia="Arial" w:hAnsi="Arial"/>
            <w:sz w:val="15"/>
            <w:szCs w:val="15"/>
            <w:u w:val="single" w:color="auto"/>
            <w:color w:val="0000EE"/>
          </w:rPr>
          <w:t>Consolidated Balance Sheets as of December 31, 2009, June 30, 2009 and June 20, 2008</w:t>
        </w:r>
      </w:hyperlink>
    </w:p>
    <w:p>
      <w:pPr>
        <w:spacing w:after="0" w:line="1" w:lineRule="exact"/>
        <w:rPr>
          <w:sz w:val="20"/>
          <w:szCs w:val="20"/>
          <w:color w:val="auto"/>
        </w:rPr>
      </w:pPr>
    </w:p>
    <w:p>
      <w:pPr>
        <w:ind w:left="600" w:right="140" w:hanging="161"/>
        <w:spacing w:after="0" w:line="277"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Consolidated Statements of Operations and Comprehensive Income (Loss) for period ended December 31, 2009, fiscal years ended June 30, 2009 and</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2008.</w:t>
        </w:r>
      </w:hyperlink>
    </w:p>
    <w:p>
      <w:pPr>
        <w:spacing w:after="0" w:line="35" w:lineRule="exact"/>
        <w:rPr>
          <w:sz w:val="20"/>
          <w:szCs w:val="20"/>
          <w:color w:val="auto"/>
        </w:rPr>
      </w:pPr>
    </w:p>
    <w:p>
      <w:pPr>
        <w:ind w:left="280" w:right="1740"/>
        <w:spacing w:after="0" w:line="358" w:lineRule="auto"/>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Statements of Shareholders’ Equity for period ended December 31, 2009, fiscal years ended June 30, 2009 and 2008</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Consolidated Statements of Cash Flows for period ended December 31, 2009, fiscal years ended June 30, 2009 and 2008</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Notes to Consolidated Financial Statements</w:t>
        </w:r>
      </w:hyperlink>
    </w:p>
    <w:p>
      <w:pPr>
        <w:spacing w:after="0" w:line="123" w:lineRule="exact"/>
        <w:rPr>
          <w:rFonts w:ascii="Arial" w:cs="Arial" w:eastAsia="Arial" w:hAnsi="Arial"/>
          <w:sz w:val="18"/>
          <w:szCs w:val="18"/>
          <w:u w:val="single" w:color="auto"/>
          <w:color w:val="0000EE"/>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Financial Statement Schedules</w:t>
      </w:r>
    </w:p>
    <w:p>
      <w:pPr>
        <w:spacing w:after="0" w:line="182" w:lineRule="exact"/>
        <w:rPr>
          <w:rFonts w:ascii="Arial" w:cs="Arial" w:eastAsia="Arial" w:hAnsi="Arial"/>
          <w:sz w:val="18"/>
          <w:szCs w:val="18"/>
          <w:u w:val="single" w:color="auto"/>
          <w:color w:val="0000EE"/>
        </w:rPr>
      </w:pPr>
    </w:p>
    <w:p>
      <w:pPr>
        <w:spacing w:after="0" w:line="226" w:lineRule="auto"/>
        <w:rPr>
          <w:sz w:val="20"/>
          <w:szCs w:val="20"/>
          <w:color w:val="auto"/>
        </w:rPr>
      </w:pPr>
      <w:r>
        <w:rPr>
          <w:rFonts w:ascii="Arial" w:cs="Arial" w:eastAsia="Arial" w:hAnsi="Arial"/>
          <w:sz w:val="22"/>
          <w:szCs w:val="22"/>
          <w:color w:val="auto"/>
        </w:rPr>
        <w:t>All schedules are omitted since they either are not required, not applicable or the information is presented in the accompanying consolidated financial statements and notes thereto.</w:t>
      </w:r>
    </w:p>
    <w:p>
      <w:pPr>
        <w:spacing w:after="0" w:line="161" w:lineRule="exact"/>
        <w:rPr>
          <w:rFonts w:ascii="Arial" w:cs="Arial" w:eastAsia="Arial" w:hAnsi="Arial"/>
          <w:sz w:val="18"/>
          <w:szCs w:val="18"/>
          <w:u w:val="single" w:color="auto"/>
          <w:color w:val="0000EE"/>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35" w:lineRule="exact"/>
        <w:rPr>
          <w:rFonts w:ascii="Arial" w:cs="Arial" w:eastAsia="Arial" w:hAnsi="Arial"/>
          <w:sz w:val="18"/>
          <w:szCs w:val="18"/>
          <w:u w:val="single" w:color="auto"/>
          <w:color w:val="0000EE"/>
        </w:rPr>
      </w:pPr>
    </w:p>
    <w:p>
      <w:pPr>
        <w:ind w:left="20"/>
        <w:spacing w:after="0"/>
        <w:tabs>
          <w:tab w:leader="none" w:pos="53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Title of Document</w:t>
      </w:r>
    </w:p>
    <w:p>
      <w:pPr>
        <w:spacing w:after="0" w:line="77" w:lineRule="exact"/>
        <w:rPr>
          <w:rFonts w:ascii="Arial" w:cs="Arial" w:eastAsia="Arial" w:hAnsi="Arial"/>
          <w:sz w:val="18"/>
          <w:szCs w:val="18"/>
          <w:u w:val="single" w:color="auto"/>
          <w:color w:val="0000EE"/>
        </w:rPr>
      </w:pPr>
    </w:p>
    <w:p>
      <w:pPr>
        <w:ind w:left="160"/>
        <w:spacing w:after="0"/>
        <w:rPr>
          <w:sz w:val="20"/>
          <w:szCs w:val="20"/>
          <w:color w:val="auto"/>
        </w:rPr>
      </w:pPr>
      <w:r>
        <w:rPr>
          <w:rFonts w:ascii="Arial" w:cs="Arial" w:eastAsia="Arial" w:hAnsi="Arial"/>
          <w:sz w:val="18"/>
          <w:szCs w:val="18"/>
          <w:b w:val="1"/>
          <w:bCs w:val="1"/>
          <w:color w:val="auto"/>
        </w:rPr>
        <w:t>No.</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EE"/>
        </w:rPr>
      </w:pPr>
    </w:p>
    <w:p>
      <w:pPr>
        <w:ind w:left="700" w:right="780" w:hanging="688"/>
        <w:spacing w:after="0" w:line="352" w:lineRule="auto"/>
        <w:tabs>
          <w:tab w:leader="none" w:pos="680" w:val="left"/>
        </w:tabs>
        <w:rPr>
          <w:rFonts w:ascii="Arial" w:cs="Arial" w:eastAsia="Arial" w:hAnsi="Arial"/>
          <w:sz w:val="18"/>
          <w:szCs w:val="18"/>
          <w:color w:val="0000EE"/>
        </w:rPr>
      </w:pPr>
      <w:r>
        <w:rPr>
          <w:rFonts w:ascii="Arial" w:cs="Arial" w:eastAsia="Arial" w:hAnsi="Arial"/>
          <w:sz w:val="18"/>
          <w:szCs w:val="18"/>
          <w:color w:val="auto"/>
        </w:rPr>
        <w:t>2.2</w:t>
      </w:r>
      <w:r>
        <w:rPr>
          <w:sz w:val="20"/>
          <w:szCs w:val="20"/>
          <w:color w:val="auto"/>
        </w:rPr>
        <w:tab/>
      </w:r>
      <w:hyperlink r:id="rId69">
        <w:r>
          <w:rPr>
            <w:rFonts w:ascii="Arial" w:cs="Arial" w:eastAsia="Arial" w:hAnsi="Arial"/>
            <w:sz w:val="18"/>
            <w:szCs w:val="18"/>
            <w:u w:val="single" w:color="auto"/>
            <w:color w:val="0000EE"/>
          </w:rPr>
          <w:t>Agreement and Plan of Merger, dated as of November 3, 2009, by and among ClearOne Communications, Inc., Alta-Wasatch Acquisition</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Corporation, NetStreams, Inc., Austin Ventures VIII, L.P., and Kevin A. Reinis.</w:t>
        </w:r>
        <w:r>
          <w:rPr>
            <w:rFonts w:ascii="Arial" w:cs="Arial" w:eastAsia="Arial" w:hAnsi="Arial"/>
            <w:sz w:val="18"/>
            <w:szCs w:val="18"/>
            <w:color w:val="0000EE"/>
          </w:rPr>
          <w:t xml:space="preserve"> </w:t>
        </w:r>
        <w:r>
          <w:rPr>
            <w:rFonts w:ascii="Arial" w:cs="Arial" w:eastAsia="Arial" w:hAnsi="Arial"/>
            <w:sz w:val="12"/>
            <w:szCs w:val="12"/>
            <w:color w:val="000000"/>
          </w:rPr>
          <w:t>(10)</w:t>
        </w:r>
      </w:hyperlink>
    </w:p>
    <w:p>
      <w:pPr>
        <w:spacing w:after="0" w:line="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70">
        <w:r>
          <w:rPr>
            <w:rFonts w:ascii="Arial" w:cs="Arial" w:eastAsia="Arial" w:hAnsi="Arial"/>
            <w:sz w:val="16"/>
            <w:szCs w:val="16"/>
            <w:u w:val="single" w:color="auto"/>
            <w:color w:val="0000EE"/>
          </w:rPr>
          <w:t xml:space="preserve">Articles of Incorporation and amendments thereto </w:t>
        </w:r>
      </w:hyperlink>
      <w:r>
        <w:rPr>
          <w:rFonts w:ascii="Arial" w:cs="Arial" w:eastAsia="Arial" w:hAnsi="Arial"/>
          <w:sz w:val="11"/>
          <w:szCs w:val="11"/>
          <w:color w:val="000000"/>
        </w:rPr>
        <w:t>(7)</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0000EE"/>
        </w:rPr>
        <w:t>Bylaws</w:t>
      </w:r>
    </w:p>
    <w:p>
      <w:pPr>
        <w:spacing w:after="0" w:line="7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71">
        <w:r>
          <w:rPr>
            <w:rFonts w:ascii="Arial" w:cs="Arial" w:eastAsia="Arial" w:hAnsi="Arial"/>
            <w:sz w:val="16"/>
            <w:szCs w:val="16"/>
            <w:u w:val="single" w:color="auto"/>
            <w:color w:val="0000EE"/>
          </w:rPr>
          <w:t>Employment Separation Agreement between ClearOne Communications, Inc. and Frances Flood, dated December 5, 2003</w:t>
        </w:r>
      </w:hyperlink>
      <w:r>
        <w:rPr>
          <w:rFonts w:ascii="Arial" w:cs="Arial" w:eastAsia="Arial" w:hAnsi="Arial"/>
          <w:sz w:val="16"/>
          <w:szCs w:val="16"/>
          <w:color w:val="000000"/>
        </w:rPr>
        <w:t>*</w:t>
      </w:r>
      <w:r>
        <w:rPr>
          <w:rFonts w:ascii="Arial" w:cs="Arial" w:eastAsia="Arial" w:hAnsi="Arial"/>
          <w:sz w:val="16"/>
          <w:szCs w:val="16"/>
          <w:u w:val="single" w:color="auto"/>
          <w:color w:val="0000EE"/>
        </w:rPr>
        <w:t xml:space="preserve"> </w:t>
      </w:r>
      <w:r>
        <w:rPr>
          <w:rFonts w:ascii="Arial" w:cs="Arial" w:eastAsia="Arial" w:hAnsi="Arial"/>
          <w:sz w:val="11"/>
          <w:szCs w:val="11"/>
          <w:color w:val="000000"/>
        </w:rPr>
        <w:t>(1)</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72">
        <w:r>
          <w:rPr>
            <w:rFonts w:ascii="Arial" w:cs="Arial" w:eastAsia="Arial" w:hAnsi="Arial"/>
            <w:sz w:val="16"/>
            <w:szCs w:val="16"/>
            <w:u w:val="single" w:color="auto"/>
            <w:color w:val="0000EE"/>
          </w:rPr>
          <w:t>Employment Termination Agreement between ClearOne Communications, Inc. and Susie Strohm, dated December 5, 2003</w:t>
        </w:r>
      </w:hyperlink>
      <w:r>
        <w:rPr>
          <w:rFonts w:ascii="Arial" w:cs="Arial" w:eastAsia="Arial" w:hAnsi="Arial"/>
          <w:sz w:val="16"/>
          <w:szCs w:val="16"/>
          <w:color w:val="000000"/>
        </w:rPr>
        <w:t>*</w:t>
      </w:r>
      <w:r>
        <w:rPr>
          <w:rFonts w:ascii="Arial" w:cs="Arial" w:eastAsia="Arial" w:hAnsi="Arial"/>
          <w:sz w:val="16"/>
          <w:szCs w:val="16"/>
          <w:u w:val="single" w:color="auto"/>
          <w:color w:val="0000EE"/>
        </w:rPr>
        <w:t xml:space="preserve"> </w:t>
      </w:r>
      <w:r>
        <w:rPr>
          <w:rFonts w:ascii="Arial" w:cs="Arial" w:eastAsia="Arial" w:hAnsi="Arial"/>
          <w:sz w:val="11"/>
          <w:szCs w:val="11"/>
          <w:color w:val="000000"/>
        </w:rPr>
        <w:t>(1)</w:t>
      </w:r>
    </w:p>
    <w:p>
      <w:pPr>
        <w:spacing w:after="0" w:line="117" w:lineRule="exact"/>
        <w:rPr>
          <w:sz w:val="20"/>
          <w:szCs w:val="20"/>
          <w:color w:val="auto"/>
        </w:rPr>
      </w:pPr>
    </w:p>
    <w:p>
      <w:pPr>
        <w:ind w:left="700" w:right="160" w:hanging="688"/>
        <w:spacing w:after="0" w:line="352" w:lineRule="auto"/>
        <w:tabs>
          <w:tab w:leader="none" w:pos="680" w:val="left"/>
        </w:tabs>
        <w:rPr>
          <w:rFonts w:ascii="Arial" w:cs="Arial" w:eastAsia="Arial" w:hAnsi="Arial"/>
          <w:sz w:val="18"/>
          <w:szCs w:val="18"/>
          <w:color w:val="0000EE"/>
        </w:rPr>
      </w:pPr>
      <w:r>
        <w:rPr>
          <w:rFonts w:ascii="Arial" w:cs="Arial" w:eastAsia="Arial" w:hAnsi="Arial"/>
          <w:sz w:val="18"/>
          <w:szCs w:val="18"/>
          <w:color w:val="auto"/>
        </w:rPr>
        <w:t>10.3</w:t>
      </w:r>
      <w:r>
        <w:rPr>
          <w:sz w:val="20"/>
          <w:szCs w:val="20"/>
          <w:color w:val="auto"/>
        </w:rPr>
        <w:tab/>
      </w:r>
      <w:hyperlink r:id="rId73">
        <w:r>
          <w:rPr>
            <w:rFonts w:ascii="Arial" w:cs="Arial" w:eastAsia="Arial" w:hAnsi="Arial"/>
            <w:sz w:val="18"/>
            <w:szCs w:val="18"/>
            <w:u w:val="single" w:color="auto"/>
            <w:color w:val="0000EE"/>
          </w:rPr>
          <w:t>Joint Prosecution and Defense Agreement dated April 1, 2004 between ClearOne Communications, Inc., Parsons Behle &amp; Latimer, Edward Dallin</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Bagley and Burbidge &amp; Mitchell, and amendment thereto</w:t>
        </w:r>
        <w:r>
          <w:rPr>
            <w:rFonts w:ascii="Arial" w:cs="Arial" w:eastAsia="Arial" w:hAnsi="Arial"/>
            <w:sz w:val="18"/>
            <w:szCs w:val="18"/>
            <w:color w:val="0000EE"/>
          </w:rPr>
          <w:t xml:space="preserve"> </w:t>
        </w:r>
        <w:r>
          <w:rPr>
            <w:rFonts w:ascii="Arial" w:cs="Arial" w:eastAsia="Arial" w:hAnsi="Arial"/>
            <w:sz w:val="12"/>
            <w:szCs w:val="12"/>
            <w:color w:val="000000"/>
          </w:rPr>
          <w:t>(1)</w:t>
        </w:r>
      </w:hyperlink>
    </w:p>
    <w:p>
      <w:pPr>
        <w:spacing w:after="0" w:line="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74">
        <w:r>
          <w:rPr>
            <w:rFonts w:ascii="Arial" w:cs="Arial" w:eastAsia="Arial" w:hAnsi="Arial"/>
            <w:sz w:val="16"/>
            <w:szCs w:val="16"/>
            <w:u w:val="single" w:color="auto"/>
            <w:color w:val="0000EE"/>
          </w:rPr>
          <w:t xml:space="preserve">1997 Employee Stock Purchase Plan </w:t>
        </w:r>
      </w:hyperlink>
      <w:r>
        <w:rPr>
          <w:rFonts w:ascii="Arial" w:cs="Arial" w:eastAsia="Arial" w:hAnsi="Arial"/>
          <w:sz w:val="11"/>
          <w:szCs w:val="11"/>
          <w:color w:val="000000"/>
        </w:rPr>
        <w:t>(3)</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75">
        <w:r>
          <w:rPr>
            <w:rFonts w:ascii="Arial" w:cs="Arial" w:eastAsia="Arial" w:hAnsi="Arial"/>
            <w:sz w:val="16"/>
            <w:szCs w:val="16"/>
            <w:u w:val="single" w:color="auto"/>
            <w:color w:val="0000EE"/>
          </w:rPr>
          <w:t xml:space="preserve">1998 Stock Option Plan </w:t>
        </w:r>
      </w:hyperlink>
      <w:r>
        <w:rPr>
          <w:rFonts w:ascii="Arial" w:cs="Arial" w:eastAsia="Arial" w:hAnsi="Arial"/>
          <w:sz w:val="11"/>
          <w:szCs w:val="11"/>
          <w:color w:val="000000"/>
        </w:rPr>
        <w:t>(3)</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76">
        <w:r>
          <w:rPr>
            <w:rFonts w:ascii="Arial" w:cs="Arial" w:eastAsia="Arial" w:hAnsi="Arial"/>
            <w:sz w:val="16"/>
            <w:szCs w:val="16"/>
            <w:u w:val="single" w:color="auto"/>
            <w:color w:val="0000EE"/>
          </w:rPr>
          <w:t xml:space="preserve">2007 Equity Incentive Plan </w:t>
        </w:r>
      </w:hyperlink>
      <w:r>
        <w:rPr>
          <w:rFonts w:ascii="Arial" w:cs="Arial" w:eastAsia="Arial" w:hAnsi="Arial"/>
          <w:sz w:val="11"/>
          <w:szCs w:val="11"/>
          <w:color w:val="000000"/>
        </w:rPr>
        <w:t>(6)</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77">
        <w:r>
          <w:rPr>
            <w:rFonts w:ascii="Arial" w:cs="Arial" w:eastAsia="Arial" w:hAnsi="Arial"/>
            <w:sz w:val="16"/>
            <w:szCs w:val="16"/>
            <w:u w:val="single" w:color="auto"/>
            <w:color w:val="0000EE"/>
          </w:rPr>
          <w:t xml:space="preserve">Office Lease between Edgewater Corporate Park, LLC and ClearOne Communications, Inc. dated June 5, 2006 </w:t>
        </w:r>
      </w:hyperlink>
      <w:r>
        <w:rPr>
          <w:rFonts w:ascii="Arial" w:cs="Arial" w:eastAsia="Arial" w:hAnsi="Arial"/>
          <w:sz w:val="11"/>
          <w:szCs w:val="11"/>
          <w:color w:val="000000"/>
        </w:rPr>
        <w:t>(2)</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78">
        <w:r>
          <w:rPr>
            <w:rFonts w:ascii="Arial" w:cs="Arial" w:eastAsia="Arial" w:hAnsi="Arial"/>
            <w:sz w:val="16"/>
            <w:szCs w:val="16"/>
            <w:u w:val="single" w:color="auto"/>
            <w:color w:val="0000EE"/>
          </w:rPr>
          <w:t>Compromise Agreement between ClearOne Communications UK Limited and Martin Offwood dated August 13, 2007</w:t>
        </w:r>
      </w:hyperlink>
      <w:r>
        <w:rPr>
          <w:rFonts w:ascii="Arial" w:cs="Arial" w:eastAsia="Arial" w:hAnsi="Arial"/>
          <w:sz w:val="16"/>
          <w:szCs w:val="16"/>
          <w:color w:val="000000"/>
        </w:rPr>
        <w:t>*</w:t>
      </w:r>
      <w:r>
        <w:rPr>
          <w:rFonts w:ascii="Arial" w:cs="Arial" w:eastAsia="Arial" w:hAnsi="Arial"/>
          <w:sz w:val="16"/>
          <w:szCs w:val="16"/>
          <w:u w:val="single" w:color="auto"/>
          <w:color w:val="0000EE"/>
        </w:rPr>
        <w:t xml:space="preserve"> </w:t>
      </w:r>
      <w:r>
        <w:rPr>
          <w:rFonts w:ascii="Arial" w:cs="Arial" w:eastAsia="Arial" w:hAnsi="Arial"/>
          <w:sz w:val="11"/>
          <w:szCs w:val="11"/>
          <w:color w:val="000000"/>
        </w:rPr>
        <w:t>(5)</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3"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Title of Document</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8"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81">
        <w:r>
          <w:rPr>
            <w:rFonts w:ascii="Arial" w:cs="Arial" w:eastAsia="Arial" w:hAnsi="Arial"/>
            <w:sz w:val="16"/>
            <w:szCs w:val="16"/>
            <w:u w:val="single" w:color="auto"/>
            <w:color w:val="0000EE"/>
          </w:rPr>
          <w:t xml:space="preserve">Consulting Agreement between Edward D. Bagley and ClearOne Communications, Inc. dated July 6, 2007 </w:t>
        </w:r>
      </w:hyperlink>
      <w:r>
        <w:rPr>
          <w:rFonts w:ascii="Arial" w:cs="Arial" w:eastAsia="Arial" w:hAnsi="Arial"/>
          <w:sz w:val="11"/>
          <w:szCs w:val="11"/>
          <w:color w:val="000000"/>
        </w:rPr>
        <w:t>(4)</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82">
        <w:r>
          <w:rPr>
            <w:rFonts w:ascii="Arial" w:cs="Arial" w:eastAsia="Arial" w:hAnsi="Arial"/>
            <w:sz w:val="16"/>
            <w:szCs w:val="16"/>
            <w:u w:val="single" w:color="auto"/>
            <w:color w:val="0000EE"/>
          </w:rPr>
          <w:t>Severance Agreement between ClearOne Communications, Inc. and Edward D. Bagley dated July 6, 2007</w:t>
        </w:r>
      </w:hyperlink>
      <w:r>
        <w:rPr>
          <w:rFonts w:ascii="Arial" w:cs="Arial" w:eastAsia="Arial" w:hAnsi="Arial"/>
          <w:sz w:val="16"/>
          <w:szCs w:val="16"/>
          <w:color w:val="000000"/>
        </w:rPr>
        <w:t>*</w:t>
      </w:r>
      <w:r>
        <w:rPr>
          <w:rFonts w:ascii="Arial" w:cs="Arial" w:eastAsia="Arial" w:hAnsi="Arial"/>
          <w:sz w:val="16"/>
          <w:szCs w:val="16"/>
          <w:u w:val="single" w:color="auto"/>
          <w:color w:val="0000EE"/>
        </w:rPr>
        <w:t xml:space="preserve"> </w:t>
      </w:r>
      <w:r>
        <w:rPr>
          <w:rFonts w:ascii="Arial" w:cs="Arial" w:eastAsia="Arial" w:hAnsi="Arial"/>
          <w:sz w:val="11"/>
          <w:szCs w:val="11"/>
          <w:color w:val="000000"/>
        </w:rPr>
        <w:t>(4)</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83">
        <w:r>
          <w:rPr>
            <w:rFonts w:ascii="Arial" w:cs="Arial" w:eastAsia="Arial" w:hAnsi="Arial"/>
            <w:sz w:val="16"/>
            <w:szCs w:val="16"/>
            <w:u w:val="single" w:color="auto"/>
            <w:color w:val="0000EE"/>
          </w:rPr>
          <w:t xml:space="preserve">Margin Loan Agreement between ClearOne Communications, Inc. and UBS Financial Services, Inc. dated September 10, 2008 </w:t>
        </w:r>
      </w:hyperlink>
      <w:r>
        <w:rPr>
          <w:rFonts w:ascii="Arial" w:cs="Arial" w:eastAsia="Arial" w:hAnsi="Arial"/>
          <w:sz w:val="11"/>
          <w:szCs w:val="11"/>
          <w:color w:val="000000"/>
        </w:rPr>
        <w:t>(8)</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84">
        <w:r>
          <w:rPr>
            <w:rFonts w:ascii="Arial" w:cs="Arial" w:eastAsia="Arial" w:hAnsi="Arial"/>
            <w:sz w:val="16"/>
            <w:szCs w:val="16"/>
            <w:u w:val="single" w:color="auto"/>
            <w:color w:val="0000EE"/>
          </w:rPr>
          <w:t xml:space="preserve">Manufacturing Services Agreement between Flextronics Industrial, Ltd. and ClearOne Communications, Inc. dated November 3, 2008 </w:t>
        </w:r>
      </w:hyperlink>
      <w:r>
        <w:rPr>
          <w:rFonts w:ascii="Arial" w:cs="Arial" w:eastAsia="Arial" w:hAnsi="Arial"/>
          <w:sz w:val="11"/>
          <w:szCs w:val="11"/>
          <w:color w:val="000000"/>
        </w:rPr>
        <w:t>(9)</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85">
        <w:r>
          <w:rPr>
            <w:rFonts w:ascii="Arial" w:cs="Arial" w:eastAsia="Arial" w:hAnsi="Arial"/>
            <w:sz w:val="16"/>
            <w:szCs w:val="16"/>
            <w:u w:val="single" w:color="auto"/>
            <w:color w:val="0000EE"/>
          </w:rPr>
          <w:t xml:space="preserve">Settlement and Release Agreement between ClearOne Communications, Inc. and Edward Dallin Bagley dated October 7, 2009 </w:t>
        </w:r>
      </w:hyperlink>
      <w:r>
        <w:rPr>
          <w:rFonts w:ascii="Arial" w:cs="Arial" w:eastAsia="Arial" w:hAnsi="Arial"/>
          <w:sz w:val="11"/>
          <w:szCs w:val="11"/>
          <w:color w:val="000000"/>
        </w:rPr>
        <w:t>(9)</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86">
        <w:r>
          <w:rPr>
            <w:rFonts w:ascii="Arial" w:cs="Arial" w:eastAsia="Arial" w:hAnsi="Arial"/>
            <w:sz w:val="16"/>
            <w:szCs w:val="16"/>
            <w:u w:val="single" w:color="auto"/>
            <w:color w:val="0000EE"/>
          </w:rPr>
          <w:t xml:space="preserve">Joinder to Loan and Security Agreement, dated as of November 3, 2009, by and between ClearOne Communications, Inc. and Square 1 Bank. </w:t>
        </w:r>
      </w:hyperlink>
      <w:r>
        <w:rPr>
          <w:rFonts w:ascii="Arial" w:cs="Arial" w:eastAsia="Arial" w:hAnsi="Arial"/>
          <w:sz w:val="11"/>
          <w:szCs w:val="11"/>
          <w:color w:val="000000"/>
        </w:rPr>
        <w:t>(10)</w:t>
      </w:r>
    </w:p>
    <w:p>
      <w:pPr>
        <w:spacing w:after="0" w:line="117" w:lineRule="exact"/>
        <w:rPr>
          <w:sz w:val="20"/>
          <w:szCs w:val="20"/>
          <w:color w:val="auto"/>
        </w:rPr>
      </w:pPr>
    </w:p>
    <w:p>
      <w:pPr>
        <w:ind w:left="700" w:hanging="688"/>
        <w:spacing w:after="0" w:line="352" w:lineRule="auto"/>
        <w:tabs>
          <w:tab w:leader="none" w:pos="680" w:val="left"/>
        </w:tabs>
        <w:rPr>
          <w:rFonts w:ascii="Arial" w:cs="Arial" w:eastAsia="Arial" w:hAnsi="Arial"/>
          <w:sz w:val="18"/>
          <w:szCs w:val="18"/>
          <w:color w:val="0000EE"/>
        </w:rPr>
      </w:pPr>
      <w:r>
        <w:rPr>
          <w:rFonts w:ascii="Arial" w:cs="Arial" w:eastAsia="Arial" w:hAnsi="Arial"/>
          <w:sz w:val="18"/>
          <w:szCs w:val="18"/>
          <w:color w:val="auto"/>
        </w:rPr>
        <w:t>10.24</w:t>
      </w:r>
      <w:r>
        <w:rPr>
          <w:sz w:val="20"/>
          <w:szCs w:val="20"/>
          <w:color w:val="auto"/>
        </w:rPr>
        <w:tab/>
      </w:r>
      <w:hyperlink r:id="rId87">
        <w:r>
          <w:rPr>
            <w:rFonts w:ascii="Arial" w:cs="Arial" w:eastAsia="Arial" w:hAnsi="Arial"/>
            <w:sz w:val="18"/>
            <w:szCs w:val="18"/>
            <w:u w:val="single" w:color="auto"/>
            <w:color w:val="0000EE"/>
          </w:rPr>
          <w:t>Seventh Amendment to Loan and Security Agreement, dated as of November 3, 2009, by and between Square 1 Bank, ClearOne Communications,</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Inc., NetStreams, Inc., and NetStreams, LLC.</w:t>
        </w:r>
        <w:r>
          <w:rPr>
            <w:rFonts w:ascii="Arial" w:cs="Arial" w:eastAsia="Arial" w:hAnsi="Arial"/>
            <w:sz w:val="18"/>
            <w:szCs w:val="18"/>
            <w:color w:val="0000EE"/>
          </w:rPr>
          <w:t xml:space="preserve"> </w:t>
        </w:r>
        <w:r>
          <w:rPr>
            <w:rFonts w:ascii="Arial" w:cs="Arial" w:eastAsia="Arial" w:hAnsi="Arial"/>
            <w:sz w:val="12"/>
            <w:szCs w:val="12"/>
            <w:color w:val="000000"/>
          </w:rPr>
          <w:t>(10)</w:t>
        </w:r>
      </w:hyperlink>
    </w:p>
    <w:p>
      <w:pPr>
        <w:spacing w:after="0" w:line="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88">
        <w:r>
          <w:rPr>
            <w:rFonts w:ascii="Arial" w:cs="Arial" w:eastAsia="Arial" w:hAnsi="Arial"/>
            <w:sz w:val="16"/>
            <w:szCs w:val="16"/>
            <w:u w:val="single" w:color="auto"/>
            <w:color w:val="0000EE"/>
          </w:rPr>
          <w:t xml:space="preserve">Code of Ethics, approved by the Board of Directors on August 23, 2006 </w:t>
        </w:r>
      </w:hyperlink>
      <w:r>
        <w:rPr>
          <w:rFonts w:ascii="Arial" w:cs="Arial" w:eastAsia="Arial" w:hAnsi="Arial"/>
          <w:sz w:val="11"/>
          <w:szCs w:val="11"/>
          <w:color w:val="000000"/>
        </w:rPr>
        <w:t>(2)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EE"/>
        </w:rPr>
        <w:t>Subsidiaries of the registrant</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Jones Simkins P.C., independent auditors for the year ending June 30, 2009</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Section 302 Certification of Chief Executive Officer</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Section 302 Certification of Chief Financial Officer</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Section 906 Certification of Chief Executive Officer</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0000EE"/>
        </w:rPr>
        <w:t>Section 906 Certification of 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196" w:lineRule="exact"/>
        <w:rPr>
          <w:sz w:val="20"/>
          <w:szCs w:val="20"/>
          <w:color w:val="auto"/>
        </w:rPr>
      </w:pPr>
    </w:p>
    <w:p>
      <w:pPr>
        <w:ind w:left="380" w:hanging="235"/>
        <w:spacing w:after="0"/>
        <w:tabs>
          <w:tab w:leader="none" w:pos="380" w:val="left"/>
        </w:tabs>
        <w:numPr>
          <w:ilvl w:val="0"/>
          <w:numId w:val="24"/>
        </w:numPr>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Incorporated by reference to the Registrant’s Annual Report on Form 10-K for the fiscal year ended June 30, 2003.</w:t>
        </w:r>
      </w:hyperlink>
    </w:p>
    <w:p>
      <w:pPr>
        <w:spacing w:after="0" w:line="36" w:lineRule="exact"/>
        <w:rPr>
          <w:rFonts w:ascii="Arial" w:cs="Arial" w:eastAsia="Arial" w:hAnsi="Arial"/>
          <w:sz w:val="18"/>
          <w:szCs w:val="18"/>
          <w:u w:val="single" w:color="auto"/>
          <w:color w:val="0000EE"/>
        </w:rPr>
      </w:pPr>
    </w:p>
    <w:p>
      <w:pPr>
        <w:ind w:left="140"/>
        <w:spacing w:after="0"/>
        <w:rPr>
          <w:rFonts w:ascii="Arial" w:cs="Arial" w:eastAsia="Arial" w:hAnsi="Arial"/>
          <w:sz w:val="18"/>
          <w:szCs w:val="18"/>
          <w:color w:val="auto"/>
        </w:rPr>
      </w:pPr>
      <w:r>
        <w:rPr>
          <w:rFonts w:ascii="Arial" w:cs="Arial" w:eastAsia="Arial" w:hAnsi="Arial"/>
          <w:sz w:val="18"/>
          <w:szCs w:val="18"/>
          <w:color w:val="auto"/>
        </w:rPr>
        <w:t xml:space="preserve">2  </w:t>
      </w:r>
      <w:hyperlink r:id="rId90">
        <w:r>
          <w:rPr>
            <w:rFonts w:ascii="Arial" w:cs="Arial" w:eastAsia="Arial" w:hAnsi="Arial"/>
            <w:sz w:val="18"/>
            <w:szCs w:val="18"/>
            <w:u w:val="single" w:color="auto"/>
            <w:color w:val="0000EE"/>
          </w:rPr>
          <w:t>Incorporated by reference to the Registrant’s Annual Report on Form 10-K for the fiscal year ended June 30, 2006.</w:t>
        </w:r>
      </w:hyperlink>
    </w:p>
    <w:p>
      <w:pPr>
        <w:spacing w:after="0" w:line="36"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xml:space="preserve">3  </w:t>
      </w:r>
      <w:hyperlink r:id="rId91">
        <w:r>
          <w:rPr>
            <w:rFonts w:ascii="Arial" w:cs="Arial" w:eastAsia="Arial" w:hAnsi="Arial"/>
            <w:sz w:val="18"/>
            <w:szCs w:val="18"/>
            <w:u w:val="single" w:color="auto"/>
            <w:color w:val="0000EE"/>
          </w:rPr>
          <w:t>Incorporated by reference to the Registrant’s registration statement on form S-8 filed with the SEC on October 6, 2006.</w:t>
        </w:r>
      </w:hyperlink>
    </w:p>
    <w:p>
      <w:pPr>
        <w:spacing w:after="0" w:line="36"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xml:space="preserve">4  </w:t>
      </w:r>
      <w:hyperlink r:id="rId92">
        <w:r>
          <w:rPr>
            <w:rFonts w:ascii="Arial" w:cs="Arial" w:eastAsia="Arial" w:hAnsi="Arial"/>
            <w:sz w:val="18"/>
            <w:szCs w:val="18"/>
            <w:u w:val="single" w:color="auto"/>
            <w:color w:val="0000EE"/>
          </w:rPr>
          <w:t>Incorporated by reference to the Registrant’s Annual Report on Form 10-K for the fiscal year ended June 30, 2007.</w:t>
        </w:r>
      </w:hyperlink>
    </w:p>
    <w:p>
      <w:pPr>
        <w:spacing w:after="0" w:line="36" w:lineRule="exact"/>
        <w:rPr>
          <w:rFonts w:ascii="Arial" w:cs="Arial" w:eastAsia="Arial" w:hAnsi="Arial"/>
          <w:sz w:val="18"/>
          <w:szCs w:val="18"/>
          <w:color w:val="auto"/>
        </w:rPr>
      </w:pPr>
    </w:p>
    <w:p>
      <w:pPr>
        <w:jc w:val="both"/>
        <w:ind w:left="140" w:right="2200"/>
        <w:spacing w:after="0" w:line="317" w:lineRule="auto"/>
        <w:rPr>
          <w:rFonts w:ascii="Arial" w:cs="Arial" w:eastAsia="Arial" w:hAnsi="Arial"/>
          <w:sz w:val="16"/>
          <w:szCs w:val="16"/>
          <w:color w:val="auto"/>
        </w:rPr>
      </w:pPr>
      <w:r>
        <w:rPr>
          <w:rFonts w:ascii="Arial" w:cs="Arial" w:eastAsia="Arial" w:hAnsi="Arial"/>
          <w:sz w:val="16"/>
          <w:szCs w:val="16"/>
          <w:color w:val="auto"/>
        </w:rPr>
        <w:t xml:space="preserve">5 </w:t>
      </w:r>
      <w:hyperlink r:id="rId93">
        <w:r>
          <w:rPr>
            <w:rFonts w:ascii="Arial" w:cs="Arial" w:eastAsia="Arial" w:hAnsi="Arial"/>
            <w:sz w:val="16"/>
            <w:szCs w:val="16"/>
            <w:u w:val="single" w:color="auto"/>
            <w:color w:val="0000EE"/>
          </w:rPr>
          <w:t>Incorporated by reference to the Registrant’s Quarterly Report on Form 10-Q for the quarter ended September 30, 2007</w:t>
        </w:r>
      </w:hyperlink>
      <w:r>
        <w:rPr>
          <w:rFonts w:ascii="Arial" w:cs="Arial" w:eastAsia="Arial" w:hAnsi="Arial"/>
          <w:sz w:val="16"/>
          <w:szCs w:val="16"/>
          <w:color w:val="auto"/>
        </w:rPr>
        <w:t xml:space="preserve">. 6 </w:t>
      </w:r>
      <w:hyperlink r:id="rId94">
        <w:r>
          <w:rPr>
            <w:rFonts w:ascii="Arial" w:cs="Arial" w:eastAsia="Arial" w:hAnsi="Arial"/>
            <w:sz w:val="16"/>
            <w:szCs w:val="16"/>
            <w:u w:val="single" w:color="auto"/>
            <w:color w:val="0000EE"/>
          </w:rPr>
          <w:t>Incorporated by reference to the Registrant’s registration statement on Form S-8 filed with the SEC on January 22, 2008.</w:t>
        </w:r>
      </w:hyperlink>
      <w:r>
        <w:rPr>
          <w:rFonts w:ascii="Arial" w:cs="Arial" w:eastAsia="Arial" w:hAnsi="Arial"/>
          <w:sz w:val="16"/>
          <w:szCs w:val="16"/>
          <w:color w:val="auto"/>
        </w:rPr>
        <w:t xml:space="preserve"> 7 </w:t>
      </w:r>
      <w:hyperlink r:id="rId95">
        <w:r>
          <w:rPr>
            <w:rFonts w:ascii="Arial" w:cs="Arial" w:eastAsia="Arial" w:hAnsi="Arial"/>
            <w:sz w:val="16"/>
            <w:szCs w:val="16"/>
            <w:u w:val="single" w:color="auto"/>
            <w:color w:val="0000EE"/>
          </w:rPr>
          <w:t>Incorporated by reference to the Registrant’s Annual Report on Form 10-K for the fiscal year ended June 30, 2008.</w:t>
        </w:r>
      </w:hyperlink>
    </w:p>
    <w:p>
      <w:pPr>
        <w:ind w:left="100" w:right="2440" w:firstLine="45"/>
        <w:spacing w:after="0" w:line="347" w:lineRule="auto"/>
        <w:rPr>
          <w:rFonts w:ascii="Arial" w:cs="Arial" w:eastAsia="Arial" w:hAnsi="Arial"/>
          <w:sz w:val="16"/>
          <w:szCs w:val="16"/>
          <w:color w:val="auto"/>
        </w:rPr>
      </w:pPr>
      <w:r>
        <w:rPr>
          <w:rFonts w:ascii="Arial" w:cs="Arial" w:eastAsia="Arial" w:hAnsi="Arial"/>
          <w:sz w:val="16"/>
          <w:szCs w:val="16"/>
          <w:color w:val="auto"/>
        </w:rPr>
        <w:t xml:space="preserve">8 </w:t>
      </w:r>
      <w:hyperlink r:id="rId96">
        <w:r>
          <w:rPr>
            <w:rFonts w:ascii="Arial" w:cs="Arial" w:eastAsia="Arial" w:hAnsi="Arial"/>
            <w:sz w:val="16"/>
            <w:szCs w:val="16"/>
            <w:u w:val="single" w:color="auto"/>
            <w:color w:val="0000EE"/>
          </w:rPr>
          <w:t>Incorporated by reference to the Registrant’s Current Report on Form 8-K filed with the SEC on September 11, 2008.</w:t>
        </w:r>
      </w:hyperlink>
      <w:r>
        <w:rPr>
          <w:rFonts w:ascii="Arial" w:cs="Arial" w:eastAsia="Arial" w:hAnsi="Arial"/>
          <w:sz w:val="16"/>
          <w:szCs w:val="16"/>
          <w:color w:val="auto"/>
        </w:rPr>
        <w:t xml:space="preserve"> 9 </w:t>
      </w:r>
      <w:hyperlink r:id="rId97">
        <w:r>
          <w:rPr>
            <w:rFonts w:ascii="Arial" w:cs="Arial" w:eastAsia="Arial" w:hAnsi="Arial"/>
            <w:sz w:val="16"/>
            <w:szCs w:val="16"/>
            <w:u w:val="single" w:color="auto"/>
            <w:color w:val="0000EE"/>
          </w:rPr>
          <w:t>Incorporated by reference to the Registrant’s Annual Report on Form 10-K for the fiscal year ended June 30, 2009.</w:t>
        </w:r>
      </w:hyperlink>
      <w:r>
        <w:rPr>
          <w:rFonts w:ascii="Arial" w:cs="Arial" w:eastAsia="Arial" w:hAnsi="Arial"/>
          <w:sz w:val="16"/>
          <w:szCs w:val="16"/>
          <w:color w:val="auto"/>
        </w:rPr>
        <w:t xml:space="preserve"> 10 </w:t>
      </w:r>
      <w:hyperlink r:id="rId98">
        <w:r>
          <w:rPr>
            <w:rFonts w:ascii="Arial" w:cs="Arial" w:eastAsia="Arial" w:hAnsi="Arial"/>
            <w:sz w:val="16"/>
            <w:szCs w:val="16"/>
            <w:u w:val="single" w:color="auto"/>
            <w:color w:val="0000EE"/>
          </w:rPr>
          <w:t>Incorporated by reference to the Registrant’s Current Report on Form 8-K filed with the SEC on November 9, 2009.</w:t>
        </w:r>
      </w:hyperlink>
    </w:p>
    <w:p>
      <w:pPr>
        <w:spacing w:after="0" w:line="260" w:lineRule="exact"/>
        <w:rPr>
          <w:rFonts w:ascii="Arial" w:cs="Arial" w:eastAsia="Arial" w:hAnsi="Arial"/>
          <w:sz w:val="16"/>
          <w:szCs w:val="16"/>
          <w:color w:val="auto"/>
        </w:rPr>
      </w:pPr>
    </w:p>
    <w:p>
      <w:pPr>
        <w:ind w:left="5640" w:hanging="82"/>
        <w:spacing w:after="0"/>
        <w:tabs>
          <w:tab w:leader="none" w:pos="5640" w:val="left"/>
        </w:tabs>
        <w:numPr>
          <w:ilvl w:val="1"/>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47 -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CLEARONE COMMUNICATIONS, INC.</w:t>
      </w:r>
    </w:p>
    <w:p>
      <w:pPr>
        <w:spacing w:after="0" w:line="293" w:lineRule="exact"/>
        <w:rPr>
          <w:sz w:val="20"/>
          <w:szCs w:val="20"/>
          <w:color w:val="auto"/>
        </w:rPr>
      </w:pPr>
    </w:p>
    <w:p>
      <w:pPr>
        <w:spacing w:after="0"/>
        <w:tabs>
          <w:tab w:leader="none" w:pos="500" w:val="left"/>
          <w:tab w:leader="none" w:pos="6320" w:val="left"/>
        </w:tabs>
        <w:rPr>
          <w:sz w:val="20"/>
          <w:szCs w:val="20"/>
          <w:color w:val="auto"/>
        </w:rPr>
      </w:pPr>
      <w:r>
        <w:rPr>
          <w:rFonts w:ascii="Arial" w:cs="Arial" w:eastAsia="Arial" w:hAnsi="Arial"/>
          <w:sz w:val="18"/>
          <w:szCs w:val="18"/>
          <w:color w:val="auto"/>
        </w:rPr>
        <w:t>By:</w:t>
        <w:tab/>
        <w:t>/s/ Zeynep Hakimoglu</w:t>
      </w:r>
      <w:r>
        <w:rPr>
          <w:sz w:val="20"/>
          <w:szCs w:val="20"/>
          <w:color w:val="auto"/>
        </w:rPr>
        <w:tab/>
      </w:r>
      <w:r>
        <w:rPr>
          <w:rFonts w:ascii="Arial" w:cs="Arial" w:eastAsia="Arial" w:hAnsi="Arial"/>
          <w:sz w:val="16"/>
          <w:szCs w:val="16"/>
          <w:color w:val="auto"/>
        </w:rPr>
        <w:t>Date: May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6350</wp:posOffset>
            </wp:positionV>
            <wp:extent cx="369633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3696335" cy="1714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President, Chief Executive Officer, and Chairman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Pr>
          <w:p>
            <w:pPr>
              <w:ind w:left="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c>
          <w:tcPr>
            <w:tcW w:w="5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Zeynep Hakimoglu</w:t>
            </w:r>
          </w:p>
        </w:tc>
        <w:tc>
          <w:tcPr>
            <w:tcW w:w="5080" w:type="dxa"/>
            <w:vAlign w:val="bottom"/>
          </w:tcPr>
          <w:p>
            <w:pPr>
              <w:ind w:left="80"/>
              <w:spacing w:after="0"/>
              <w:rPr>
                <w:sz w:val="20"/>
                <w:szCs w:val="20"/>
                <w:color w:val="auto"/>
              </w:rPr>
            </w:pPr>
            <w:r>
              <w:rPr>
                <w:rFonts w:ascii="Arial" w:cs="Arial" w:eastAsia="Arial" w:hAnsi="Arial"/>
                <w:sz w:val="18"/>
                <w:szCs w:val="18"/>
                <w:color w:val="auto"/>
              </w:rPr>
              <w:t>Date: May 6, 2010</w:t>
            </w:r>
          </w:p>
        </w:tc>
      </w:tr>
      <w:tr>
        <w:trPr>
          <w:trHeight w:val="202"/>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c>
          <w:tcPr>
            <w:tcW w:w="508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w w:val="93"/>
              </w:rPr>
              <w:t>President, Chief Executive Officer, and Chairman (Principal Executive Officer)</w:t>
            </w:r>
          </w:p>
        </w:tc>
        <w:tc>
          <w:tcPr>
            <w:tcW w:w="5080" w:type="dxa"/>
            <w:vAlign w:val="bottom"/>
          </w:tcPr>
          <w:p>
            <w:pPr>
              <w:spacing w:after="0"/>
              <w:rPr>
                <w:sz w:val="20"/>
                <w:szCs w:val="20"/>
                <w:color w:val="auto"/>
              </w:rPr>
            </w:pPr>
          </w:p>
        </w:tc>
      </w:tr>
      <w:tr>
        <w:trPr>
          <w:trHeight w:val="372"/>
        </w:trPr>
        <w:tc>
          <w:tcPr>
            <w:tcW w:w="520" w:type="dxa"/>
            <w:vAlign w:val="bottom"/>
          </w:tcPr>
          <w:p>
            <w:pPr>
              <w:ind w:left="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Narsi Narayanan</w:t>
            </w:r>
          </w:p>
        </w:tc>
        <w:tc>
          <w:tcPr>
            <w:tcW w:w="5080" w:type="dxa"/>
            <w:vAlign w:val="bottom"/>
          </w:tcPr>
          <w:p>
            <w:pPr>
              <w:spacing w:after="0"/>
              <w:rPr>
                <w:sz w:val="20"/>
                <w:szCs w:val="20"/>
                <w:color w:val="auto"/>
              </w:rPr>
            </w:pPr>
            <w:r>
              <w:rPr>
                <w:rFonts w:ascii="Arial" w:cs="Arial" w:eastAsia="Arial" w:hAnsi="Arial"/>
                <w:sz w:val="18"/>
                <w:szCs w:val="18"/>
                <w:color w:val="auto"/>
              </w:rPr>
              <w:t>Date: May 6, 2010</w:t>
            </w:r>
          </w:p>
        </w:tc>
      </w:tr>
      <w:tr>
        <w:trPr>
          <w:trHeight w:val="202"/>
        </w:trPr>
        <w:tc>
          <w:tcPr>
            <w:tcW w:w="520" w:type="dxa"/>
            <w:vAlign w:val="bottom"/>
          </w:tcPr>
          <w:p>
            <w:pPr>
              <w:spacing w:after="0"/>
              <w:rPr>
                <w:sz w:val="17"/>
                <w:szCs w:val="17"/>
                <w:color w:val="auto"/>
              </w:rPr>
            </w:pPr>
          </w:p>
        </w:tc>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Narsi Narayanan</w:t>
            </w:r>
          </w:p>
        </w:tc>
        <w:tc>
          <w:tcPr>
            <w:tcW w:w="508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Vice President of Finance (Principal Financial and Accounting Officer)</w:t>
            </w:r>
          </w:p>
        </w:tc>
        <w:tc>
          <w:tcPr>
            <w:tcW w:w="5080" w:type="dxa"/>
            <w:vAlign w:val="bottom"/>
          </w:tcPr>
          <w:p>
            <w:pPr>
              <w:spacing w:after="0"/>
              <w:rPr>
                <w:sz w:val="20"/>
                <w:szCs w:val="20"/>
                <w:color w:val="auto"/>
              </w:rPr>
            </w:pPr>
          </w:p>
        </w:tc>
      </w:tr>
      <w:tr>
        <w:trPr>
          <w:trHeight w:val="439"/>
        </w:trPr>
        <w:tc>
          <w:tcPr>
            <w:tcW w:w="520" w:type="dxa"/>
            <w:vAlign w:val="bottom"/>
          </w:tcPr>
          <w:p>
            <w:pPr>
              <w:ind w:left="60"/>
              <w:spacing w:after="0"/>
              <w:rPr>
                <w:sz w:val="20"/>
                <w:szCs w:val="20"/>
                <w:color w:val="auto"/>
              </w:rPr>
            </w:pPr>
            <w:r>
              <w:rPr>
                <w:rFonts w:ascii="Arial" w:cs="Arial" w:eastAsia="Arial" w:hAnsi="Arial"/>
                <w:sz w:val="18"/>
                <w:szCs w:val="18"/>
                <w:color w:val="auto"/>
              </w:rPr>
              <w:t>By:</w:t>
            </w:r>
          </w:p>
        </w:tc>
        <w:tc>
          <w:tcPr>
            <w:tcW w:w="5820" w:type="dxa"/>
            <w:vAlign w:val="bottom"/>
            <w:gridSpan w:val="2"/>
          </w:tcPr>
          <w:p>
            <w:pPr>
              <w:spacing w:after="0"/>
              <w:rPr>
                <w:sz w:val="20"/>
                <w:szCs w:val="20"/>
                <w:color w:val="auto"/>
              </w:rPr>
            </w:pPr>
            <w:r>
              <w:rPr>
                <w:rFonts w:ascii="Arial" w:cs="Arial" w:eastAsia="Arial" w:hAnsi="Arial"/>
                <w:sz w:val="18"/>
                <w:szCs w:val="18"/>
                <w:color w:val="auto"/>
              </w:rPr>
              <w:t>/s/ E. Bryan Bagley</w:t>
            </w:r>
          </w:p>
        </w:tc>
        <w:tc>
          <w:tcPr>
            <w:tcW w:w="5080" w:type="dxa"/>
            <w:vAlign w:val="bottom"/>
          </w:tcPr>
          <w:p>
            <w:pPr>
              <w:ind w:left="40"/>
              <w:spacing w:after="0"/>
              <w:rPr>
                <w:sz w:val="20"/>
                <w:szCs w:val="20"/>
                <w:color w:val="auto"/>
              </w:rPr>
            </w:pPr>
            <w:r>
              <w:rPr>
                <w:rFonts w:ascii="Arial" w:cs="Arial" w:eastAsia="Arial" w:hAnsi="Arial"/>
                <w:sz w:val="18"/>
                <w:szCs w:val="18"/>
                <w:color w:val="auto"/>
              </w:rPr>
              <w:t>Date: May 6, 2010</w:t>
            </w:r>
          </w:p>
        </w:tc>
      </w:tr>
      <w:tr>
        <w:trPr>
          <w:trHeight w:val="202"/>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E.Bryan Bagley</w:t>
            </w:r>
          </w:p>
        </w:tc>
        <w:tc>
          <w:tcPr>
            <w:tcW w:w="508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5080" w:type="dxa"/>
            <w:vAlign w:val="bottom"/>
          </w:tcPr>
          <w:p>
            <w:pPr>
              <w:spacing w:after="0"/>
              <w:rPr>
                <w:sz w:val="20"/>
                <w:szCs w:val="20"/>
                <w:color w:val="auto"/>
              </w:rPr>
            </w:pPr>
          </w:p>
        </w:tc>
      </w:tr>
      <w:tr>
        <w:trPr>
          <w:trHeight w:val="439"/>
        </w:trPr>
        <w:tc>
          <w:tcPr>
            <w:tcW w:w="520" w:type="dxa"/>
            <w:vAlign w:val="bottom"/>
          </w:tcPr>
          <w:p>
            <w:pPr>
              <w:ind w:left="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 R. Baldwin</w:t>
            </w:r>
          </w:p>
        </w:tc>
        <w:tc>
          <w:tcPr>
            <w:tcW w:w="5080" w:type="dxa"/>
            <w:vAlign w:val="bottom"/>
          </w:tcPr>
          <w:p>
            <w:pPr>
              <w:spacing w:after="0"/>
              <w:rPr>
                <w:sz w:val="20"/>
                <w:szCs w:val="20"/>
                <w:color w:val="auto"/>
              </w:rPr>
            </w:pPr>
            <w:r>
              <w:rPr>
                <w:rFonts w:ascii="Arial" w:cs="Arial" w:eastAsia="Arial" w:hAnsi="Arial"/>
                <w:sz w:val="18"/>
                <w:szCs w:val="18"/>
                <w:color w:val="auto"/>
              </w:rPr>
              <w:t>Date: May 6, 2010</w:t>
            </w:r>
          </w:p>
        </w:tc>
      </w:tr>
      <w:tr>
        <w:trPr>
          <w:trHeight w:val="202"/>
        </w:trPr>
        <w:tc>
          <w:tcPr>
            <w:tcW w:w="520" w:type="dxa"/>
            <w:vAlign w:val="bottom"/>
          </w:tcPr>
          <w:p>
            <w:pPr>
              <w:spacing w:after="0"/>
              <w:rPr>
                <w:sz w:val="17"/>
                <w:szCs w:val="17"/>
                <w:color w:val="auto"/>
              </w:rPr>
            </w:pPr>
          </w:p>
        </w:tc>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Brad R. Baldwin</w:t>
            </w:r>
          </w:p>
        </w:tc>
        <w:tc>
          <w:tcPr>
            <w:tcW w:w="508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80" w:type="dxa"/>
            <w:vAlign w:val="bottom"/>
          </w:tcPr>
          <w:p>
            <w:pPr>
              <w:spacing w:after="0"/>
              <w:rPr>
                <w:sz w:val="20"/>
                <w:szCs w:val="20"/>
                <w:color w:val="auto"/>
              </w:rPr>
            </w:pPr>
          </w:p>
        </w:tc>
      </w:tr>
      <w:tr>
        <w:trPr>
          <w:trHeight w:val="439"/>
        </w:trPr>
        <w:tc>
          <w:tcPr>
            <w:tcW w:w="520" w:type="dxa"/>
            <w:vAlign w:val="bottom"/>
          </w:tcPr>
          <w:p>
            <w:pPr>
              <w:ind w:left="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R. Hendricks</w:t>
            </w:r>
          </w:p>
        </w:tc>
        <w:tc>
          <w:tcPr>
            <w:tcW w:w="5080" w:type="dxa"/>
            <w:vAlign w:val="bottom"/>
          </w:tcPr>
          <w:p>
            <w:pPr>
              <w:spacing w:after="0"/>
              <w:rPr>
                <w:sz w:val="20"/>
                <w:szCs w:val="20"/>
                <w:color w:val="auto"/>
              </w:rPr>
            </w:pPr>
            <w:r>
              <w:rPr>
                <w:rFonts w:ascii="Arial" w:cs="Arial" w:eastAsia="Arial" w:hAnsi="Arial"/>
                <w:sz w:val="18"/>
                <w:szCs w:val="18"/>
                <w:color w:val="auto"/>
              </w:rPr>
              <w:t>Date: May 6, 2010</w:t>
            </w:r>
          </w:p>
        </w:tc>
      </w:tr>
      <w:tr>
        <w:trPr>
          <w:trHeight w:val="202"/>
        </w:trPr>
        <w:tc>
          <w:tcPr>
            <w:tcW w:w="520" w:type="dxa"/>
            <w:vAlign w:val="bottom"/>
          </w:tcPr>
          <w:p>
            <w:pPr>
              <w:spacing w:after="0"/>
              <w:rPr>
                <w:sz w:val="17"/>
                <w:szCs w:val="17"/>
                <w:color w:val="auto"/>
              </w:rPr>
            </w:pPr>
          </w:p>
        </w:tc>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Larry R. Hendricks</w:t>
            </w:r>
          </w:p>
        </w:tc>
        <w:tc>
          <w:tcPr>
            <w:tcW w:w="508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80" w:type="dxa"/>
            <w:vAlign w:val="bottom"/>
          </w:tcPr>
          <w:p>
            <w:pPr>
              <w:spacing w:after="0"/>
              <w:rPr>
                <w:sz w:val="20"/>
                <w:szCs w:val="20"/>
                <w:color w:val="auto"/>
              </w:rPr>
            </w:pPr>
          </w:p>
        </w:tc>
      </w:tr>
      <w:tr>
        <w:trPr>
          <w:trHeight w:val="439"/>
        </w:trPr>
        <w:tc>
          <w:tcPr>
            <w:tcW w:w="520" w:type="dxa"/>
            <w:vAlign w:val="bottom"/>
          </w:tcPr>
          <w:p>
            <w:pPr>
              <w:ind w:left="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M. Huntsman</w:t>
            </w:r>
          </w:p>
        </w:tc>
        <w:tc>
          <w:tcPr>
            <w:tcW w:w="5080" w:type="dxa"/>
            <w:vAlign w:val="bottom"/>
          </w:tcPr>
          <w:p>
            <w:pPr>
              <w:spacing w:after="0"/>
              <w:rPr>
                <w:sz w:val="20"/>
                <w:szCs w:val="20"/>
                <w:color w:val="auto"/>
              </w:rPr>
            </w:pPr>
            <w:r>
              <w:rPr>
                <w:rFonts w:ascii="Arial" w:cs="Arial" w:eastAsia="Arial" w:hAnsi="Arial"/>
                <w:sz w:val="18"/>
                <w:szCs w:val="18"/>
                <w:color w:val="auto"/>
              </w:rPr>
              <w:t>Date: May 6, 2010</w:t>
            </w:r>
          </w:p>
        </w:tc>
      </w:tr>
      <w:tr>
        <w:trPr>
          <w:trHeight w:val="202"/>
        </w:trPr>
        <w:tc>
          <w:tcPr>
            <w:tcW w:w="520" w:type="dxa"/>
            <w:vAlign w:val="bottom"/>
          </w:tcPr>
          <w:p>
            <w:pPr>
              <w:spacing w:after="0"/>
              <w:rPr>
                <w:sz w:val="17"/>
                <w:szCs w:val="17"/>
                <w:color w:val="auto"/>
              </w:rPr>
            </w:pPr>
          </w:p>
        </w:tc>
        <w:tc>
          <w:tcPr>
            <w:tcW w:w="5820" w:type="dxa"/>
            <w:vAlign w:val="bottom"/>
            <w:gridSpan w:val="2"/>
          </w:tcPr>
          <w:p>
            <w:pPr>
              <w:spacing w:after="0" w:line="201" w:lineRule="exact"/>
              <w:rPr>
                <w:sz w:val="20"/>
                <w:szCs w:val="20"/>
                <w:color w:val="auto"/>
              </w:rPr>
            </w:pPr>
            <w:r>
              <w:rPr>
                <w:rFonts w:ascii="Arial" w:cs="Arial" w:eastAsia="Arial" w:hAnsi="Arial"/>
                <w:sz w:val="18"/>
                <w:szCs w:val="18"/>
                <w:color w:val="auto"/>
              </w:rPr>
              <w:t>Scott M. Huntsman</w:t>
            </w:r>
          </w:p>
        </w:tc>
        <w:tc>
          <w:tcPr>
            <w:tcW w:w="508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80" w:type="dxa"/>
            <w:vAlign w:val="bottom"/>
          </w:tcPr>
          <w:p>
            <w:pPr>
              <w:spacing w:after="0"/>
              <w:rPr>
                <w:sz w:val="20"/>
                <w:szCs w:val="20"/>
                <w:color w:val="auto"/>
              </w:rPr>
            </w:pPr>
          </w:p>
        </w:tc>
      </w:tr>
      <w:tr>
        <w:trPr>
          <w:trHeight w:val="717"/>
        </w:trPr>
        <w:tc>
          <w:tcPr>
            <w:tcW w:w="520" w:type="dxa"/>
            <w:vAlign w:val="bottom"/>
          </w:tcPr>
          <w:p>
            <w:pPr>
              <w:spacing w:after="0"/>
              <w:rPr>
                <w:sz w:val="24"/>
                <w:szCs w:val="24"/>
                <w:color w:val="auto"/>
              </w:rPr>
            </w:pPr>
          </w:p>
        </w:tc>
        <w:tc>
          <w:tcPr>
            <w:tcW w:w="5820" w:type="dxa"/>
            <w:vAlign w:val="bottom"/>
            <w:gridSpan w:val="2"/>
          </w:tcPr>
          <w:p>
            <w:pPr>
              <w:ind w:left="5040"/>
              <w:spacing w:after="0"/>
              <w:rPr>
                <w:sz w:val="20"/>
                <w:szCs w:val="20"/>
                <w:color w:val="auto"/>
              </w:rPr>
            </w:pPr>
            <w:r>
              <w:rPr>
                <w:rFonts w:ascii="Arial" w:cs="Arial" w:eastAsia="Arial" w:hAnsi="Arial"/>
                <w:sz w:val="14"/>
                <w:szCs w:val="14"/>
                <w:b w:val="1"/>
                <w:bCs w:val="1"/>
                <w:color w:val="auto"/>
              </w:rPr>
              <w:t>- 48 -</w:t>
            </w:r>
          </w:p>
        </w:tc>
        <w:tc>
          <w:tcPr>
            <w:tcW w:w="5080" w:type="dxa"/>
            <w:vAlign w:val="bottom"/>
          </w:tcPr>
          <w:p>
            <w:pPr>
              <w:spacing w:after="0"/>
              <w:rPr>
                <w:sz w:val="24"/>
                <w:szCs w:val="24"/>
                <w:color w:val="auto"/>
              </w:rPr>
            </w:pPr>
          </w:p>
        </w:tc>
      </w:tr>
      <w:tr>
        <w:trPr>
          <w:trHeight w:val="103"/>
        </w:trPr>
        <w:tc>
          <w:tcPr>
            <w:tcW w:w="5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92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4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rPr>
              <w:t>CLEARONE COMMUNICATIONS, INC. AND SUBSIDIARIES</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440" w:type="dxa"/>
            <w:vAlign w:val="bottom"/>
            <w:gridSpan w:val="7"/>
          </w:tcPr>
          <w:p>
            <w:pPr>
              <w:jc w:val="center"/>
              <w:ind w:right="232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80" w:type="dxa"/>
            <w:vAlign w:val="bottom"/>
            <w:gridSpan w:val="11"/>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 – Jones Simkins, P.C.</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gridSpan w:val="11"/>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Balance Sheets as of December 31, 2009 and June 30, 2009 and 2008</w:t>
              </w:r>
            </w:hyperlink>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Operations and Comprehensive Income for transition period ended December 31, 2009 and fiscal years ended June 30,</w:t>
              </w:r>
            </w:hyperlink>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2009 and 2008</w:t>
              </w:r>
            </w:hyperlink>
          </w:p>
        </w:tc>
        <w:tc>
          <w:tcPr>
            <w:tcW w:w="9360" w:type="dxa"/>
            <w:vAlign w:val="bottom"/>
            <w:tcBorders>
              <w:bottom w:val="single" w:sz="8" w:color="CCEEFF"/>
            </w:tcBorders>
            <w:gridSpan w:val="8"/>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80" w:type="dxa"/>
            <w:vAlign w:val="bottom"/>
            <w:gridSpan w:val="11"/>
          </w:tcPr>
          <w:p>
            <w:pPr>
              <w:spacing w:after="0" w:line="17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Consolidated Statements of Shareholders' Equity for transition period ended December 31, 2009 and fiscal years ended June 30, 2009 and 2008</w:t>
              </w:r>
            </w:hyperlink>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Cash Flows for transition period ended December 31, 2009 and fiscal years ended June 30, 2009 and 2008</w:t>
              </w:r>
            </w:hyperlink>
          </w:p>
        </w:tc>
        <w:tc>
          <w:tcPr>
            <w:tcW w:w="90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80" w:type="dxa"/>
            <w:vAlign w:val="bottom"/>
            <w:gridSpan w:val="11"/>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220" w:type="dxa"/>
            <w:vAlign w:val="bottom"/>
            <w:gridSpan w:val="6"/>
          </w:tcPr>
          <w:p>
            <w:pPr>
              <w:jc w:val="center"/>
              <w:ind w:right="2540"/>
              <w:spacing w:after="0"/>
              <w:rPr>
                <w:sz w:val="20"/>
                <w:szCs w:val="20"/>
                <w:color w:val="auto"/>
              </w:rPr>
            </w:pPr>
            <w:r>
              <w:rPr>
                <w:rFonts w:ascii="Arial" w:cs="Arial" w:eastAsia="Arial" w:hAnsi="Arial"/>
                <w:sz w:val="14"/>
                <w:szCs w:val="14"/>
                <w:b w:val="1"/>
                <w:bCs w:val="1"/>
                <w:color w:val="auto"/>
                <w:w w:val="95"/>
              </w:rPr>
              <w:t>F-1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Communications, Inc.</w:t>
      </w:r>
    </w:p>
    <w:p>
      <w:pPr>
        <w:spacing w:after="0" w:line="23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audited the accompanying consolidated balance sheets of ClearOne Communications, Inc. and subsidiaries (the Company) as of December 31, 2009 and June 30, 2009 and 2008, and the related consolidated statements of operations and comprehensive income, shareholders’ equity, and cash flows for the six months ended December 31, 2009 and years ended June 30, 2009 and 2008. The Company’s management is responsible for these financial statements. Our responsibility is to express an opinion on these financial statements based on our audits.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 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ClearOne Communications, Inc. and subsidiaries as of December 31, 2009 and June 30, 2009 and 2008, and the results of its operations and its cash flows for the six months ended December 31, 2009 and years ended June 30, 2009 and 2008 in conformity with accounting principles generally accepted in the United States of America.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2010</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2009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4"/>
              </w:rPr>
              <w:t>June 30, 2009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1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7"/>
              </w:rPr>
              <w:t>Receivables, net of allowance for doubtful accounts of $103, $103 and $87, respectively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Deposit, bond for preliminary injunction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Intangibles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 term debt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spacing w:after="0" w:line="201" w:lineRule="exact"/>
              <w:rPr>
                <w:sz w:val="20"/>
                <w:szCs w:val="20"/>
                <w:color w:val="auto"/>
              </w:rPr>
            </w:pPr>
            <w:r>
              <w:rPr>
                <w:rFonts w:ascii="Arial" w:cs="Arial" w:eastAsia="Arial" w:hAnsi="Arial"/>
                <w:sz w:val="18"/>
                <w:szCs w:val="18"/>
                <w:color w:val="auto"/>
                <w:w w:val="93"/>
              </w:rPr>
              <w:t>Common stock, par value $0.001, 50,000,000 shares authorized, 8,929,134, 8,928,802 and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10,228,902 shares issued and outstanding, 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29,098</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28,486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31,562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(in thousands of dollars,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Six Months ended</w:t>
            </w:r>
          </w:p>
        </w:tc>
        <w:tc>
          <w:tcPr>
            <w:tcW w:w="12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 2009</w:t>
            </w:r>
          </w:p>
        </w:tc>
        <w:tc>
          <w:tcPr>
            <w:tcW w:w="1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June 30, 2009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16,836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35,700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20,377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3,493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Insurance settlement proceeds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net</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Gain on disposal of discontinued operations, net of taxes of $9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Unrealized gain (loss) on marketable securities, net of taxes of 2, ($415) and $413,</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8,928,970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9,213,731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10,694,401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9,045,842</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9,338,320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10,798,281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4"/>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Borders>
              <w:bottom w:val="single" w:sz="8" w:color="auto"/>
            </w:tcBorders>
            <w:gridSpan w:val="4"/>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200" w:type="dxa"/>
            <w:vAlign w:val="bottom"/>
            <w:gridSpan w:val="2"/>
          </w:tcPr>
          <w:p>
            <w:pPr>
              <w:spacing w:after="0"/>
              <w:rPr>
                <w:sz w:val="20"/>
                <w:szCs w:val="20"/>
                <w:color w:val="auto"/>
              </w:rPr>
            </w:pPr>
            <w:r>
              <w:rPr>
                <w:rFonts w:ascii="Arial" w:cs="Arial" w:eastAsia="Arial" w:hAnsi="Arial"/>
                <w:sz w:val="14"/>
                <w:szCs w:val="14"/>
                <w:color w:val="auto"/>
              </w:rPr>
              <w:t>Balances at June 30, 2007</w:t>
            </w:r>
          </w:p>
        </w:tc>
        <w:tc>
          <w:tcPr>
            <w:tcW w:w="1440" w:type="dxa"/>
            <w:vAlign w:val="bottom"/>
            <w:gridSpan w:val="3"/>
          </w:tcPr>
          <w:p>
            <w:pPr>
              <w:jc w:val="right"/>
              <w:ind w:right="140"/>
              <w:spacing w:after="0"/>
              <w:rPr>
                <w:sz w:val="20"/>
                <w:szCs w:val="20"/>
                <w:color w:val="auto"/>
              </w:rPr>
            </w:pPr>
            <w:r>
              <w:rPr>
                <w:rFonts w:ascii="Arial" w:cs="Arial" w:eastAsia="Arial" w:hAnsi="Arial"/>
                <w:sz w:val="14"/>
                <w:szCs w:val="14"/>
                <w:color w:val="auto"/>
              </w:rPr>
              <w:t>10,861,920</w:t>
            </w:r>
          </w:p>
        </w:tc>
        <w:tc>
          <w:tcPr>
            <w:tcW w:w="100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47,582</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line="197"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(17,336)</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30,257</w:t>
            </w:r>
          </w:p>
        </w:tc>
        <w:tc>
          <w:tcPr>
            <w:tcW w:w="0" w:type="dxa"/>
            <w:vAlign w:val="bottom"/>
          </w:tcPr>
          <w:p>
            <w:pPr>
              <w:spacing w:after="0"/>
              <w:rPr>
                <w:sz w:val="1"/>
                <w:szCs w:val="1"/>
                <w:color w:val="auto"/>
              </w:rPr>
            </w:pPr>
          </w:p>
        </w:tc>
      </w:tr>
      <w:tr>
        <w:trPr>
          <w:trHeight w:val="167"/>
        </w:trPr>
        <w:tc>
          <w:tcPr>
            <w:tcW w:w="3200" w:type="dxa"/>
            <w:vAlign w:val="bottom"/>
            <w:gridSpan w:val="2"/>
          </w:tcPr>
          <w:p>
            <w:pPr>
              <w:spacing w:after="0"/>
              <w:rPr>
                <w:sz w:val="20"/>
                <w:szCs w:val="20"/>
                <w:color w:val="auto"/>
              </w:rPr>
            </w:pPr>
            <w:r>
              <w:rPr>
                <w:rFonts w:ascii="Arial" w:cs="Arial" w:eastAsia="Arial" w:hAnsi="Arial"/>
                <w:sz w:val="14"/>
                <w:szCs w:val="14"/>
                <w:color w:val="auto"/>
              </w:rPr>
              <w:t>Stock buy back program</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(834,646)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(4,354)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4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228,368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w w:val="93"/>
              </w:rPr>
              <w:t>Shares received/retired upon exercise of stock options</w:t>
            </w:r>
          </w:p>
        </w:tc>
        <w:tc>
          <w:tcPr>
            <w:tcW w:w="14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(28,066)</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stock option exercise</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w w:val="99"/>
              </w:rPr>
              <w:t>Compensation cost associated with ASC Topic 718</w:t>
            </w:r>
          </w:p>
        </w:tc>
        <w:tc>
          <w:tcPr>
            <w:tcW w:w="1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14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1,326</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Adoption of ASC Topic 740</w:t>
            </w:r>
          </w:p>
        </w:tc>
        <w:tc>
          <w:tcPr>
            <w:tcW w:w="140" w:type="dxa"/>
            <w:vAlign w:val="bottom"/>
          </w:tcPr>
          <w:p>
            <w:pPr>
              <w:spacing w:after="0"/>
              <w:rPr>
                <w:sz w:val="12"/>
                <w:szCs w:val="12"/>
                <w:color w:val="auto"/>
              </w:rPr>
            </w:pP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Unrealized loss on marketable securities, net of tax</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Balances at June 30, 2008</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10,228,902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44,618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(12,372)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31,562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Stock buy back program</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(1,342,620)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4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40,799</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Compensation cost associated with ASC Topic 718</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14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1,721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Unrealized gain on marketable securities, net of tax</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June 30, 2009</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8,928,802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38,616</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(10,145)</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w w:val="99"/>
              </w:rPr>
              <w:t>Compensation cost associated with ASC Topic 718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4"/>
                <w:szCs w:val="14"/>
                <w:color w:val="auto"/>
              </w:rPr>
              <w:t>Employee Stock Purchase Plan</w:t>
            </w:r>
          </w:p>
        </w:tc>
        <w:tc>
          <w:tcPr>
            <w:tcW w:w="1440" w:type="dxa"/>
            <w:vAlign w:val="bottom"/>
            <w:gridSpan w:val="3"/>
          </w:tcPr>
          <w:p>
            <w:pPr>
              <w:jc w:val="right"/>
              <w:ind w:right="140"/>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w w:val="99"/>
              </w:rPr>
              <w:t>Unrealized loss on marketable securities, net of tax</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2009</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8,929,134</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38,810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(9,721)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Six months ended</w:t>
            </w:r>
          </w:p>
        </w:tc>
        <w:tc>
          <w:tcPr>
            <w:tcW w:w="1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 2009</w:t>
            </w:r>
          </w:p>
        </w:tc>
        <w:tc>
          <w:tcPr>
            <w:tcW w:w="1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June 30, 2009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rPr>
                <w:sz w:val="20"/>
                <w:szCs w:val="20"/>
                <w:color w:val="auto"/>
              </w:rPr>
            </w:pPr>
            <w:r>
              <w:rPr>
                <w:rFonts w:ascii="Arial" w:cs="Arial" w:eastAsia="Arial" w:hAnsi="Arial"/>
                <w:sz w:val="16"/>
                <w:szCs w:val="16"/>
                <w:color w:val="auto"/>
              </w:rPr>
              <w:t>Net income from continuing operations</w:t>
            </w:r>
          </w:p>
        </w:tc>
        <w:tc>
          <w:tcPr>
            <w:tcW w:w="2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424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2,227</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5,243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Adjustments to reconcile net income (loss) from continuing operations</w:t>
            </w:r>
          </w:p>
        </w:tc>
        <w:tc>
          <w:tcPr>
            <w:tcW w:w="23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1"/>
              </w:rPr>
              <w:t>to net cash provided by (used</w:t>
            </w: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 operations: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640"/>
              <w:spacing w:after="0"/>
              <w:rPr>
                <w:sz w:val="20"/>
                <w:szCs w:val="20"/>
                <w:color w:val="auto"/>
              </w:rPr>
            </w:pPr>
            <w:r>
              <w:rPr>
                <w:rFonts w:ascii="Arial" w:cs="Arial" w:eastAsia="Arial" w:hAnsi="Arial"/>
                <w:sz w:val="16"/>
                <w:szCs w:val="16"/>
                <w:color w:val="auto"/>
              </w:rPr>
              <w:t>Impairment on marketable securities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Depreciation and amortization expense</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640"/>
              <w:spacing w:after="0"/>
              <w:rPr>
                <w:sz w:val="20"/>
                <w:szCs w:val="20"/>
                <w:color w:val="auto"/>
              </w:rPr>
            </w:pPr>
            <w:r>
              <w:rPr>
                <w:rFonts w:ascii="Arial" w:cs="Arial" w:eastAsia="Arial" w:hAnsi="Arial"/>
                <w:sz w:val="16"/>
                <w:szCs w:val="16"/>
                <w:color w:val="auto"/>
              </w:rPr>
              <w:t>Stock-based compensation</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Provision for doubtful accounts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640"/>
              <w:spacing w:after="0"/>
              <w:rPr>
                <w:sz w:val="20"/>
                <w:szCs w:val="20"/>
                <w:color w:val="auto"/>
              </w:rPr>
            </w:pPr>
            <w:r>
              <w:rPr>
                <w:rFonts w:ascii="Arial" w:cs="Arial" w:eastAsia="Arial" w:hAnsi="Arial"/>
                <w:sz w:val="16"/>
                <w:szCs w:val="16"/>
                <w:color w:val="auto"/>
              </w:rPr>
              <w:t>Increase (decrease) in reserves against inventory</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2,293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Write-off of note receivable</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640"/>
              <w:spacing w:after="0"/>
              <w:rPr>
                <w:sz w:val="20"/>
                <w:szCs w:val="20"/>
                <w:color w:val="auto"/>
              </w:rPr>
            </w:pPr>
            <w:r>
              <w:rPr>
                <w:rFonts w:ascii="Arial" w:cs="Arial" w:eastAsia="Arial" w:hAnsi="Arial"/>
                <w:sz w:val="16"/>
                <w:szCs w:val="16"/>
                <w:color w:val="auto"/>
              </w:rPr>
              <w:t>Gain on sale of marketable securities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loss on disposal of assets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640"/>
              <w:spacing w:after="0"/>
              <w:rPr>
                <w:sz w:val="20"/>
                <w:szCs w:val="20"/>
                <w:color w:val="auto"/>
              </w:rPr>
            </w:pPr>
            <w:r>
              <w:rPr>
                <w:rFonts w:ascii="Arial" w:cs="Arial" w:eastAsia="Arial" w:hAnsi="Arial"/>
                <w:sz w:val="16"/>
                <w:szCs w:val="16"/>
                <w:color w:val="auto"/>
              </w:rPr>
              <w:t>Changes in operating assets and liabilities: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960"/>
              <w:spacing w:after="0"/>
              <w:rPr>
                <w:sz w:val="20"/>
                <w:szCs w:val="20"/>
                <w:color w:val="auto"/>
              </w:rPr>
            </w:pPr>
            <w:r>
              <w:rPr>
                <w:rFonts w:ascii="Arial" w:cs="Arial" w:eastAsia="Arial" w:hAnsi="Arial"/>
                <w:sz w:val="16"/>
                <w:szCs w:val="16"/>
                <w:color w:val="auto"/>
              </w:rPr>
              <w:t>Deposit, bond for preliminary injunction</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908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Inventories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4,343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960"/>
              <w:spacing w:after="0"/>
              <w:rPr>
                <w:sz w:val="20"/>
                <w:szCs w:val="20"/>
                <w:color w:val="auto"/>
              </w:rPr>
            </w:pPr>
            <w:r>
              <w:rPr>
                <w:rFonts w:ascii="Arial" w:cs="Arial" w:eastAsia="Arial" w:hAnsi="Arial"/>
                <w:sz w:val="16"/>
                <w:szCs w:val="16"/>
                <w:color w:val="auto"/>
              </w:rPr>
              <w:t>Deferred income taxes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Prepaids expenses and other assets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960"/>
              <w:spacing w:after="0"/>
              <w:rPr>
                <w:sz w:val="20"/>
                <w:szCs w:val="20"/>
                <w:color w:val="auto"/>
              </w:rPr>
            </w:pPr>
            <w:r>
              <w:rPr>
                <w:rFonts w:ascii="Arial" w:cs="Arial" w:eastAsia="Arial" w:hAnsi="Arial"/>
                <w:sz w:val="16"/>
                <w:szCs w:val="16"/>
                <w:color w:val="auto"/>
              </w:rPr>
              <w:t>Accounts payable</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2,402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Accrued liabilities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(1,188)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960"/>
              <w:spacing w:after="0"/>
              <w:rPr>
                <w:sz w:val="20"/>
                <w:szCs w:val="20"/>
                <w:color w:val="auto"/>
              </w:rPr>
            </w:pPr>
            <w:r>
              <w:rPr>
                <w:rFonts w:ascii="Arial" w:cs="Arial" w:eastAsia="Arial" w:hAnsi="Arial"/>
                <w:sz w:val="16"/>
                <w:szCs w:val="16"/>
                <w:color w:val="auto"/>
              </w:rPr>
              <w:t>Deferred product revenue</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long term liabilities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tcPr>
          <w:p>
            <w:pPr>
              <w:ind w:left="1280"/>
              <w:spacing w:after="0"/>
              <w:rPr>
                <w:sz w:val="20"/>
                <w:szCs w:val="20"/>
                <w:color w:val="auto"/>
              </w:rPr>
            </w:pPr>
            <w:r>
              <w:rPr>
                <w:rFonts w:ascii="Arial" w:cs="Arial" w:eastAsia="Arial" w:hAnsi="Arial"/>
                <w:sz w:val="16"/>
                <w:szCs w:val="16"/>
                <w:color w:val="auto"/>
              </w:rPr>
              <w:t>Net cash provided by (used in) continuing operating activities</w:t>
            </w:r>
          </w:p>
        </w:tc>
        <w:tc>
          <w:tcPr>
            <w:tcW w:w="1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(1,921)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of NetStreams, Inc. (net of cash acquired)</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(1,643)</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320"/>
              <w:spacing w:after="0"/>
              <w:rPr>
                <w:sz w:val="20"/>
                <w:szCs w:val="20"/>
                <w:color w:val="auto"/>
              </w:rPr>
            </w:pPr>
            <w:r>
              <w:rPr>
                <w:rFonts w:ascii="Arial" w:cs="Arial" w:eastAsia="Arial" w:hAnsi="Arial"/>
                <w:sz w:val="16"/>
                <w:szCs w:val="16"/>
                <w:color w:val="auto"/>
              </w:rPr>
              <w:t>Purchase of property and equipment</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 of property and equipment</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320"/>
              <w:spacing w:after="0"/>
              <w:rPr>
                <w:sz w:val="20"/>
                <w:szCs w:val="20"/>
                <w:color w:val="auto"/>
              </w:rPr>
            </w:pPr>
            <w:r>
              <w:rPr>
                <w:rFonts w:ascii="Arial" w:cs="Arial" w:eastAsia="Arial" w:hAnsi="Arial"/>
                <w:sz w:val="16"/>
                <w:szCs w:val="16"/>
                <w:color w:val="auto"/>
              </w:rPr>
              <w:t>Purchase of intangible assets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marketable securities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320"/>
              <w:spacing w:after="0"/>
              <w:rPr>
                <w:sz w:val="20"/>
                <w:szCs w:val="20"/>
                <w:color w:val="auto"/>
              </w:rPr>
            </w:pPr>
            <w:r>
              <w:rPr>
                <w:rFonts w:ascii="Arial" w:cs="Arial" w:eastAsia="Arial" w:hAnsi="Arial"/>
                <w:sz w:val="16"/>
                <w:szCs w:val="16"/>
                <w:color w:val="auto"/>
              </w:rPr>
              <w:t>Sale of marketable securities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17,356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16,897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Net cash (used in) provided by continuing investing activities</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960"/>
              <w:spacing w:after="0"/>
              <w:rPr>
                <w:sz w:val="20"/>
                <w:szCs w:val="20"/>
                <w:color w:val="auto"/>
              </w:rPr>
            </w:pPr>
            <w:r>
              <w:rPr>
                <w:rFonts w:ascii="Arial" w:cs="Arial" w:eastAsia="Arial" w:hAnsi="Arial"/>
                <w:sz w:val="16"/>
                <w:szCs w:val="16"/>
                <w:color w:val="auto"/>
              </w:rPr>
              <w:t>Net cash provided by discontinued investing activities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6"/>
                <w:szCs w:val="16"/>
                <w:color w:val="auto"/>
                <w:w w:val="99"/>
              </w:rPr>
              <w:t>Net cash (used in) provided by investing activities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Borders>
              <w:top w:val="single" w:sz="8" w:color="CCEEFF"/>
            </w:tcBorders>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320"/>
              <w:spacing w:after="0"/>
              <w:rPr>
                <w:sz w:val="20"/>
                <w:szCs w:val="20"/>
                <w:color w:val="auto"/>
              </w:rPr>
            </w:pPr>
            <w:r>
              <w:rPr>
                <w:rFonts w:ascii="Arial" w:cs="Arial" w:eastAsia="Arial" w:hAnsi="Arial"/>
                <w:sz w:val="16"/>
                <w:szCs w:val="16"/>
                <w:color w:val="auto"/>
              </w:rPr>
              <w:t>Proceeds from the issuance of common stock - options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purchased and retired</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320"/>
              <w:spacing w:after="0"/>
              <w:rPr>
                <w:sz w:val="20"/>
                <w:szCs w:val="20"/>
                <w:color w:val="auto"/>
              </w:rPr>
            </w:pPr>
            <w:r>
              <w:rPr>
                <w:rFonts w:ascii="Arial" w:cs="Arial" w:eastAsia="Arial" w:hAnsi="Arial"/>
                <w:sz w:val="16"/>
                <w:szCs w:val="16"/>
                <w:color w:val="auto"/>
              </w:rPr>
              <w:t>Tax benefit from stock options</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Net cash used in financing activities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tcBorders>
              <w:top w:val="single" w:sz="8" w:color="CCEEFF"/>
            </w:tcBorders>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3,327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2,782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year</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Dec ember 31, 2009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June 30, 2009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62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20"/>
              <w:spacing w:after="0"/>
              <w:rPr>
                <w:sz w:val="20"/>
                <w:szCs w:val="20"/>
                <w:color w:val="auto"/>
              </w:rPr>
            </w:pPr>
            <w:r>
              <w:rPr>
                <w:rFonts w:ascii="Arial" w:cs="Arial" w:eastAsia="Arial" w:hAnsi="Arial"/>
                <w:sz w:val="16"/>
                <w:szCs w:val="16"/>
                <w:color w:val="auto"/>
              </w:rPr>
              <w:t>Cash paid for interest</w:t>
            </w:r>
          </w:p>
        </w:tc>
        <w:tc>
          <w:tcPr>
            <w:tcW w:w="2040" w:type="dxa"/>
            <w:vAlign w:val="bottom"/>
            <w:gridSpan w:val="2"/>
          </w:tcPr>
          <w:p>
            <w:pPr>
              <w:jc w:val="right"/>
              <w:ind w:right="1268"/>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income taxes</w:t>
            </w:r>
          </w:p>
        </w:tc>
        <w:tc>
          <w:tcPr>
            <w:tcW w:w="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non-cash activities:</w:t>
            </w:r>
          </w:p>
        </w:tc>
        <w:tc>
          <w:tcPr>
            <w:tcW w:w="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Exchanged accounts receivable from a vendor with accounts payable to the same vendor</w:t>
            </w:r>
          </w:p>
        </w:tc>
        <w:tc>
          <w:tcPr>
            <w:tcW w:w="2040" w:type="dxa"/>
            <w:vAlign w:val="bottom"/>
            <w:gridSpan w:val="2"/>
            <w:shd w:val="clear" w:color="auto" w:fill="CCEEFF"/>
          </w:tcPr>
          <w:p>
            <w:pPr>
              <w:jc w:val="right"/>
              <w:ind w:right="1268"/>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Adoption of ASC Topic 740</w:t>
            </w: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(loss) on marketable securities, net of tax of $2, ($415) and $413</w:t>
            </w:r>
          </w:p>
        </w:tc>
        <w:tc>
          <w:tcPr>
            <w:tcW w:w="6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Acquired NetStreams, Inc. in exchange for cash of $1,454 and recorded the following assets and liabilities:</w:t>
      </w:r>
    </w:p>
    <w:p>
      <w:pPr>
        <w:sectPr>
          <w:pgSz w:w="11900" w:h="16838" w:orient="portrait"/>
          <w:cols w:equalWidth="0" w:num="1">
            <w:col w:w="11420"/>
          </w:cols>
          <w:pgMar w:left="240" w:top="118" w:right="23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361886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Other Current Assets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Accrued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Intangible Assets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ind w:right="1240"/>
        <w:spacing w:after="0" w:line="276" w:lineRule="auto"/>
        <w:rPr>
          <w:sz w:val="20"/>
          <w:szCs w:val="20"/>
          <w:color w:val="auto"/>
        </w:rPr>
      </w:pPr>
      <w:r>
        <w:rPr>
          <w:rFonts w:ascii="Arial" w:cs="Arial" w:eastAsia="Arial" w:hAnsi="Arial"/>
          <w:sz w:val="16"/>
          <w:szCs w:val="16"/>
          <w:color w:val="auto"/>
        </w:rPr>
        <w:t>Current maturities of long-term debt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61886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b w:val="1"/>
          <w:bCs w:val="1"/>
          <w:color w:val="auto"/>
        </w:rPr>
        <w:t>Total purchase price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Additional cash placed in escrow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Less: Cash acquired</w:t>
      </w:r>
    </w:p>
    <w:p>
      <w:pPr>
        <w:spacing w:after="0" w:line="38" w:lineRule="exact"/>
        <w:rPr>
          <w:sz w:val="20"/>
          <w:szCs w:val="20"/>
          <w:color w:val="auto"/>
        </w:rPr>
      </w:pPr>
    </w:p>
    <w:p>
      <w:pPr>
        <w:jc w:val="right"/>
        <w:ind w:right="1200"/>
        <w:spacing w:after="0"/>
        <w:rPr>
          <w:sz w:val="20"/>
          <w:szCs w:val="20"/>
          <w:color w:val="auto"/>
        </w:rPr>
      </w:pPr>
      <w:r>
        <w:rPr>
          <w:rFonts w:ascii="Arial" w:cs="Arial" w:eastAsia="Arial" w:hAnsi="Arial"/>
          <w:sz w:val="16"/>
          <w:szCs w:val="16"/>
          <w:b w:val="1"/>
          <w:bCs w:val="1"/>
          <w:color w:val="auto"/>
        </w:rPr>
        <w:t>Net cash paid in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61886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361886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100" w:hanging="1090"/>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161</w:t>
      </w:r>
    </w:p>
    <w:p>
      <w:pPr>
        <w:spacing w:after="0" w:line="2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266</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1,204</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72</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(1,384)</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(576)</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227</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3,120</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669</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(2,000)</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(305)</w:t>
      </w:r>
    </w:p>
    <w:p>
      <w:pPr>
        <w:spacing w:after="0" w:line="38" w:lineRule="exact"/>
        <w:rPr>
          <w:sz w:val="20"/>
          <w:szCs w:val="20"/>
          <w:color w:val="auto"/>
        </w:rPr>
      </w:pPr>
    </w:p>
    <w:p>
      <w:pPr>
        <w:ind w:left="960" w:hanging="950"/>
        <w:spacing w:after="0"/>
        <w:tabs>
          <w:tab w:leader="none" w:pos="9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1,454</w:t>
      </w:r>
    </w:p>
    <w:p>
      <w:pPr>
        <w:spacing w:after="0" w:line="2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6"/>
          <w:szCs w:val="16"/>
          <w:color w:val="auto"/>
        </w:rPr>
        <w:t>350</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8407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840740" cy="17145"/>
                    </a:xfrm>
                    <a:prstGeom prst="rect">
                      <a:avLst/>
                    </a:prstGeom>
                    <a:noFill/>
                  </pic:spPr>
                </pic:pic>
              </a:graphicData>
            </a:graphic>
          </wp:anchor>
        </w:drawing>
      </w:r>
    </w:p>
    <w:p>
      <w:pPr>
        <w:spacing w:after="0" w:line="18" w:lineRule="exact"/>
        <w:rPr>
          <w:sz w:val="20"/>
          <w:szCs w:val="20"/>
          <w:color w:val="auto"/>
        </w:rPr>
      </w:pPr>
    </w:p>
    <w:p>
      <w:pPr>
        <w:ind w:left="960" w:hanging="950"/>
        <w:spacing w:after="0"/>
        <w:tabs>
          <w:tab w:leader="none" w:pos="9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1,643</w:t>
      </w:r>
    </w:p>
    <w:p>
      <w:pPr>
        <w:spacing w:after="0" w:line="200" w:lineRule="exact"/>
        <w:rPr>
          <w:sz w:val="20"/>
          <w:szCs w:val="20"/>
          <w:color w:val="auto"/>
        </w:rPr>
      </w:pPr>
    </w:p>
    <w:p>
      <w:pPr>
        <w:sectPr>
          <w:pgSz w:w="11900" w:h="16838" w:orient="portrait"/>
          <w:cols w:equalWidth="0" w:num="2">
            <w:col w:w="3600" w:space="720"/>
            <w:col w:w="7100"/>
          </w:cols>
          <w:pgMar w:left="240" w:top="118"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personal conferencing products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Change in Fiscal Year </w:t>
      </w:r>
      <w:r>
        <w:rPr>
          <w:rFonts w:ascii="Arial" w:cs="Arial" w:eastAsia="Arial" w:hAnsi="Arial"/>
          <w:sz w:val="16"/>
          <w:szCs w:val="16"/>
          <w:color w:val="auto"/>
        </w:rPr>
        <w:t>– On November 30, 2009 the Board of Directors approved to change the Company’s fiscal year from a June 30 fiscal year end to a</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fiscal year end. This report on Form 10-KT is a transition report for the six-month transition period ended on December 31, 2009.</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discontinued operations portion of these consolidated financial statements include transactions from our previously wholly owned subsidiaries. All intercompany accounts and transactions have been eliminated in consolidation. Certain prior year amounts have been reclassified to conform to the current year presentation.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 r materially from these estimates.</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–The results of operations for the Company’s foreign subsidiary in the United Kingdom are recorded by the subsidiary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British Pound and remeasured in the U.S. Dollar. Assets and liabilities are translated into U.S. dollars at the exchange rate prevailing on the balance sheet date or the historical rate, as appropriate. Revenue and expenses are translated at average rates of exchange prevailing during the period. Upon making the translations to the U.S. Dollar we concluded that as of the balance sheet date the impact of such re-measurements was immaterial and as such have been posted through our statement of income as opposed to including them in other comprehensive income.</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 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equivalents. The Company places its temporary cash investments with high-quality financial institutions. At times, such investments may be in excess of the Federal Deposit Insurance Corporation insurance limits.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 The Company’s marketable securities classified as available-for-sale securities, are carried at fair value which approximated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have original maturities of greater than one year. Management determines the appropriate classifications of investments at the time of purchase, based on management’s intent to use these investments during the normal operating cycle of the business, and reevaluates such designation as of each balance sheet date.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considers highly liquid marketable securities with an effective maturity to the Company of less than one year, and held as available-for-sale, to be current assets. The Company defines effective maturity as the shorter of the original maturity to the Company or the effective availability as a result of periodic auction or optional redemption features of these marketable securities.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regularly monitors and evaluates the value of its marketable securities. In accordance with the provisions of the FASB ASC Topic 320, </w:t>
      </w:r>
      <w:r>
        <w:rPr>
          <w:rFonts w:ascii="Arial" w:cs="Arial" w:eastAsia="Arial" w:hAnsi="Arial"/>
          <w:sz w:val="17"/>
          <w:szCs w:val="17"/>
          <w:i w:val="1"/>
          <w:iCs w:val="1"/>
          <w:color w:val="auto"/>
        </w:rPr>
        <w:t>Investments –Debt and Equity Securities</w:t>
      </w:r>
      <w:r>
        <w:rPr>
          <w:rFonts w:ascii="Arial" w:cs="Arial" w:eastAsia="Arial" w:hAnsi="Arial"/>
          <w:sz w:val="17"/>
          <w:szCs w:val="17"/>
          <w:color w:val="auto"/>
        </w:rPr>
        <w:t>, and related guidance issued by FASB and the SEC which calls for the classification of impairments as “temporary”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“other-than-temporary.” A temporary impairment charge results in an unrealized loss being recorded in the other comprehensive income (loss) component of stockholders’ equity. Such an unrealized loss does not affect net income (loss) for the applicable reporting period. An other-than-temporary impairment charge is recorded as a recognized loss in the consolidated statement of operations and reduces net income (loss) for the applicabl e reporting period. The differentiating factors between temporary and other-than-temporary impairment are primarily the length of the time and the extent to which the market value has been less than cost, the financial condition and near-term prospects of the issuer and the intent and ability of the Company to retain its investment with the issuer for a period of time sufficient to allow for any anticipated recovery in market value.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 dit rating agencies.</w:t>
      </w:r>
    </w:p>
    <w:p>
      <w:pPr>
        <w:spacing w:after="0" w:line="180"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 decline in the market value of any available-for-sale security below cost that is deemed to be other-than-temporary results in a reduction in carrying amount to fair value. The impairment is charged to earnings and a new cost basis for the security is established. During 2008 the Company recognized an other-than-temporary impairment. Please refer to </w:t>
      </w:r>
      <w:hyperlink w:anchor="page67">
        <w:r>
          <w:rPr>
            <w:rFonts w:ascii="Arial" w:cs="Arial" w:eastAsia="Arial" w:hAnsi="Arial"/>
            <w:sz w:val="18"/>
            <w:szCs w:val="18"/>
            <w:u w:val="single" w:color="auto"/>
            <w:color w:val="0000EE"/>
          </w:rPr>
          <w:t>Note 6 – Marketable Securities</w:t>
        </w:r>
      </w:hyperlink>
      <w:r>
        <w:rPr>
          <w:rFonts w:ascii="Arial" w:cs="Arial" w:eastAsia="Arial" w:hAnsi="Arial"/>
          <w:sz w:val="18"/>
          <w:szCs w:val="18"/>
          <w:color w:val="auto"/>
        </w:rPr>
        <w:t>.</w:t>
      </w:r>
    </w:p>
    <w:p>
      <w:pPr>
        <w:spacing w:after="0" w:line="2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Accounts receivable are recorded at the invoiced amount. Generally, credit is granted to customers without requiring collateral on a</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basis; thus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future periods or reverse amounts provided in prior periods.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allowance for doubtful accounts activity for the period ended December 31, 2009 and fiscal years ended June 30, 2009 and 2008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Six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December 31, 2009</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June 30, 2009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June 30, 2008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Charged to Costs and Expenses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includes product that has been delivered to customers for which revenue recognition criteria have not been met.</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inventory also includes advance replacement units valued at cost provided by the Company to end-users to service defective products under warranty. The value of advance replacement units included in the inventory was $108, $23 and $165, as of December 31, 2009, June 30, 2009 and June 30, 2008, respectively.</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stated at cost less accumulated depreciation and amortization. Expenditures that materially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w:t>
      </w:r>
    </w:p>
    <w:p>
      <w:pPr>
        <w:spacing w:after="0" w:line="15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1" w:lineRule="exact"/>
        <w:rPr>
          <w:sz w:val="20"/>
          <w:szCs w:val="20"/>
          <w:color w:val="auto"/>
        </w:rPr>
      </w:pPr>
    </w:p>
    <w:p>
      <w:pPr>
        <w:ind w:right="60"/>
        <w:spacing w:after="0" w:line="287" w:lineRule="auto"/>
        <w:rPr>
          <w:rFonts w:ascii="Arial" w:cs="Arial" w:eastAsia="Arial" w:hAnsi="Arial"/>
          <w:sz w:val="16"/>
          <w:szCs w:val="16"/>
          <w:color w:val="auto"/>
        </w:rPr>
      </w:pPr>
      <w:r>
        <w:rPr>
          <w:rFonts w:ascii="Arial" w:cs="Arial" w:eastAsia="Arial" w:hAnsi="Arial"/>
          <w:sz w:val="16"/>
          <w:szCs w:val="16"/>
          <w:i w:val="1"/>
          <w:iCs w:val="1"/>
          <w:color w:val="auto"/>
        </w:rPr>
        <w:t>Goodwill and Intangible assets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to be indefinite. Intangible assets are carried at cost, less accumulated amortization. Amortization is computed over the estimated useful lives of the respective assets, generally two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6"/>
          <w:szCs w:val="16"/>
          <w:i w:val="1"/>
          <w:iCs w:val="1"/>
          <w:color w:val="auto"/>
        </w:rPr>
        <w:t>Intan gibles – Goodwill and Other</w:t>
      </w:r>
      <w:r>
        <w:rPr>
          <w:rFonts w:ascii="Arial" w:cs="Arial" w:eastAsia="Arial" w:hAnsi="Arial"/>
          <w:sz w:val="16"/>
          <w:szCs w:val="16"/>
          <w:color w:val="auto"/>
        </w:rPr>
        <w:t>, the Company tests goodwill and other intangible assets with indefinite lives for impairment at least annually,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market value of the reporting unit is allocated to all of its assets and liabilities including intangible assets with indefinite lives. The excess, if any, of the fair market value of the reporting unit over the sum of the fair market values allocated to identified assets and liabilities is the calculated value of goodwill to be compared to its carrying value (</w:t>
      </w:r>
      <w:hyperlink w:anchor="page64">
        <w:r>
          <w:rPr>
            <w:rFonts w:ascii="Arial" w:cs="Arial" w:eastAsia="Arial" w:hAnsi="Arial"/>
            <w:sz w:val="16"/>
            <w:szCs w:val="16"/>
            <w:u w:val="single" w:color="auto"/>
            <w:color w:val="0000EE"/>
          </w:rPr>
          <w:t>Note 3 &amp;# 8211; Business Combinations, Goodwill and Intangibles</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provides a right of return on product sales to major distributors and other resellers under a product rotation program. Under this seldom used program, a distributor or reseller is allowed to return once a quarter products purchased during the prior 180 days for a total value generally not exceeding 15% of the distributor or reseller’s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The Company evaluates, at each quarter-end, the inventory in the channel through information provided by our distributors. The level of inventory in the channel will fluctuate up or down, each quarter, based upon our distributors’ individual operations. Accordingly, each quarter-end revenue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amounts of deferred cost of goods sold are included in consigned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As of</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December 31, 2009</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June 30, 2009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4"/>
              </w:rPr>
              <w:t>June 30, 2008</w:t>
            </w:r>
          </w:p>
        </w:tc>
        <w:tc>
          <w:tcPr>
            <w:tcW w:w="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4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5,795</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2,047</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4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3,748</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F-11</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volume of product purchased by them. The Company records rebates as a reduction of revenue in accordance with GAAP.</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are not revenue generating, the Company tracks the units due from the end-user, valued at retail price, until the defective unit has been returned, but no receivable balance is maintained on the Company’s balance sheet. The retail value of in-transit advance replacement units was $896, $361 and $816, as of December 31, 2009, June 30, 2009 and June 30, 2008, respectively.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1"/>
              </w:rPr>
              <w:t>December 31, 2009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June 30, 2009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June 30, 2008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Accruals/additions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Usage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5"/>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media. Advertising expenses for the period ended December 31, 2009 and fiscal years ended June 30, 2009 and 2008 totaled $183, $786 and $943,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 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During the fiscal year ended June 30, 2009 the Company recorded a valuation allowance of $928 against capital and unrealized loss carryovers, certain state net operating loss carryovers and state research and development credits. During the fiscal year ended June 30, 2008 the Company reversed a $4,700 valuation allowance recorded primarily against deferred tax assets related to deferred revenue, inventory reserves, and accru ed liabilities.</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July 2006, the FASB issued new rules on recognizing the benefit from an uncertain tax position. These provisions are contained in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During the fiscal year ended June 30, 2008, the Company adopted these provisions to recognize tax benefit from an uncertain tax position.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recognizes the tax benefit from an uncertain tax position only if it is at least more likely than not that the tax position will be sustained on examination by the taxing authorities, based on the technical merits of the position.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Six months ended</w:t>
            </w: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December 31, 2009</w:t>
            </w:r>
          </w:p>
        </w:tc>
        <w:tc>
          <w:tcPr>
            <w:tcW w:w="8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5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320"/>
              <w:spacing w:after="0"/>
              <w:rPr>
                <w:sz w:val="20"/>
                <w:szCs w:val="20"/>
                <w:color w:val="auto"/>
              </w:rPr>
            </w:pPr>
            <w:r>
              <w:rPr>
                <w:rFonts w:ascii="Arial" w:cs="Arial" w:eastAsia="Arial" w:hAnsi="Arial"/>
                <w:sz w:val="16"/>
                <w:szCs w:val="16"/>
                <w:color w:val="auto"/>
              </w:rPr>
              <w:t>Income from continuing operations</w:t>
            </w:r>
          </w:p>
        </w:tc>
        <w:tc>
          <w:tcPr>
            <w:tcW w:w="9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424</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2,227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disposal of discontinued operations, net of tax</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6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424</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2,227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320"/>
              <w:spacing w:after="0"/>
              <w:rPr>
                <w:sz w:val="20"/>
                <w:szCs w:val="20"/>
                <w:color w:val="auto"/>
              </w:rPr>
            </w:pPr>
            <w:r>
              <w:rPr>
                <w:rFonts w:ascii="Arial" w:cs="Arial" w:eastAsia="Arial" w:hAnsi="Arial"/>
                <w:sz w:val="16"/>
                <w:szCs w:val="16"/>
                <w:color w:val="auto"/>
              </w:rPr>
              <w:t>Basic weighted average shares</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8,928,970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9,213,731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10,694,401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Dilutive common stock equivalents using treasury stock method</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116,872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124,589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top w:val="single" w:sz="8" w:color="CCEEFF"/>
            </w:tcBorders>
          </w:tcPr>
          <w:p>
            <w:pPr>
              <w:ind w:left="640"/>
              <w:spacing w:after="0"/>
              <w:rPr>
                <w:sz w:val="20"/>
                <w:szCs w:val="20"/>
                <w:color w:val="auto"/>
              </w:rPr>
            </w:pPr>
            <w:r>
              <w:rPr>
                <w:rFonts w:ascii="Arial" w:cs="Arial" w:eastAsia="Arial" w:hAnsi="Arial"/>
                <w:sz w:val="16"/>
                <w:szCs w:val="16"/>
                <w:color w:val="auto"/>
              </w:rPr>
              <w:t>Diluted weighted average shares</w:t>
            </w:r>
          </w:p>
        </w:tc>
        <w:tc>
          <w:tcPr>
            <w:tcW w:w="5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9,045,842</w:t>
            </w: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9,338,320</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10,798,281</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6"/>
                <w:szCs w:val="16"/>
                <w:color w:val="auto"/>
              </w:rPr>
              <w:t>Disposal of discontinued operations</w:t>
            </w:r>
          </w:p>
        </w:tc>
        <w:tc>
          <w:tcPr>
            <w:tcW w:w="9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6"/>
                <w:szCs w:val="16"/>
                <w:color w:val="auto"/>
              </w:rPr>
              <w:t>Disposal of discontinued operations</w:t>
            </w:r>
          </w:p>
        </w:tc>
        <w:tc>
          <w:tcPr>
            <w:tcW w:w="9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income</w:t>
            </w: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Options to purchase a weighted-average of 1,113,868, 1,146,697and 1,190,269 shares of common stock were outstanding during the period ended December 31, 2009 and fiscal years ended June 30, 2009 and 2008, respectively, but were not included in the computation of diluted earnings per share as the effect would be anti-dilutive.</w:t>
      </w:r>
    </w:p>
    <w:p>
      <w:pPr>
        <w:spacing w:after="0" w:line="20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The Company applies FASB ASC Topic 718,</w:t>
      </w:r>
      <w:r>
        <w:rPr>
          <w:rFonts w:ascii="Arial" w:cs="Arial" w:eastAsia="Arial" w:hAnsi="Arial"/>
          <w:sz w:val="18"/>
          <w:szCs w:val="18"/>
          <w:i w:val="1"/>
          <w:iCs w:val="1"/>
          <w:color w:val="auto"/>
        </w:rPr>
        <w:t xml:space="preserve"> Compensation – Stock Compensation</w:t>
      </w:r>
      <w:r>
        <w:rPr>
          <w:rFonts w:ascii="Arial" w:cs="Arial" w:eastAsia="Arial" w:hAnsi="Arial"/>
          <w:sz w:val="18"/>
          <w:szCs w:val="18"/>
          <w:color w:val="auto"/>
        </w:rPr>
        <w:t>. ASC Topic 718 establishes standards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ASC Topic 718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ind w:right="1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Effective July 1, 2005, the Company adopted guidelines included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 See </w:t>
      </w:r>
      <w:hyperlink w:anchor="page75">
        <w:r>
          <w:rPr>
            <w:rFonts w:ascii="Arial" w:cs="Arial" w:eastAsia="Arial" w:hAnsi="Arial"/>
            <w:sz w:val="17"/>
            <w:szCs w:val="17"/>
            <w:u w:val="single" w:color="auto"/>
            <w:color w:val="0000EE"/>
          </w:rPr>
          <w:t>Note 11 – Share Based Payment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information about the Company’s various share-based compensation plans, the impact of adoption of ASC Topic 718, and the assumptions used to calculate the fair value of share-based compensation.</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assumptions change in the application of ASC Topic 718 in future periods, the stock-based compensation cost ultimately recorded under ASC Topic 718 may differ significantly from what was recorded in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July 2009, FASB completed the codification of nongovernmental GAAP and issued Accounting Standards Codification (“ASC”). ASC supersedes existing pronouncements of FASB, Emerging Issues Task Force, American Institute of Certified Public Accountants and related accounting literature. Pursuant to this Codification, ASC remains the only official and authoritative source of GAAP and all other hierarchies of accounting literature is now considered non-authoritative. The Codification also includes relevant SEC pronouncements on accounting organized under the same topics under which the rest of the accounting topics are codified. ASC is effective for interim and annual periods ending after September 15,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 Goodwill and Intangibles</w:t>
      </w:r>
    </w:p>
    <w:p>
      <w:pPr>
        <w:spacing w:after="0" w:line="256"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On November 3, 2009 the Company acquired NetStreams, Inc. and its subsidiary NetStreams, LLC through a definitive merger agreement to acquire all of the outstanding capital stock (including common, preferred, share warrants, and outstanding options). NetStreams is a pioneer in digital media networks based on Internet Protocol (TCP/IP). NetStreams products, for commercial and residential use, combine audio/video content, meta-data and control signals into one stream for distribution over an IP network, incorporating industry standards while doing so. We believe the acquisition of NetStreams will enable ClearOne to enter new and large vertical markets such as digital signage and commercial sound distribution. The acquisition also brings intellectual property including several granted and pending patents related to NetStreams’ StreamNet® technology, which is used for streaming time-sensitive synchronous audio and video over a local area network (LAN). StreamNet provides AV practitioners the capability to achieve AV over IP solutions by removing the effect of network delays and packet losses. NetStreams’ products and technologies complement existing ClearOne products and provide a platform for future Audio and Video over IP solutions. ClearOne specializes in conferencing and collaboration technologies, while NetStreams is focused on multimedia and network technologies. The ClearOne and NetStreams products and technologies can stand alone or combine to provide more of the overall solution for customers.</w:t>
      </w:r>
    </w:p>
    <w:p>
      <w:pPr>
        <w:spacing w:after="0" w:line="210" w:lineRule="exact"/>
        <w:rPr>
          <w:sz w:val="20"/>
          <w:szCs w:val="20"/>
          <w:color w:val="auto"/>
        </w:rPr>
      </w:pPr>
    </w:p>
    <w:p>
      <w:pPr>
        <w:ind w:right="500"/>
        <w:spacing w:after="0" w:line="381" w:lineRule="auto"/>
        <w:rPr>
          <w:sz w:val="20"/>
          <w:szCs w:val="20"/>
          <w:color w:val="auto"/>
        </w:rPr>
      </w:pPr>
      <w:r>
        <w:rPr>
          <w:rFonts w:ascii="Arial" w:cs="Arial" w:eastAsia="Arial" w:hAnsi="Arial"/>
          <w:sz w:val="15"/>
          <w:szCs w:val="15"/>
          <w:color w:val="auto"/>
        </w:rPr>
        <w:t>Pursuant to the merger agreement, the Company initially paid $1,804 and received $350 after December 31, 2009 towards the final working capital adjustment. $350 is classified in the Consolidated Balance Sheet as of December 31, 2009 as a current asset under “Prepaid expenses and other assets”.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(in thousands of dollars, except per share amounts)</w:t>
      </w:r>
    </w:p>
    <w:p>
      <w:pPr>
        <w:spacing w:after="0"/>
        <w:rPr>
          <w:sz w:val="20"/>
          <w:szCs w:val="20"/>
          <w:color w:val="auto"/>
        </w:rPr>
      </w:pPr>
      <w:r>
        <w:rPr>
          <w:rFonts w:ascii="Arial" w:cs="Arial" w:eastAsia="Arial" w:hAnsi="Arial"/>
          <w:sz w:val="18"/>
          <w:szCs w:val="18"/>
          <w:color w:val="auto"/>
        </w:rPr>
        <w:t>The purchase price was allocated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60" w:type="dxa"/>
            <w:vAlign w:val="bottom"/>
            <w:shd w:val="clear" w:color="auto" w:fill="CCEEFF"/>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Accounts Receivable</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17"/>
                <w:szCs w:val="17"/>
                <w:color w:val="auto"/>
              </w:rPr>
            </w:pPr>
          </w:p>
        </w:tc>
      </w:tr>
      <w:tr>
        <w:trPr>
          <w:trHeight w:val="20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60" w:type="dxa"/>
            <w:vAlign w:val="bottom"/>
            <w:shd w:val="clear" w:color="auto" w:fill="CCEEFF"/>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Other Current Assets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7"/>
                <w:szCs w:val="17"/>
                <w:color w:val="auto"/>
              </w:rPr>
            </w:pPr>
          </w:p>
        </w:tc>
      </w:tr>
      <w:tr>
        <w:trPr>
          <w:trHeight w:val="20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7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(1,384)</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Accrued Expenses</w:t>
            </w:r>
          </w:p>
        </w:tc>
        <w:tc>
          <w:tcPr>
            <w:tcW w:w="7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(576)</w:t>
            </w:r>
          </w:p>
        </w:tc>
      </w:tr>
      <w:tr>
        <w:trPr>
          <w:trHeight w:val="20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60" w:type="dxa"/>
            <w:vAlign w:val="bottom"/>
            <w:shd w:val="clear" w:color="auto" w:fill="CCEEFF"/>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Intangible Assets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3,120</w:t>
            </w:r>
          </w:p>
        </w:tc>
        <w:tc>
          <w:tcPr>
            <w:tcW w:w="60" w:type="dxa"/>
            <w:vAlign w:val="bottom"/>
          </w:tcPr>
          <w:p>
            <w:pPr>
              <w:spacing w:after="0"/>
              <w:rPr>
                <w:sz w:val="17"/>
                <w:szCs w:val="17"/>
                <w:color w:val="auto"/>
              </w:rPr>
            </w:pPr>
          </w:p>
        </w:tc>
      </w:tr>
      <w:tr>
        <w:trPr>
          <w:trHeight w:val="203"/>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60" w:type="dxa"/>
            <w:vAlign w:val="bottom"/>
            <w:shd w:val="clear" w:color="auto" w:fill="CCEEFF"/>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7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(2,000)</w:t>
            </w: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03"/>
        </w:trPr>
        <w:tc>
          <w:tcPr>
            <w:tcW w:w="2740" w:type="dxa"/>
            <w:vAlign w:val="bottom"/>
            <w:tcBorders>
              <w:top w:val="single" w:sz="8" w:color="CCEEFF"/>
            </w:tcBorders>
          </w:tcPr>
          <w:p>
            <w:pPr>
              <w:ind w:left="340"/>
              <w:spacing w:after="0"/>
              <w:rPr>
                <w:sz w:val="20"/>
                <w:szCs w:val="20"/>
                <w:color w:val="auto"/>
              </w:rPr>
            </w:pPr>
            <w:r>
              <w:rPr>
                <w:rFonts w:ascii="Arial" w:cs="Arial" w:eastAsia="Arial" w:hAnsi="Arial"/>
                <w:sz w:val="16"/>
                <w:szCs w:val="16"/>
                <w:b w:val="1"/>
                <w:bCs w:val="1"/>
                <w:color w:val="auto"/>
              </w:rPr>
              <w:t>Total purchase price</w:t>
            </w: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1,454</w:t>
            </w:r>
          </w:p>
        </w:tc>
        <w:tc>
          <w:tcPr>
            <w:tcW w:w="60" w:type="dxa"/>
            <w:vAlign w:val="bottom"/>
            <w:tcBorders>
              <w:top w:val="single" w:sz="8" w:color="CCEEFF"/>
            </w:tcBorders>
          </w:tcPr>
          <w:p>
            <w:pPr>
              <w:spacing w:after="0"/>
              <w:rPr>
                <w:sz w:val="17"/>
                <w:szCs w:val="17"/>
                <w:color w:val="auto"/>
              </w:rPr>
            </w:pPr>
          </w:p>
        </w:tc>
      </w:tr>
      <w:tr>
        <w:trPr>
          <w:trHeight w:val="21"/>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As part of the merger arrangement, the Company entered into an agreement with Square 1 Bank to assume $2,000 in debt originally borrowed by NetStreams, Inc. This balance is represented in the Consolidated Balance Sheet as "Current maturities of long-term debt"and has been paid paid-off subsequent to the balance sheet date.</w:t>
      </w:r>
    </w:p>
    <w:p>
      <w:pPr>
        <w:spacing w:after="0" w:line="18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goodwill of $669 is comprised of expected synergies in utilizing NetStreams technology in ClearOne products and vice versa, reduction in future combined research and development expenses, and intangible assets including acquired workforce that do not qualify for separate recognition.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goodwill is not deductible for tax purposes.</w:t>
      </w:r>
    </w:p>
    <w:p>
      <w:pPr>
        <w:spacing w:after="0" w:line="25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 incurred $283 towards acquisition related expenses, all of which are categorized under General and Administrative expenses in the Consolidated Income Statement for the period ended December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Information (Unaudited)</w:t>
      </w:r>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Revenue for the period ended December 31, 2009 includes revenue from NetStreams products during the period after acquisition of $90. Loss from NetStreams business (after tax) during the period after acquisition was $407.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the combined entity as if the acquisition of NetStreams happened at July 1, 2007: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December 31, 2009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June 30, 2009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w w:val="94"/>
              </w:rPr>
              <w:t>June 30, 2008</w:t>
            </w:r>
          </w:p>
        </w:tc>
        <w:tc>
          <w:tcPr>
            <w:tcW w:w="6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24,079</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42,721</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47,258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(5,127)</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(3,569)</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(1,564)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Useful</w:t>
            </w:r>
          </w:p>
        </w:tc>
        <w:tc>
          <w:tcPr>
            <w:tcW w:w="2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lives (Years)</w:t>
            </w: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Intangibles acquired through acquisition of NetStreams, Inc.</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Tradename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6"/>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1"/>
              </w:rPr>
              <w:t>Patents and Technological Know-how</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Proprietary Software</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6"/>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88"/>
              </w:rPr>
              <w:t>In-process Research and Development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color w:val="auto"/>
                <w:w w:val="95"/>
              </w:rPr>
              <w:t>Indefinite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w w:val="99"/>
              </w:rPr>
              <w:t>Acquired through acquisition of NetStreams,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6"/>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gridSpan w:val="9"/>
          </w:tcPr>
          <w:p>
            <w:pPr>
              <w:jc w:val="center"/>
              <w:ind w:right="1480"/>
              <w:spacing w:after="0"/>
              <w:rPr>
                <w:sz w:val="20"/>
                <w:szCs w:val="20"/>
                <w:color w:val="auto"/>
              </w:rPr>
            </w:pPr>
            <w:r>
              <w:rPr>
                <w:rFonts w:ascii="Arial" w:cs="Arial" w:eastAsia="Arial" w:hAnsi="Arial"/>
                <w:sz w:val="14"/>
                <w:szCs w:val="14"/>
                <w:b w:val="1"/>
                <w:bCs w:val="1"/>
                <w:color w:val="auto"/>
                <w:w w:val="97"/>
              </w:rPr>
              <w:t>F-15</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six months ended December 31, 2009, and years ended June 30, 2009 and June 30, 2008 amortization of intangible assets were $63, $10, and $2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Years ending December 31,</w:t>
            </w: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2010</w:t>
            </w: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r>
      <w:tr>
        <w:trPr>
          <w:trHeight w:val="223"/>
        </w:trPr>
        <w:tc>
          <w:tcPr>
            <w:tcW w:w="20" w:type="dxa"/>
            <w:vAlign w:val="bottom"/>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2,695</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2009</w:t>
            </w: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453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6,236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7,075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Current finished goods include consigned inventory in the amounts of approximately $1,846, $1,843 and $1,719 as of December 31, 2009, June 30, 2009 and June 30, 2008, respectively. Consigned inventory represents inventory at distributors and other customers where revenue recognition criteria have not been achieved.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losses (benefit) incurred on valuation of inventory at lower of cost or market value and write-off of obsolete inventory amounted to ($152), $2,293 and $136 during the six months ended December 31, 2009, and years ended June 30, 2009 and 2008 respectively.</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December 31, 2009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June 30, 2009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June 30, 2008</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to 10 years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8,197</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 to 6 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test equipment</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to 10 years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11,038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(8,484)</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3,246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2,762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2,554</w:t>
            </w: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period ended December 31, 2009, fiscal years ended June 30, 2009 and 2008 was $468, $866 and $920,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display the gross unrealized gains (losses) and fair value of the Company’s investments with unrealized gain (losses) that are not deemed to be other-than-temporarily impaired: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3"/>
              </w:rPr>
              <w:t>Cost Basis</w:t>
            </w:r>
          </w:p>
        </w:tc>
        <w:tc>
          <w:tcPr>
            <w:tcW w:w="240" w:type="dxa"/>
            <w:vAlign w:val="bottom"/>
          </w:tcPr>
          <w:p>
            <w:pPr>
              <w:spacing w:after="0"/>
              <w:rPr>
                <w:sz w:val="12"/>
                <w:szCs w:val="12"/>
                <w:color w:val="auto"/>
              </w:rPr>
            </w:pPr>
          </w:p>
        </w:tc>
        <w:tc>
          <w:tcPr>
            <w:tcW w:w="13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Unrealized Gains</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Recorded Basis</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of December 31, 2009</w:t>
            </w: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bonds – 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As of June 30, 2009</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 Total</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of June 30, 2008</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5,972</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5,922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18,197</w:t>
            </w:r>
          </w:p>
        </w:tc>
        <w:tc>
          <w:tcPr>
            <w:tcW w:w="24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17,090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5,922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2008, $12,225, of the Company’s investments (at cost) were invested in auction rate securities ("ARSs"). As of June 30, 2008, auctions for these securities were not successful. During October 2008, we accepted offers to repurchase our Auction Rate Securities (ARSs), at par value, from the two investment banks that sold them to us. Between November 2008 and January 2009, UBS and Morgan Stanley fulfilled their offers and repurchased our ARSs, at par value, totaling approximately $12,200.</w:t>
      </w:r>
    </w:p>
    <w:p>
      <w:pPr>
        <w:spacing w:after="0" w:line="21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During the fiscal third quarter of 2008, the Company reclassified its entire ARS investment balance from short-term/current investments to long-term/non-current auction rate securities on its balance sheet due to the Company’s inability to determine when its ARS investments will become liquid. The Company also determined there was a decline in the fair value of its ARS investments of $1,057 which was deemed temporary. The Company determined fair value from a UBS derived pricing model. The Company was advised by UBS that the following variables were used in UBS’s pricing model: (1) type of auction security; (2) security rating; (3) insurance (if any) ; (4) collateral (if any); (5) taxable vs. tax-exempt; (6) estimated duration; (7) nature of the maximum rate formula (e.g. an issuer with a less favorable maximum rate form ula would be more likely to refinance); and (8) likelihood of redemption. The Company’s assessment of a fair value of all but one of its ARSs at June 30, 2008 conformed to UBS’s statement of </w:t>
      </w:r>
      <w:r>
        <w:rPr>
          <w:rFonts w:ascii="Arial" w:cs="Arial" w:eastAsia="Arial" w:hAnsi="Arial"/>
          <w:sz w:val="16"/>
          <w:szCs w:val="16"/>
          <w:i w:val="1"/>
          <w:iCs w:val="1"/>
          <w:color w:val="auto"/>
        </w:rPr>
        <w:t>current value</w:t>
      </w:r>
      <w:r>
        <w:rPr>
          <w:rFonts w:ascii="Arial" w:cs="Arial" w:eastAsia="Arial" w:hAnsi="Arial"/>
          <w:sz w:val="16"/>
          <w:szCs w:val="16"/>
          <w:color w:val="auto"/>
        </w:rPr>
        <w:t xml:space="preserve"> .</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chose to follow UBS’s </w:t>
      </w:r>
      <w:r>
        <w:rPr>
          <w:rFonts w:ascii="Arial" w:cs="Arial" w:eastAsia="Arial" w:hAnsi="Arial"/>
          <w:sz w:val="16"/>
          <w:szCs w:val="16"/>
          <w:i w:val="1"/>
          <w:iCs w:val="1"/>
          <w:color w:val="auto"/>
        </w:rPr>
        <w:t>current value</w:t>
      </w:r>
      <w:r>
        <w:rPr>
          <w:rFonts w:ascii="Arial" w:cs="Arial" w:eastAsia="Arial" w:hAnsi="Arial"/>
          <w:sz w:val="16"/>
          <w:szCs w:val="16"/>
          <w:color w:val="auto"/>
        </w:rPr>
        <w:t xml:space="preserve"> after determining that using its own discounted cash flow method with the following major assumptions:</w:t>
      </w:r>
    </w:p>
    <w:p>
      <w:pPr>
        <w:spacing w:after="0" w:line="46" w:lineRule="exact"/>
        <w:rPr>
          <w:sz w:val="20"/>
          <w:szCs w:val="20"/>
          <w:color w:val="auto"/>
        </w:rPr>
      </w:pPr>
    </w:p>
    <w:p>
      <w:pPr>
        <w:jc w:val="both"/>
        <w:ind w:right="100" w:firstLine="8"/>
        <w:spacing w:after="0" w:line="255"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three month T-Bill plus 120 basis points (generally the minimum rate of annualized interest required by the ARS issuers) and (2) a term of five years (the estimated duration to reach full liquidity), derived a valuation within one percent of UBS’s valuation. One ARS was stated at par value on June 30, 2008 as it has experienced recent partial redemption, albeit minimal.</w:t>
      </w: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 ended June 30, 2008, certain investments in Corporate Bonds was considered other-than-temporarily impaired and $155 was recognized as loss and reported under Other Income, net.</w:t>
      </w:r>
    </w:p>
    <w:p>
      <w:pPr>
        <w:spacing w:after="0" w:line="19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Changes in the unrealized holding gain (losses) on the Company’s marketable securities and reported as a separate component of accumulated other comprehensive income are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2009</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June 30, 2009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June 30, 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 at beginning of year</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560"/>
              <w:spacing w:after="0"/>
              <w:rPr>
                <w:sz w:val="20"/>
                <w:szCs w:val="20"/>
                <w:color w:val="auto"/>
              </w:rPr>
            </w:pPr>
            <w:r>
              <w:rPr>
                <w:rFonts w:ascii="Arial" w:cs="Arial" w:eastAsia="Arial" w:hAnsi="Arial"/>
                <w:sz w:val="18"/>
                <w:szCs w:val="18"/>
                <w:color w:val="auto"/>
              </w:rPr>
              <w:t>Unrealized holding gains (losses), in marketable securities (before taxes)</w:t>
            </w:r>
          </w:p>
        </w:tc>
        <w:tc>
          <w:tcPr>
            <w:tcW w:w="15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tax (provision) benefit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Unrealized holding gains (losses) at end of year</w:t>
            </w:r>
          </w:p>
        </w:tc>
        <w:tc>
          <w:tcPr>
            <w:tcW w:w="1500" w:type="dxa"/>
            <w:vAlign w:val="bottom"/>
          </w:tcPr>
          <w:p>
            <w:pPr>
              <w:jc w:val="right"/>
              <w:ind w:right="1319"/>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adopted the guidelines in ASC Topic 320, </w:t>
      </w:r>
      <w:r>
        <w:rPr>
          <w:rFonts w:ascii="Arial" w:cs="Arial" w:eastAsia="Arial" w:hAnsi="Arial"/>
          <w:sz w:val="17"/>
          <w:szCs w:val="17"/>
          <w:i w:val="1"/>
          <w:iCs w:val="1"/>
          <w:color w:val="auto"/>
        </w:rPr>
        <w:t>Investments –Debt and Equity Securities</w:t>
      </w:r>
      <w:r>
        <w:rPr>
          <w:rFonts w:ascii="Arial" w:cs="Arial" w:eastAsia="Arial" w:hAnsi="Arial"/>
          <w:sz w:val="17"/>
          <w:szCs w:val="17"/>
          <w:color w:val="auto"/>
        </w:rPr>
        <w:t xml:space="preserve"> on July 1, 2008. This Topic defines fair value, establishes a framework to measure fair value, and expands disclosures about fair value measurements. Topic 320 defines fair value as the price that could be received upon the sale of an asset or paid to transfer a liability in an orderly transaction between market participants at the measurement date and in the principal or most advantageous market for that asset or liability. Topic 320 establishes a fair value hierarchy used to prioritize the quality and reliability of the information used to determine fair values. Categorization within the fair value hierarchy is based on the lowest level of in put that is significant to the fair value measurement. The fair value hierarchy is classified into the following three categories:</w:t>
      </w:r>
    </w:p>
    <w:p>
      <w:pPr>
        <w:spacing w:after="0" w:line="205" w:lineRule="exact"/>
        <w:rPr>
          <w:sz w:val="20"/>
          <w:szCs w:val="20"/>
          <w:color w:val="auto"/>
        </w:rPr>
      </w:pPr>
    </w:p>
    <w:p>
      <w:pPr>
        <w:jc w:val="both"/>
        <w:ind w:left="620" w:right="20" w:hanging="363"/>
        <w:spacing w:after="0" w:line="342"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1: Valuations based on quoted prices in active markets for identical instruments that we are able to access. Since valuations are based on quoted prices that are readily and regularly available in an active market, valuation of these products does not entail a significant degree of judgment.</w:t>
      </w:r>
    </w:p>
    <w:p>
      <w:pPr>
        <w:spacing w:after="0" w:line="150" w:lineRule="exact"/>
        <w:rPr>
          <w:rFonts w:ascii="Arial" w:cs="Arial" w:eastAsia="Arial" w:hAnsi="Arial"/>
          <w:sz w:val="16"/>
          <w:szCs w:val="16"/>
          <w:color w:val="auto"/>
        </w:rPr>
      </w:pPr>
    </w:p>
    <w:p>
      <w:pPr>
        <w:jc w:val="both"/>
        <w:ind w:left="620" w:right="20" w:hanging="363"/>
        <w:spacing w:after="0" w:line="264"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Valuations based on quoted prices in active markets for instruments that are similar, or quoted prices in markets that are not active for identical or similar instruments, and model-derived valuations in which all significant inputs and sigificant value drivers are observable in active markets.</w:t>
      </w:r>
    </w:p>
    <w:p>
      <w:pPr>
        <w:spacing w:after="0" w:line="208" w:lineRule="exact"/>
        <w:rPr>
          <w:rFonts w:ascii="Arial" w:cs="Arial" w:eastAsia="Arial" w:hAnsi="Arial"/>
          <w:sz w:val="18"/>
          <w:szCs w:val="18"/>
          <w:color w:val="auto"/>
        </w:rPr>
      </w:pPr>
    </w:p>
    <w:p>
      <w:pPr>
        <w:ind w:left="620" w:hanging="36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December 31, 2009. we did not have any financial assets utilizing Level 1, Level 2 or Level 3 inputs. As of June 30, 2009, financial assets utilizing Level 1 inputs included short term investment securities traded on active securities exchanges. As of June 30, 2009 we did not have any financial assets utilizing Level 2 or Level 3 inputs . We did not have any liabilities that were required to be measured at fair value as of December 31, 2009 and June 30, 2009.</w:t>
      </w:r>
    </w:p>
    <w:p>
      <w:pPr>
        <w:spacing w:after="0" w:line="21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market participants would use in pricing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Topic 320 requires that the valuation techniques used by us are consistent with at least one of the three possible approaches: the market approach, income approach and/or cost approach. Our Level 1 valuations are based on the market approach and consist of quoted prices for identical items on active securities exchanges.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financial assets carried at fair value measured on a recurring basis as of June 30, 2009 (in thousands):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4"/>
                <w:szCs w:val="14"/>
                <w:color w:val="auto"/>
              </w:rPr>
            </w:pPr>
          </w:p>
        </w:tc>
        <w:tc>
          <w:tcPr>
            <w:tcW w:w="14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15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Total Fair Value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20" w:type="dxa"/>
            <w:vAlign w:val="bottom"/>
          </w:tcPr>
          <w:p>
            <w:pPr>
              <w:spacing w:after="0"/>
              <w:rPr>
                <w:sz w:val="12"/>
                <w:szCs w:val="12"/>
                <w:color w:val="auto"/>
              </w:rPr>
            </w:pPr>
          </w:p>
        </w:tc>
        <w:tc>
          <w:tcPr>
            <w:tcW w:w="14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5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15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inputs (Level3)</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June 30, 2009</w:t>
            </w:r>
          </w:p>
        </w:tc>
        <w:tc>
          <w:tcPr>
            <w:tcW w:w="9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Short-term available-for-sale securities</w:t>
            </w:r>
          </w:p>
        </w:tc>
        <w:tc>
          <w:tcPr>
            <w:tcW w:w="138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50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 and Deferred Rent</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$387, $613 and $569 for the period ended December 31, 2009 and years ended June 30, 2009 and 2008, respectively.</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June 5, 2006, the Company entered into a 62-month lease for its corporate headquarters in Salt Lake City, Utah to house its principal administrative, sales, marketing, customer support, and research and development functions. Under the terms of the lease, the Company occupies a 36,279 square-foot facility which commenced in November 2006. The lease agreement provided that the lessor would provide approximately $1,088 for leasehold improvements. This amount was recorded as deferred rent and is being amortized to lease expense over the term of the lease. During the year ended June 30, 2007, the Company completed leasehold improvements in excess of the amounts paid by the lessor. These amounts are being depreciated over the life of the lease.</w:t>
      </w:r>
    </w:p>
    <w:p>
      <w:pPr>
        <w:spacing w:after="0" w:line="200" w:lineRule="exact"/>
        <w:rPr>
          <w:sz w:val="20"/>
          <w:szCs w:val="20"/>
          <w:color w:val="auto"/>
        </w:rPr>
      </w:pPr>
    </w:p>
    <w:p>
      <w:pPr>
        <w:spacing w:after="0" w:line="20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October 13, 2008, the Company entered into a 60-month lease for a new warehouse which houses its inventory, fulfillment center and repair center in Salt Lake City, Utah. Under the terms of the lease, the Company occupies a 23,712 square-foot facility which commenced in December 2008.</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modified the terms of the Company’s California Avenue warehouse lease agreement dated September 20, 2006. Under the modified terms, effective March 31, 2008, the Company would lease approximately 6,000 square feet at $3 per month until expiration in December 2011. This space is being used by the Company for inventory, document and equipment storage.</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leases two warehouses measuring approximately 3,700 square-feet at $4 per month in Hong Kong to support our partners and customers located in the Asia-Pacific region. The lease terms for these warehouses expire in February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operating leases with initial terms of one year or more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Years ending December 31,</w:t>
            </w: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2010</w:t>
            </w: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r>
      <w:tr>
        <w:trPr>
          <w:trHeight w:val="223"/>
        </w:trPr>
        <w:tc>
          <w:tcPr>
            <w:tcW w:w="20" w:type="dxa"/>
            <w:vAlign w:val="bottom"/>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rPr>
              <w:t>Total minimum lease payments</w:t>
            </w: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3,287</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ind w:right="656"/>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As of</w:t>
            </w: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December 31, 2009</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June 30, 2009</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June 30, 2008</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Accrued taxes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2,380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rFonts w:ascii="Arial" w:cs="Arial" w:eastAsia="Arial" w:hAnsi="Arial"/>
          <w:sz w:val="18"/>
          <w:szCs w:val="18"/>
          <w:i w:val="1"/>
          <w:iCs w:val="1"/>
          <w:color w:val="0000EE"/>
        </w:rPr>
      </w:pPr>
      <w:r>
        <w:rPr>
          <w:rFonts w:ascii="Arial" w:cs="Arial" w:eastAsia="Arial" w:hAnsi="Arial"/>
          <w:sz w:val="18"/>
          <w:szCs w:val="18"/>
          <w:color w:val="auto"/>
        </w:rPr>
        <w:t xml:space="preserve">Included in other accrued liabilities as of June 30, 2008, is $1,500 which represents the probable amount that as of the date of the financial statements could be reasonably estimated of the Company’s liability, through trial, associated with the advancement of funds related to the indemnification agreements with </w:t>
      </w:r>
      <w:hyperlink w:anchor="page70">
        <w:r>
          <w:rPr>
            <w:rFonts w:ascii="Arial" w:cs="Arial" w:eastAsia="Arial" w:hAnsi="Arial"/>
            <w:sz w:val="18"/>
            <w:szCs w:val="18"/>
            <w:color w:val="auto"/>
          </w:rPr>
          <w:t xml:space="preserve">two former officers. During the quarter ended March 31, 2009 $1,100 of this liability was reversed. (see </w:t>
        </w:r>
        <w:r>
          <w:rPr>
            <w:rFonts w:ascii="Arial" w:cs="Arial" w:eastAsia="Arial" w:hAnsi="Arial"/>
            <w:sz w:val="18"/>
            <w:szCs w:val="18"/>
            <w:u w:val="single" w:color="auto"/>
            <w:color w:val="0000EE"/>
          </w:rPr>
          <w:t>Note 9 – Commitments and Contingencies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EE"/>
          </w:rPr>
          <w:t>– Former</w:t>
        </w:r>
      </w:hyperlink>
      <w:r>
        <w:rPr>
          <w:rFonts w:ascii="Arial" w:cs="Arial" w:eastAsia="Arial" w:hAnsi="Arial"/>
          <w:sz w:val="18"/>
          <w:szCs w:val="18"/>
          <w:color w:val="auto"/>
        </w:rPr>
        <w:t xml:space="preserve"> </w:t>
      </w:r>
      <w:hyperlink w:anchor="page70">
        <w:r>
          <w:rPr>
            <w:rFonts w:ascii="Arial" w:cs="Arial" w:eastAsia="Arial" w:hAnsi="Arial"/>
            <w:sz w:val="18"/>
            <w:szCs w:val="18"/>
            <w:i w:val="1"/>
            <w:iCs w:val="1"/>
            <w:u w:val="single" w:color="auto"/>
            <w:color w:val="0000EE"/>
          </w:rPr>
          <w:t>Officer Indemnification</w:t>
        </w:r>
        <w:r>
          <w:rPr>
            <w:rFonts w:ascii="Arial" w:cs="Arial" w:eastAsia="Arial" w:hAnsi="Arial"/>
            <w:sz w:val="18"/>
            <w:szCs w:val="18"/>
            <w:color w:val="000000"/>
          </w:rPr>
          <w:t>).</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establish contingent liabilities when a particular contingency is both probable and estimable. For the contingencies noted below we have accrued amounts considered probable and estimable. The Company is not aware of pending claims or assessments, other than as described below, which may have a material adverse impact on the Company’s financial position or results of operations.</w:t>
      </w:r>
    </w:p>
    <w:p>
      <w:pPr>
        <w:spacing w:after="0" w:line="18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Outsource Manufacturers. </w:t>
      </w:r>
      <w:r>
        <w:rPr>
          <w:rFonts w:ascii="Arial" w:cs="Arial" w:eastAsia="Arial" w:hAnsi="Arial"/>
          <w:sz w:val="16"/>
          <w:szCs w:val="16"/>
          <w:color w:val="auto"/>
        </w:rPr>
        <w:t>We have manufacturing agreements with manufacturers related to the outsourced manufacturing of our products.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agreements establish annual volume commitments. We are also obligated to repurchase Company-forecasted but unused materials. We have accounted for our current fixed outsourced manufacturing commitments and contingencies as a component of inventory and established a reserve for obsolescence amounting to $0, $1,147 and $769, as of December 31, 2009, June 30, 2009 and June 30, 2008, respectively. The Company has non-cancellable, non-returnable, and long-lead time commitments with its outsourced manufacturers and certain suppliers for inventory components that will be used in production. The C ompany’s exposure associated with these commitments is approximately $2,800 as of December 31, 2009. One of the outsourced manufacturing contractors with whom we have terminated our relationship is claiming that we have an obligation to buy inventory pursuant to cancelled purchase orders. We believe that we are not legally obligated to take delivery of this inventory and we also have counterclaims against the contractor.</w:t>
      </w:r>
    </w:p>
    <w:p>
      <w:pPr>
        <w:spacing w:after="0" w:line="166" w:lineRule="exact"/>
        <w:rPr>
          <w:sz w:val="20"/>
          <w:szCs w:val="20"/>
          <w:color w:val="auto"/>
        </w:rPr>
      </w:pPr>
    </w:p>
    <w:p>
      <w:pPr>
        <w:ind w:right="860"/>
        <w:spacing w:after="0" w:line="291"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we are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our business. Such matters are subject to many uncertainties and outcomes that are not</w:t>
      </w:r>
    </w:p>
    <w:p>
      <w:pPr>
        <w:ind w:right="120"/>
        <w:spacing w:after="0" w:line="261" w:lineRule="auto"/>
        <w:rPr>
          <w:sz w:val="20"/>
          <w:szCs w:val="20"/>
          <w:color w:val="auto"/>
        </w:rPr>
      </w:pPr>
      <w:r>
        <w:rPr>
          <w:rFonts w:ascii="Arial" w:cs="Arial" w:eastAsia="Arial" w:hAnsi="Arial"/>
          <w:sz w:val="18"/>
          <w:szCs w:val="18"/>
          <w:color w:val="auto"/>
        </w:rPr>
        <w:t>predictable. However, based on the information available to us, we do not believe any such proceedings will have a material, adverse effect on our business, results of operations, financial position, or liquidity, except as described below.</w:t>
      </w:r>
    </w:p>
    <w:p>
      <w:pPr>
        <w:spacing w:after="0" w:line="18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i w:val="1"/>
          <w:iCs w:val="1"/>
          <w:color w:val="auto"/>
        </w:rPr>
        <w:t>Former Officer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25, 2007, the U.S. Attorney’s Office for the District of Utah indicted two of our former officers, Frances Flood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(“Flood”) and Susie Strohm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cooperated fully with the U.S. Attorney’s Office in this matter and were advised that we w ere neither a target nor a subject of the investigation or indictment. In December 2003, we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$2,200 in attorneys’ fees and costs to defend against the charges.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During August 2008, Strohm and her counsel filed a lawsuit in the Third Judicial District Court in Salt Lake City, Utah seeking a declaratory judgment and injunctive relief to compel us to continue to advance Strohm’s attorneys’ fees and costs to defend against the charges, plus interest for amounts previously requested and not paid. Also during August 2008, Flood filed a lawsuit in Federal District Court for the District of Utah, seeking similar relief.</w:t>
      </w:r>
    </w:p>
    <w:p>
      <w:pPr>
        <w:spacing w:after="0" w:line="17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federal criminal trial of both former officers commenced on February 2, 2009, and the jury rendered its verdict 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2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2008, we had accrued $3,300 for legal fees and costs of our contingent liability under indemnification agreements with the two former officers indicted by the U.S. Attorney’s Office. As of March 31, 2009, we had paid approximately $2,200 in legal fees and costs in connection with this contingent liability. During the third fiscal quarter of 2009 and in accordance with generally accepted accounting principles, we reversed approximately $1,100 of this contingent liability as a result of the February 2009 jury verdict in the federal criminal trial. As a result of the jury’s conviction of the two former officers on some or all of the crimes with which they were charged and based on the Court’s instructions to the jury, it was no longer probable that we would be required to pay the $1,100 amount.</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Flood: During January 2009, the Federal District Court in the Flood lawsuit issued a preliminary injunction requiring us (1) to pay 60% of Flood’s legal fees and costs in the criminal proceeding to Flood’s attorneys (as reflected in the invoices submitted by Flood’s attorneys), and (2) to pay the remaining 40% of Flood’s legal fees and costs into a court escrow account. Pursuant to the Court’s order, the Court intends to make a reasonability determination concerning these fees and costs and the Court’s order states that “[t]o the extent fees or costs are found to be unreasonable, the monies held in escrow shall be refunded to ClearOne.” Pursuant to the Court’s order, we paid approximately $368 to Flood’s attorneys and approximately $248 int o the Court’s escrow. Our appeal of the Court’s order is currently pending. The Court has issued a stay precluding distribution of the money in the Court’s escrow pending the outcome of the appeal.</w:t>
      </w:r>
    </w:p>
    <w:p>
      <w:pPr>
        <w:spacing w:after="0" w:line="21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Federal District Court issued a ruling during June 2009 granting Flood’s motion for summary judgment on her claim that we breached her Employment Separation Agreement by stopping the advancement of funds for her defense, and granting our motion to dismiss Flood’s unjust enrichment and promissory estoppel claims. The Court further denied our motion to dismiss Flood’s claim for intentional infliction of emotional distress.</w:t>
      </w:r>
    </w:p>
    <w:p>
      <w:pPr>
        <w:spacing w:after="0" w:line="1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July 2009, we asserted counterclaims for $3,300 based on the undertaking Flood signed in August 2003, in which she promised to repay all advanced expenses if it was ultimately adjudged that she did not meet the requisite standard of conduct.</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Strohm: During August 2009, we asserted counterclaims for $3,200 against Strohm based on the undertakings she signed in 2003, in which she promised to repay all advanced expenses if it was ultimately adjudged that she did not meet the requisite standard of conduct. On October 26, 2009, the Court granted Strohm’s motion for mandatory indemnification, ruling that we were required to indemnify Strohm for her reasonable attorneys’ fees and expenses to the extent that she was successful on the merits at trial on the basis that our Articles of Incorporation did not limit indemnification of a director or officer. The Court also denied our cross-motion for summary judgment based on the undertakings, ruling that Strohm should not be required to pay back advanced legal fees and costs to the extent she was successful at trial.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5, 2009, Strohm’s counsel filed a motion claiming that, pursuant to an engagement letter with Strohm’s counsel, we are obligated to pay Strohm’s attorneys’ fees and costs incurred in defending the federal criminal proceeding, plus 18% interest, as well as attorneys’ fees and costs incurred in connection with the action brought by Strohm and her counsel against ClearOne in August 2008. On March 2, 2010, the Court ruled that the engagement letter provided an alternative basis requiring the Company to pay Strohm’s reasonable attorneys’ fees and costs incurred in connection with the federal criminal proceedings, and to enforce the engagement letter. The Court reserved the issue of whether Strohm’s fees and costs should be allocated to account for the s ingle count on which she was convicted at trial, and reserved the determination of reasonableness of Strohm’s fees and costs. The Court also made it clear that the Company is only responsible to pay Strohm’s attorneys’ fees and costs to the extent that those fees and costs are reasonable under all of the relevant circumstances. We believe that the amount of any reasonable fees and expenses that may be due to Strohm’s counsel pursuant to the Court’s determination has already been paid. We anticipate that the parties will be making submissions to the court in the next few months to address the issue of the reasonability of Strohm’s attorneys’ fees and expenses.</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Theft of Intellectual Property and Copyright Complaints. </w:t>
      </w:r>
      <w:r>
        <w:rPr>
          <w:rFonts w:ascii="Arial" w:cs="Arial" w:eastAsia="Arial" w:hAnsi="Arial"/>
          <w:sz w:val="17"/>
          <w:szCs w:val="17"/>
          <w:color w:val="auto"/>
        </w:rPr>
        <w:t>In January 2007, we filed a lawsuit in the Third Judicial District Court, Salt Lake County, State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Utah against WideBand Solutions, Inc. (“WideBand”) and two of its principals, one former employee named Dr. Jun Yang, and Andrew Chiang, who was previously affiliated with an entity which sold certain assets to us (the “Trade Secret Case”). We also brought claims against Biamp Systems Corporation, Inc. (“Biamp”). The matter was subsequently removed to federal court, the United States District Court, District of Utah, Central Division. The case is styled </w:t>
      </w:r>
      <w:r>
        <w:rPr>
          <w:rFonts w:ascii="Arial" w:cs="Arial" w:eastAsia="Arial" w:hAnsi="Arial"/>
          <w:sz w:val="17"/>
          <w:szCs w:val="17"/>
          <w:i w:val="1"/>
          <w:iCs w:val="1"/>
          <w:color w:val="auto"/>
        </w:rPr>
        <w:t xml:space="preserve">ClearOne Communications, Inc. v. Jun Yang, et. al. </w:t>
      </w:r>
      <w:r>
        <w:rPr>
          <w:rFonts w:ascii="Arial" w:cs="Arial" w:eastAsia="Arial" w:hAnsi="Arial"/>
          <w:sz w:val="17"/>
          <w:szCs w:val="17"/>
          <w:color w:val="auto"/>
        </w:rPr>
        <w:t>Civil No. 2:07-co-37 TC. The Complaint brought claims against different combinations of the defendants</w:t>
      </w:r>
      <w:r>
        <w:rPr>
          <w:rFonts w:ascii="Arial" w:cs="Arial" w:eastAsia="Arial" w:hAnsi="Arial"/>
          <w:sz w:val="17"/>
          <w:szCs w:val="17"/>
          <w:i w:val="1"/>
          <w:iCs w:val="1"/>
          <w:color w:val="auto"/>
        </w:rPr>
        <w:t xml:space="preserve"> </w:t>
      </w:r>
      <w:r>
        <w:rPr>
          <w:rFonts w:ascii="Arial" w:cs="Arial" w:eastAsia="Arial" w:hAnsi="Arial"/>
          <w:sz w:val="17"/>
          <w:szCs w:val="17"/>
          <w:color w:val="auto"/>
        </w:rPr>
        <w:t>for, among other things, misappropriation of certain trade secrets, breach of contract, conversion, unjust enrichment and intentional interference with business and contractual relations, primarily in relation to certain algorithms and computer code. The relief being sought included an order enjoining the defendants from further use of our trade secrets and an award consisting of, among other things, compensation and damages. The court subsequently granted leave to add additional defendants to the case, and so WideBand principal Lonny Bowers and a company named Versatile DSP, Inc. owned in whole or in part by defendant Jun Yan, were both added as defendants in the case. The WideBand-related persons and entities have been referred to as the “WideBand Defendants” in the various cases.</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2007, we filed a motion for a preliminary injunction in the Trade Secret Case, seeking to enjoin Wideband from licensing certain technology we believe constituted our intellectual property and trade secrets to Harman Music Group, Inc. (“Harman”). On September 13, 2007, the court in the Trade Secret Case granted us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also brings claims related to the theft and misuse of ClearOne’s confidential and trade secret info rmation. Harman has asserted a counterclaim in this case for bad-faith initiation of litigation. We have filed a motion to dismiss the counterclaim. We believe the counterclaim is without merit and estimate that any potential loss from this counterclaim is remote.</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October 2007, we filed a second action against WideBand and the same three principals named as defendants in the Intellectual Property Case, also in the United States District Court, District of Utah, Central Division, this time alleging copyright infringement, vicarious copyright infringement, and contributory copyright infringement (the “Copyright Case”). During May 2009, the individual WideBand defendants filed a counterclaim against us in the Copyright Case. On August 7, 2009, the Court granted our motion to have the defendants’ counterclaim dismissed with prejudice. In light of the judgment in the Trade Secret Case, we subsequently voluntarily dismissed the Copyright Case, without prejudice.</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During June 2008, ClearOne filed a separate action in the United States District Court, District of Utah, Central Division, against WideBand Solutions, Inc., a Georgia corporation ("WideBand Georgia") and Donald Bowers. The original Complaint brought claims, among others, for declaratory judgment, fraudulent transfer under Utah Code Ann. § 25-6-1, </w:t>
      </w:r>
      <w:r>
        <w:rPr>
          <w:rFonts w:ascii="Arial" w:cs="Arial" w:eastAsia="Arial" w:hAnsi="Arial"/>
          <w:sz w:val="18"/>
          <w:szCs w:val="18"/>
          <w:i w:val="1"/>
          <w:iCs w:val="1"/>
          <w:color w:val="auto"/>
        </w:rPr>
        <w:t>et. seq</w:t>
      </w:r>
      <w:r>
        <w:rPr>
          <w:rFonts w:ascii="Arial" w:cs="Arial" w:eastAsia="Arial" w:hAnsi="Arial"/>
          <w:sz w:val="18"/>
          <w:szCs w:val="18"/>
          <w:color w:val="auto"/>
        </w:rPr>
        <w:t>., and misappropriation of trade secrets.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August 2009, the Court granted us leave to add additional claims against the defendants, including for trade libel and defamation. This action was administratively closed by the Court on February 22, 2010, subject to being reopened at ClearOne’s requests. As noted below, ClearOne is pursuing claims against Donald Bowers and WideBand Georgia through contempt proceedings in the main Trade Secret Case.</w:t>
      </w:r>
    </w:p>
    <w:p>
      <w:pPr>
        <w:spacing w:after="0" w:line="2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October and November 2008, the Trade Secret Case was presented to a jury. On November 5, 2008, the jury returned a unanimous verdict in favor of us and against all of the Defendants. Accordingly, the jury awarded ClearOne approximately $3,500 in compensatory damages and $7,000 in punitive damages. Among other things, the jury found that all of the Defendants willfully and maliciously misappropriated our trade secrets. The court left in place the previously-entered preliminary injunction, pending our application for entry of a permanent injunction against the Defendants.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8, 2009 the court issued a permanent injunction order against all of the defendants. Specifically, the WideBand defendants were prohibited from any further use of our trade secrets, barred from using any of the trade names associated with products that had been found to have used our trade secrets, and were ordered to provide a copy of the permanent injunction to future employers, potential licensors and anyone interested in acquiring WideBand’s assets. Biamp was ordered to destroy and not to use any of the object code that it had previously licensed from WideBand. On April 20, 2009 the court issued a ruling on the parties’ post-verdict motions. Among other things, the court affirmed the jury’s finding that all of the Defendants had acted willfully and maliciously in misappropriating our trade secrets, denied our request for prejudgment interest, and denied Defendants’ post-trial requests to set aside the verdict. The court also ruled that our fiduciary duty claims against Andrew Chiang and Jun Yang were pre-empted by the trade secret act, reducing the damage awards against these two defendants, but for different reasons also increasing the award against Biamp from about $1,600 to about $3,600. On April 21, 2009, the court entered a final Judgment in our favor in the amount of approximately $9,700. The WideBand Defendants and Biamp have appealed the Court’s judgment and certain other pre- and post-trial rulings.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During July 2009, the Court issued an award of costs to us in the amount of $75.</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Biamp has posted a cash bond to secure the judgment against it in the amount of approximately $3,700. Because the WideBand Defendants have not posted a bond, we are pursuing collection and enforcement of our judgment against the WideBand Defendants. As part of the enforcement proceedings, we have initiated collection proceedings in the courts in Massachusetts, Connecticut, and Georgia. No counterclaims or other claims have been asserted against us in the WideBand collection actions.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July 2009, we commenced action in the Trade Secret Case seeking contempt and additional injunctive relief against the WideBand Defendants, and Donald D. Bowers, the father of WideBand defendant Lonny Bowers, a company owned in whole or in part by Donald Bowers named DialHD, Inc. (“DialHD”) (a Georgia corporation), and David Sullivan, a resident of Connecticut. We alleged that the WideBand defendants were working in concert with Lonny Bowers’ father, Donald Bowers, to circumvent the Court’s permanent injunction by establishing DialHD as a new company through which to continue to sell products containing our trade secrets. On July 31, 2009, the Court granted the Temporary Restraint Order (TRO) motion, and issued a written order on August 5, 2009, restricting the same and marketing of &amp; #8220;DialHD Infringing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3, 2009, the Court in the Trade Secret Case issued a decision finding Donald Bowers in contempt of Court. More specifically, the Court found that “Donald Bowers is in contempt of court for filing a UCC-1 Financing Statement in Massachusetts on November 6, 2008, thereby encumbering WideBand Solutions’ intellectual property at issue in this trade secret litigation in violation of the court’s June 26, 2008 Order.” Donald Bowers was also found “in contempt of Court for failing to appear at a February 10, 2009 contempt hearing.” The Court awarded us attorneys’ fees and costs, and we have applied for this award in the approximate amount of $57. On September 17, 2009, Donald Bowers filed for personal bankruptcy in the state of Georgia. The Court in the bankruptcy matter has granted us leave to pursue claims against Donald Bowers in the Trade Secret Case and the case against Donald Bowers and WideBand Georgia.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November 19, 2009, the Court in the Trade Secret Case issued a Memorandum Decision and Order of Contempt (the “Contempt Order”), in which the Court made findings of fact and found that Lonny Bowers, Jun Yang, WideBand Solutions, Inc. (a Massachusetts company) and Dial HD, Inc. (the “Contempt Defendants”), were in contempt of the Court’s orders. The Court found that the Contempt Defendants had violated the court’s April 2009 Permanent Injunction and August 2009 Temporary Restraining Order by repackaging, marketing, and selling the infringing WideBand Simphonix products through Dial HD, under the names AEC4 and HD4551. The Court found that the Contempt Defendants were also doing the same thing with the infringing WideBand WC301 product, in the guise of a product under the c ompany name Longoo, and product name ACON1001. The Court ordered the Contempt Defendants to stop producing, marketing, selling, and delivering these infringing products, and also on November 19, 2009, issued an Amended Permanent Injunction implementing these orders. The Contempt Order required the Contempt Defendants to purge themselves of their contempt, including by disclosing certain information and returning certain things, i.e., products and code, to ClearOne. On January 8, 2010, the Court found that the Contempt Defendants had not purged themselves of their contempt, and issued bench warrants for the arrest of Lonny Bowers and Jun Yang.</w:t>
      </w:r>
    </w:p>
    <w:p>
      <w:pPr>
        <w:spacing w:after="0" w:line="1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January 29, 2010, the Court issued an order awarding ClearOne attorney fees and costs incurred in pursuing the Contempt Order, against the Contempt Defendants, in the amount of $185.</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3, 2010, the Court in the Trade Secret Case awarded ClearOne an additional $12 against the WideBand Defendants, in relation to costs ClearOne had incurred in having certain of WideBand Defendants’ computers imaged by a computer forensic expert.</w:t>
      </w:r>
    </w:p>
    <w:p>
      <w:pPr>
        <w:spacing w:after="0" w:line="170"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On March 25, 2010, the District Court in the Trade Secret Case affirmed an earlier order issued by the Magistrate Judge on January 29, 2010, awarding us attorney fees and costs, in the amounts of $984 jointly and severally against Biamp, Andrew Chiang, Jun Yang, Lonny Bowers, WideBand Solutions, Inc., and Versatile DSP; in the additional amount of $118 against Biamp only; and in the additional amount of $908 against the WideBand Defendants only. We have filed a motion requesting that the Court order Biamp to post an additional cash bond in the amount of the fee and cost award against Biamp, or more precisely in the amount of $1,102.</w:t>
      </w:r>
    </w:p>
    <w:p>
      <w:pPr>
        <w:spacing w:after="0" w:line="21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April 7, 2010, the Court issued an Order to Show Cause, commanding Donald Bowers to appear at a hearing set for May 27, 2010, and show why he should not be added to the findings of contempt described in the Contempt Order. Among other things, we will ask that Donald Bowers be held jointly and severally liable for ClearOne’s costs and fees incurred in pursuing the contempt and related issues.</w:t>
      </w:r>
    </w:p>
    <w:p>
      <w:pPr>
        <w:spacing w:after="0" w:line="2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While we intend to vigorously pursue collection of the damage awards, there can be no assurance that we will ultimately collect on all or a portion of the award. Furthermore, the jury’s verdict and damage awards are subject to appeal by one or more of the defendants.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Lonny Bowers Connecticut Actions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Lonny Bowers, one of the WideBand Defendants, has filed a series of pro se lawsuits against ClearOne and</w:t>
      </w:r>
    </w:p>
    <w:p>
      <w:pPr>
        <w:spacing w:after="0" w:line="3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others. The first such lawsuit was filed on or about July 27, 2009, against ClearOne, attorney James E. Magleby (who is one of the lawyers representing us in the WideBand matters), and the Honorable Tena Campbell (the judge in the Trade Secret Case), in the United States District Court for the District of Connecticut. The claims asserted by Lonny Bowers in that case related to various events occurring in the Trade Secret Case in Utah, including claims that Lonny Bowers’ civil rights had been violated by the defendants. We filed a motion to dismiss that lawsuit, or in the alternative to have the lawsuit transferred to the United States District Court for the District of Utah. On March 5, 2010, the case was dismissed with prejudice as to all defendants.</w:t>
      </w:r>
    </w:p>
    <w:p>
      <w:pPr>
        <w:spacing w:after="0" w:line="19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On or about November 20, 2009, Lonny Bowers filed his second </w:t>
      </w:r>
      <w:r>
        <w:rPr>
          <w:rFonts w:ascii="Arial" w:cs="Arial" w:eastAsia="Arial" w:hAnsi="Arial"/>
          <w:sz w:val="17"/>
          <w:szCs w:val="17"/>
          <w:i w:val="1"/>
          <w:iCs w:val="1"/>
          <w:color w:val="auto"/>
        </w:rPr>
        <w:t>pro se</w:t>
      </w:r>
      <w:r>
        <w:rPr>
          <w:rFonts w:ascii="Arial" w:cs="Arial" w:eastAsia="Arial" w:hAnsi="Arial"/>
          <w:sz w:val="17"/>
          <w:szCs w:val="17"/>
          <w:color w:val="auto"/>
        </w:rPr>
        <w:t xml:space="preserve"> lawsuit, this time against ClearOne and three witnesses in the Trade Secret Action (Thomas Makovicka, Tracy Bathurst, and Derek Graham). Again, the claims asserted by Lonny Bowers in that case relate to various events occurring in the Trade Secret Action in Utah, and Lonny Bowers styled his claims as being for restraint of trade, libel, and perjury. The Company has filed a motion to dismiss that lawsuit, or in the alternative to have the lawsuit transferred to the United States District Court for the District of Utah.</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Finally, on or about March 17, 2010, Lonny Bowers filed his third </w:t>
      </w:r>
      <w:r>
        <w:rPr>
          <w:rFonts w:ascii="Arial" w:cs="Arial" w:eastAsia="Arial" w:hAnsi="Arial"/>
          <w:sz w:val="18"/>
          <w:szCs w:val="18"/>
          <w:i w:val="1"/>
          <w:iCs w:val="1"/>
          <w:color w:val="auto"/>
        </w:rPr>
        <w:t>pro se</w:t>
      </w:r>
      <w:r>
        <w:rPr>
          <w:rFonts w:ascii="Arial" w:cs="Arial" w:eastAsia="Arial" w:hAnsi="Arial"/>
          <w:sz w:val="18"/>
          <w:szCs w:val="18"/>
          <w:color w:val="auto"/>
        </w:rPr>
        <w:t xml:space="preserve"> lawsuit, this time against ClearOne only, in the Superior Court, Judicial District of New Britain, State of Connecticut. We removed this case to the United States District Court for the District of Connecticut. Again, the claims asserted by Lonny Bowers in that case relate to various events occurring in the Trade Secret Action in Utah, and Lonny Bowers styled his claim as being one for identity theft. The Company has filed a motion to dismiss that lawsuit, or in the alternative to have the lawsuit transferred to the United States District Court for the District of Utah.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asserted and pending claims by Lonny Bowers are meritless and estimate that any potential loss from these claims is remote.</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The DialHD Georgia Action </w:t>
      </w:r>
      <w:r>
        <w:rPr>
          <w:rFonts w:ascii="Arial" w:cs="Arial" w:eastAsia="Arial" w:hAnsi="Arial"/>
          <w:sz w:val="18"/>
          <w:szCs w:val="18"/>
          <w:color w:val="auto"/>
        </w:rPr>
        <w:t>: During July 2009, DialHD and Donald Bowers filed a lawsuit against us in the Superior Court of Columbia County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Georgia. DialHD is apparently owned in whole or in part by Donald Bowers, who is the father of WideBand defendant Lonny Bowers. The complaint asserts that we have interfered with DialHD’s business relationships, conducted abusive litigation, and engaged in RICO violations. The claims asserted in this case relate to various events occurring in the Trade Secret Case in Utah. We have filed a motion to dismiss that lawsuit, or in the alternative to have the lawsuit transferred to the United States District Court for the District of Utah. Donald Bowers and DialHD have filed a request to amend the complaint, which we have opposed. We believe the asserted and pending claims by Donald Bowers and DialHD are meritless and estimate that any potential loss from this claim is remote.</w:t>
      </w:r>
    </w:p>
    <w:p>
      <w:pPr>
        <w:spacing w:after="0" w:line="2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Conclusion: </w:t>
      </w:r>
      <w:r>
        <w:rPr>
          <w:rFonts w:ascii="Arial" w:cs="Arial" w:eastAsia="Arial" w:hAnsi="Arial"/>
          <w:sz w:val="18"/>
          <w:szCs w:val="18"/>
          <w:color w:val="auto"/>
        </w:rPr>
        <w:t>These litigations are subject to all of the risks and uncertainties of litigation and there can be no assurance as to the probable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$3,000. If these adverse outcomes were to occur, our financial position, results of operations and cash flows could be negatively affected materially for the period in which the adverse outcomes are known.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Buy-Back Program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30, 2007, the Company announced that its Board of Directors had approved a stock buy-back program to purchase up to $3,625 of the Company’s common stock over a 12 month period in open market and private block transactions. On May 1, 2008 the Company announced that its Board of Directors authorized the purchase of up to an additional $1,000 of the Company’s common stock. Each of these approved share repurchase programs have expired. In conjunction with these stock buy-back programs, the Company repurchased 835,000 shares for approximately $4,300 during the year ended June 30, 2008. All repurchased shares were immediately retired.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 Program</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11, 2008, we announced that our Board of Directors authorized the repurchase of up to 2,000,000 of our shares in a modified Dutch auction tender offer at a price per share of no less then $4.00 and no greater than $5.00 per share. Under the tender offer, which expired on September 16, 2008, we repurchased 1,342,620 shares, or approximately 13% of shares outstanding, for approximately $6,770 at a price per share of $5.00 during the year ended June 30, 2009. All repurchased shares were immediately retired.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30, 2009, the Company had two share-based compensation plans, one which was replaced on November 20, 2007, and one which became active on the same date. The plans are described below.</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December 31, 2009, 250 and 12,250 of these options that cliff vest after 9.8 and 6.0 years, respectively, remain outstandin g.</w:t>
      </w:r>
    </w:p>
    <w:p>
      <w:pPr>
        <w:spacing w:after="0" w:line="19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in their sole discretion, determine, or in the absence of a Compensation Committee, a properly constituted Compensation Committee or the Board itself.</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have the authority to elect that all unvested options shall vest and become exercisable immediately prior to the event or closing of the transaction. All options outstanding as of December 31, 2009 had contractual lives of ten years. Under the 1998 Plan, 2,500,000 shares were authorized for grant. As of December 31, 2009, there were 979,461 options outstanding under the 1998 Plan, which includes the cliff vesting and 3 or 4-year vesting options discussed above. As of December 31, 2009 there were 246,656 options outstanding under the 2007 Plan.</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the guidelines of ASC Topic 718.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78"/>
        </w:trPr>
        <w:tc>
          <w:tcPr>
            <w:tcW w:w="39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31, 2009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2009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2008</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 average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w:t>
            </w:r>
          </w:p>
        </w:tc>
      </w:tr>
      <w:tr>
        <w:trPr>
          <w:trHeight w:val="216"/>
        </w:trPr>
        <w:tc>
          <w:tcPr>
            <w:tcW w:w="3960" w:type="dxa"/>
            <w:vAlign w:val="bottom"/>
          </w:tcPr>
          <w:p>
            <w:pPr>
              <w:ind w:left="340"/>
              <w:spacing w:after="0"/>
              <w:rPr>
                <w:sz w:val="20"/>
                <w:szCs w:val="20"/>
                <w:color w:val="auto"/>
              </w:rPr>
            </w:pPr>
            <w:r>
              <w:rPr>
                <w:rFonts w:ascii="Arial" w:cs="Arial" w:eastAsia="Arial" w:hAnsi="Arial"/>
                <w:sz w:val="16"/>
                <w:szCs w:val="16"/>
                <w:color w:val="auto"/>
              </w:rPr>
              <w:t>Expected option life,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3.9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3.9 years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4.3 years</w:t>
            </w:r>
          </w:p>
        </w:tc>
      </w:tr>
      <w:tr>
        <w:trPr>
          <w:trHeight w:val="216"/>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Expected price volatility, average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51.6%</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73.9%</w:t>
            </w:r>
          </w:p>
        </w:tc>
      </w:tr>
      <w:tr>
        <w:trPr>
          <w:trHeight w:val="216"/>
        </w:trPr>
        <w:tc>
          <w:tcPr>
            <w:tcW w:w="3960" w:type="dxa"/>
            <w:vAlign w:val="bottom"/>
          </w:tcPr>
          <w:p>
            <w:pPr>
              <w:ind w:left="660"/>
              <w:spacing w:after="0"/>
              <w:rPr>
                <w:sz w:val="20"/>
                <w:szCs w:val="20"/>
                <w:color w:val="auto"/>
              </w:rPr>
            </w:pPr>
            <w:r>
              <w:rPr>
                <w:rFonts w:ascii="Arial" w:cs="Arial" w:eastAsia="Arial" w:hAnsi="Arial"/>
                <w:sz w:val="16"/>
                <w:szCs w:val="16"/>
                <w:color w:val="auto"/>
              </w:rPr>
              <w:t>Expected dividend yield</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Expected annual forfeiture rate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expected price volatility is determined using a weighted average of daily historical volatility of the Company’s stock price over the corresponding expected option life. The Company does not currently intend to distribute any dividend payments to shareholders. 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 l forfeiture rate for options that vest on 3 or 4 year vesting schedules to be 10.0 percent.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 Shares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Outstanding at June 30, 2007</w:t>
            </w:r>
          </w:p>
        </w:tc>
        <w:tc>
          <w:tcPr>
            <w:tcW w:w="1540" w:type="dxa"/>
            <w:vAlign w:val="bottom"/>
          </w:tcPr>
          <w:p>
            <w:pPr>
              <w:jc w:val="right"/>
              <w:spacing w:after="0"/>
              <w:rPr>
                <w:sz w:val="20"/>
                <w:szCs w:val="20"/>
                <w:color w:val="auto"/>
              </w:rPr>
            </w:pPr>
            <w:r>
              <w:rPr>
                <w:rFonts w:ascii="Arial" w:cs="Arial" w:eastAsia="Arial" w:hAnsi="Arial"/>
                <w:sz w:val="16"/>
                <w:szCs w:val="16"/>
                <w:color w:val="auto"/>
              </w:rPr>
              <w:t>1,273,199</w:t>
            </w:r>
          </w:p>
        </w:tc>
        <w:tc>
          <w:tcPr>
            <w:tcW w:w="10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319,000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Expired and canceled</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(68,058)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Forfeited prior to vesting</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(96,727)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(228,368)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Outstanding at June 30, 2008</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1,199,046</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5.85</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263,500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Expired and canceled</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(29,047)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Forfeited prior to vesting</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(149,614)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(40,799)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Outstanding at June 30, 2009</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1,243,086</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5.62</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102,500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Expired and canceled</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(68,499)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Forfeited prior to vesting</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(50,970)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Outstanding at December 31, 2009</w:t>
            </w: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1,226,117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Exercisable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2009:</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Options Outstanding</w:t>
            </w:r>
          </w:p>
        </w:tc>
        <w:tc>
          <w:tcPr>
            <w:tcW w:w="1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734"/>
              <w:spacing w:after="0"/>
              <w:rPr>
                <w:sz w:val="20"/>
                <w:szCs w:val="20"/>
                <w:color w:val="auto"/>
              </w:rPr>
            </w:pPr>
            <w:r>
              <w:rPr>
                <w:rFonts w:ascii="Arial" w:cs="Arial" w:eastAsia="Arial" w:hAnsi="Arial"/>
                <w:sz w:val="14"/>
                <w:szCs w:val="14"/>
                <w:b w:val="1"/>
                <w:bCs w:val="1"/>
                <w:color w:val="auto"/>
              </w:rPr>
              <w:t>Options Exercisable</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Exercise Price</w:t>
            </w: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Weighted Average</w:t>
            </w:r>
          </w:p>
        </w:tc>
        <w:tc>
          <w:tcPr>
            <w:tcW w:w="13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Options Exercisable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Range</w:t>
            </w:r>
          </w:p>
        </w:tc>
        <w:tc>
          <w:tcPr>
            <w:tcW w:w="1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Exercise Price</w:t>
            </w: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0.00 to $4.00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665,211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471,558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 to $8.00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8.01 to $12.00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11.94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$ 12.01 to $16.00</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74,500</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14.74</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$ 16.01 to $20.00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18.80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56"/>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1,226,117</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5.44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983,208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F-27</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non-vested stock options outstanding as of December 31,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Non-vested Shares</w:t>
            </w:r>
          </w:p>
        </w:tc>
        <w:tc>
          <w:tcPr>
            <w:tcW w:w="80" w:type="dxa"/>
            <w:vAlign w:val="bottom"/>
          </w:tcPr>
          <w:p>
            <w:pPr>
              <w:spacing w:after="0"/>
              <w:rPr>
                <w:sz w:val="14"/>
                <w:szCs w:val="14"/>
                <w:color w:val="auto"/>
              </w:rPr>
            </w:pPr>
          </w:p>
        </w:tc>
        <w:tc>
          <w:tcPr>
            <w:tcW w:w="17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vMerge w:val="restart"/>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Date 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Non-vested at June 30, 2009</w:t>
            </w:r>
          </w:p>
        </w:tc>
        <w:tc>
          <w:tcPr>
            <w:tcW w:w="1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296,773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Granted</w:t>
            </w:r>
          </w:p>
        </w:tc>
        <w:tc>
          <w:tcPr>
            <w:tcW w:w="1940" w:type="dxa"/>
            <w:vAlign w:val="bottom"/>
            <w:gridSpan w:val="3"/>
          </w:tcPr>
          <w:p>
            <w:pPr>
              <w:jc w:val="right"/>
              <w:ind w:right="140"/>
              <w:spacing w:after="0"/>
              <w:rPr>
                <w:sz w:val="20"/>
                <w:szCs w:val="20"/>
                <w:color w:val="auto"/>
              </w:rPr>
            </w:pPr>
            <w:r>
              <w:rPr>
                <w:rFonts w:ascii="Arial" w:cs="Arial" w:eastAsia="Arial" w:hAnsi="Arial"/>
                <w:sz w:val="16"/>
                <w:szCs w:val="16"/>
                <w:color w:val="auto"/>
              </w:rPr>
              <w:t>102,500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Vested</w:t>
            </w:r>
          </w:p>
        </w:tc>
        <w:tc>
          <w:tcPr>
            <w:tcW w:w="19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(105,394)</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Forfeited prior to vesting</w:t>
            </w:r>
          </w:p>
        </w:tc>
        <w:tc>
          <w:tcPr>
            <w:tcW w:w="80" w:type="dxa"/>
            <w:vAlign w:val="bottom"/>
          </w:tcPr>
          <w:p>
            <w:pPr>
              <w:spacing w:after="0"/>
              <w:rPr>
                <w:sz w:val="17"/>
                <w:szCs w:val="17"/>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(50,970)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Non-vested at December 31, 2009</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242,909</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2009, the total compensation cost related to stock options not yet recognized and before the affect of any forfeitures was $379, which is expected to be recognized over approximately the next 3 years on a straight-line basis.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weighted-average estimated grant date fair value of the stock options granted during the period ended December 31, 2009, and fiscal years ended June 30, 2009 and 2008 was $1.12, $1.64 and $3.69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jc w:val="right"/>
              <w:ind w:right="356"/>
              <w:spacing w:after="0"/>
              <w:rPr>
                <w:sz w:val="20"/>
                <w:szCs w:val="20"/>
                <w:color w:val="auto"/>
              </w:rPr>
            </w:pPr>
            <w:r>
              <w:rPr>
                <w:rFonts w:ascii="Arial" w:cs="Arial" w:eastAsia="Arial" w:hAnsi="Arial"/>
                <w:sz w:val="14"/>
                <w:szCs w:val="14"/>
                <w:b w:val="1"/>
                <w:bCs w:val="1"/>
                <w:color w:val="auto"/>
              </w:rPr>
              <w:t>Six months ended</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Year Ended</w:t>
            </w:r>
          </w:p>
        </w:tc>
        <w:tc>
          <w:tcPr>
            <w:tcW w:w="1560" w:type="dxa"/>
            <w:vAlign w:val="bottom"/>
          </w:tcPr>
          <w:p>
            <w:pPr>
              <w:jc w:val="right"/>
              <w:ind w:right="336"/>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 2009</w:t>
            </w: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June 30, 2009</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2008</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Customer B</w:t>
            </w:r>
          </w:p>
        </w:tc>
        <w:tc>
          <w:tcPr>
            <w:tcW w:w="1920" w:type="dxa"/>
            <w:vAlign w:val="bottom"/>
          </w:tcPr>
          <w:p>
            <w:pPr>
              <w:jc w:val="right"/>
              <w:spacing w:after="0"/>
              <w:rPr>
                <w:sz w:val="20"/>
                <w:szCs w:val="20"/>
                <w:color w:val="auto"/>
              </w:rPr>
            </w:pPr>
            <w:r>
              <w:rPr>
                <w:rFonts w:ascii="Arial" w:cs="Arial" w:eastAsia="Arial" w:hAnsi="Arial"/>
                <w:sz w:val="18"/>
                <w:szCs w:val="18"/>
                <w:color w:val="auto"/>
              </w:rPr>
              <w:t>12.6%</w:t>
            </w:r>
          </w:p>
        </w:tc>
        <w:tc>
          <w:tcPr>
            <w:tcW w:w="1620" w:type="dxa"/>
            <w:vAlign w:val="bottom"/>
          </w:tcPr>
          <w:p>
            <w:pPr>
              <w:jc w:val="right"/>
              <w:spacing w:after="0"/>
              <w:rPr>
                <w:sz w:val="20"/>
                <w:szCs w:val="20"/>
                <w:color w:val="auto"/>
              </w:rPr>
            </w:pPr>
            <w:r>
              <w:rPr>
                <w:rFonts w:ascii="Arial" w:cs="Arial" w:eastAsia="Arial" w:hAnsi="Arial"/>
                <w:sz w:val="18"/>
                <w:szCs w:val="18"/>
                <w:color w:val="auto"/>
              </w:rPr>
              <w:t>15.0%</w:t>
            </w:r>
          </w:p>
        </w:tc>
        <w:tc>
          <w:tcPr>
            <w:tcW w:w="15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20" w:type="dxa"/>
            <w:vAlign w:val="bottom"/>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920" w:type="dxa"/>
            <w:vAlign w:val="bottom"/>
            <w:tcBorders>
              <w:right w:val="single" w:sz="8" w:color="CCEEFF"/>
            </w:tcBorders>
            <w:shd w:val="clear" w:color="auto" w:fill="000000"/>
          </w:tcPr>
          <w:p>
            <w:pPr>
              <w:spacing w:after="0"/>
              <w:rPr>
                <w:sz w:val="2"/>
                <w:szCs w:val="2"/>
                <w:color w:val="auto"/>
              </w:rPr>
            </w:pPr>
          </w:p>
        </w:tc>
        <w:tc>
          <w:tcPr>
            <w:tcW w:w="1620" w:type="dxa"/>
            <w:vAlign w:val="bottom"/>
            <w:tcBorders>
              <w:right w:val="single" w:sz="8" w:color="CCEEFF"/>
            </w:tcBorders>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spacing w:after="0"/>
              <w:rPr>
                <w:sz w:val="20"/>
                <w:szCs w:val="20"/>
                <w:color w:val="auto"/>
              </w:rPr>
            </w:pPr>
            <w:r>
              <w:rPr>
                <w:rFonts w:ascii="Arial" w:cs="Arial" w:eastAsia="Arial" w:hAnsi="Arial"/>
                <w:sz w:val="18"/>
                <w:szCs w:val="18"/>
                <w:color w:val="auto"/>
              </w:rPr>
              <w:t>50.0%</w:t>
            </w:r>
          </w:p>
        </w:tc>
        <w:tc>
          <w:tcPr>
            <w:tcW w:w="1620" w:type="dxa"/>
            <w:vAlign w:val="bottom"/>
          </w:tcPr>
          <w:p>
            <w:pPr>
              <w:jc w:val="right"/>
              <w:spacing w:after="0"/>
              <w:rPr>
                <w:sz w:val="20"/>
                <w:szCs w:val="20"/>
                <w:color w:val="auto"/>
              </w:rPr>
            </w:pPr>
            <w:r>
              <w:rPr>
                <w:rFonts w:ascii="Arial" w:cs="Arial" w:eastAsia="Arial" w:hAnsi="Arial"/>
                <w:sz w:val="18"/>
                <w:szCs w:val="18"/>
                <w:color w:val="auto"/>
              </w:rPr>
              <w:t>58.0%</w:t>
            </w:r>
          </w:p>
        </w:tc>
        <w:tc>
          <w:tcPr>
            <w:tcW w:w="15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jc w:val="right"/>
              <w:ind w:right="756"/>
              <w:spacing w:after="0"/>
              <w:rPr>
                <w:sz w:val="20"/>
                <w:szCs w:val="20"/>
                <w:color w:val="auto"/>
              </w:rPr>
            </w:pPr>
            <w:r>
              <w:rPr>
                <w:rFonts w:ascii="Arial" w:cs="Arial" w:eastAsia="Arial" w:hAnsi="Arial"/>
                <w:sz w:val="14"/>
                <w:szCs w:val="14"/>
                <w:b w:val="1"/>
                <w:bCs w:val="1"/>
                <w:color w:val="auto"/>
              </w:rPr>
              <w:t>As of</w:t>
            </w:r>
          </w:p>
        </w:tc>
        <w:tc>
          <w:tcPr>
            <w:tcW w:w="1620" w:type="dxa"/>
            <w:vAlign w:val="bottom"/>
          </w:tcPr>
          <w:p>
            <w:pPr>
              <w:jc w:val="right"/>
              <w:ind w:right="596"/>
              <w:spacing w:after="0"/>
              <w:rPr>
                <w:sz w:val="20"/>
                <w:szCs w:val="20"/>
                <w:color w:val="auto"/>
              </w:rPr>
            </w:pPr>
            <w:r>
              <w:rPr>
                <w:rFonts w:ascii="Arial" w:cs="Arial" w:eastAsia="Arial" w:hAnsi="Arial"/>
                <w:sz w:val="14"/>
                <w:szCs w:val="14"/>
                <w:b w:val="1"/>
                <w:bCs w:val="1"/>
                <w:color w:val="auto"/>
              </w:rPr>
              <w:t>As of</w:t>
            </w:r>
          </w:p>
        </w:tc>
        <w:tc>
          <w:tcPr>
            <w:tcW w:w="1560" w:type="dxa"/>
            <w:vAlign w:val="bottom"/>
          </w:tcPr>
          <w:p>
            <w:pPr>
              <w:jc w:val="right"/>
              <w:ind w:right="536"/>
              <w:spacing w:after="0"/>
              <w:rPr>
                <w:sz w:val="20"/>
                <w:szCs w:val="20"/>
                <w:color w:val="auto"/>
              </w:rPr>
            </w:pPr>
            <w:r>
              <w:rPr>
                <w:rFonts w:ascii="Arial" w:cs="Arial" w:eastAsia="Arial" w:hAnsi="Arial"/>
                <w:sz w:val="14"/>
                <w:szCs w:val="14"/>
                <w:b w:val="1"/>
                <w:bCs w:val="1"/>
                <w:color w:val="auto"/>
              </w:rPr>
              <w:t>As of</w:t>
            </w: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 2009</w:t>
            </w:r>
          </w:p>
        </w:tc>
        <w:tc>
          <w:tcPr>
            <w:tcW w:w="16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June 30, 2009</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2008</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Customer B</w:t>
            </w:r>
          </w:p>
        </w:tc>
        <w:tc>
          <w:tcPr>
            <w:tcW w:w="1920" w:type="dxa"/>
            <w:vAlign w:val="bottom"/>
          </w:tcPr>
          <w:p>
            <w:pPr>
              <w:jc w:val="right"/>
              <w:spacing w:after="0"/>
              <w:rPr>
                <w:sz w:val="20"/>
                <w:szCs w:val="20"/>
                <w:color w:val="auto"/>
              </w:rPr>
            </w:pPr>
            <w:r>
              <w:rPr>
                <w:rFonts w:ascii="Arial" w:cs="Arial" w:eastAsia="Arial" w:hAnsi="Arial"/>
                <w:sz w:val="18"/>
                <w:szCs w:val="18"/>
                <w:color w:val="auto"/>
              </w:rPr>
              <w:t>12.2%</w:t>
            </w:r>
          </w:p>
        </w:tc>
        <w:tc>
          <w:tcPr>
            <w:tcW w:w="1620" w:type="dxa"/>
            <w:vAlign w:val="bottom"/>
          </w:tcPr>
          <w:p>
            <w:pPr>
              <w:jc w:val="right"/>
              <w:spacing w:after="0"/>
              <w:rPr>
                <w:sz w:val="20"/>
                <w:szCs w:val="20"/>
                <w:color w:val="auto"/>
              </w:rPr>
            </w:pPr>
            <w:r>
              <w:rPr>
                <w:rFonts w:ascii="Arial" w:cs="Arial" w:eastAsia="Arial" w:hAnsi="Arial"/>
                <w:sz w:val="18"/>
                <w:szCs w:val="18"/>
                <w:color w:val="auto"/>
              </w:rPr>
              <w:t>15.5%</w:t>
            </w:r>
          </w:p>
        </w:tc>
        <w:tc>
          <w:tcPr>
            <w:tcW w:w="15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20" w:type="dxa"/>
            <w:vAlign w:val="bottom"/>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920" w:type="dxa"/>
            <w:vAlign w:val="bottom"/>
            <w:tcBorders>
              <w:right w:val="single" w:sz="8" w:color="CCEEFF"/>
            </w:tcBorders>
            <w:shd w:val="clear" w:color="auto" w:fill="000000"/>
          </w:tcPr>
          <w:p>
            <w:pPr>
              <w:spacing w:after="0"/>
              <w:rPr>
                <w:sz w:val="2"/>
                <w:szCs w:val="2"/>
                <w:color w:val="auto"/>
              </w:rPr>
            </w:pPr>
          </w:p>
        </w:tc>
        <w:tc>
          <w:tcPr>
            <w:tcW w:w="1620" w:type="dxa"/>
            <w:vAlign w:val="bottom"/>
            <w:tcBorders>
              <w:right w:val="single" w:sz="8" w:color="CCEEFF"/>
            </w:tcBorders>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spacing w:after="0"/>
              <w:rPr>
                <w:sz w:val="20"/>
                <w:szCs w:val="20"/>
                <w:color w:val="auto"/>
              </w:rPr>
            </w:pPr>
            <w:r>
              <w:rPr>
                <w:rFonts w:ascii="Arial" w:cs="Arial" w:eastAsia="Arial" w:hAnsi="Arial"/>
                <w:sz w:val="18"/>
                <w:szCs w:val="18"/>
                <w:color w:val="auto"/>
              </w:rPr>
              <w:t>47.0%</w:t>
            </w:r>
          </w:p>
        </w:tc>
        <w:tc>
          <w:tcPr>
            <w:tcW w:w="1620" w:type="dxa"/>
            <w:vAlign w:val="bottom"/>
          </w:tcPr>
          <w:p>
            <w:pPr>
              <w:jc w:val="right"/>
              <w:spacing w:after="0"/>
              <w:rPr>
                <w:sz w:val="20"/>
                <w:szCs w:val="20"/>
                <w:color w:val="auto"/>
              </w:rPr>
            </w:pPr>
            <w:r>
              <w:rPr>
                <w:rFonts w:ascii="Arial" w:cs="Arial" w:eastAsia="Arial" w:hAnsi="Arial"/>
                <w:sz w:val="18"/>
                <w:szCs w:val="18"/>
                <w:color w:val="auto"/>
              </w:rPr>
              <w:t>43.8%</w:t>
            </w:r>
          </w:p>
        </w:tc>
        <w:tc>
          <w:tcPr>
            <w:tcW w:w="156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revenues and have a material adverse effect on the Company’s business and results of operations.</w:t>
      </w: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Savings and Profit Sharing Plan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The Company’s contribution is determined annually by the board of directors. The Company’s retirement plan contribution expense for the six months ended December 31, 2009 and fiscal years ended June 30, 2009 and 2008 totaled $0, $107 and $108,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Six months ended</w:t>
            </w:r>
          </w:p>
        </w:tc>
        <w:tc>
          <w:tcPr>
            <w:tcW w:w="1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December 31, 2009</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June 30, 2009</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June 30, 2008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Non U.S.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Six months ended</w:t>
            </w: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2009</w:t>
            </w:r>
          </w:p>
        </w:tc>
        <w:tc>
          <w:tcPr>
            <w:tcW w:w="14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June 30, 2009</w:t>
            </w:r>
          </w:p>
        </w:tc>
        <w:tc>
          <w:tcPr>
            <w:tcW w:w="1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June 30,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U.S. Federal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U.S. State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U.S. Federal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U.S. State</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Change in deferred before valuation</w:t>
            </w: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allowance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Total deferred</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Six months ended</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2009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2"/>
              </w:rPr>
              <w:t>June 30, 2009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June 30, 2008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 at 34.0 percent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w w:val="94"/>
              </w:rPr>
              <w:t>State income tax (provision) benefit, net of federal income</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Repatriated foreign earnings</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tax credit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Non-deductible ASC Topic 718 compensation expense</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or losses taxed at different rates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items and other</w:t>
            </w: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Significant components of the net U.S. deferred income tax assets and (liabilities)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660"/>
              <w:spacing w:after="0" w:line="139" w:lineRule="exact"/>
              <w:rPr>
                <w:sz w:val="20"/>
                <w:szCs w:val="20"/>
                <w:color w:val="auto"/>
              </w:rPr>
            </w:pPr>
            <w:r>
              <w:rPr>
                <w:rFonts w:ascii="Arial" w:cs="Arial" w:eastAsia="Arial" w:hAnsi="Arial"/>
                <w:sz w:val="14"/>
                <w:szCs w:val="14"/>
                <w:b w:val="1"/>
                <w:bCs w:val="1"/>
                <w:color w:val="auto"/>
              </w:rPr>
              <w:t>As of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216"/>
              <w:spacing w:after="0" w:line="139" w:lineRule="exact"/>
              <w:rPr>
                <w:sz w:val="20"/>
                <w:szCs w:val="20"/>
                <w:color w:val="auto"/>
              </w:rPr>
            </w:pPr>
            <w:r>
              <w:rPr>
                <w:rFonts w:ascii="Arial" w:cs="Arial" w:eastAsia="Arial" w:hAnsi="Arial"/>
                <w:sz w:val="14"/>
                <w:szCs w:val="14"/>
                <w:b w:val="1"/>
                <w:bCs w:val="1"/>
                <w:color w:val="auto"/>
              </w:rPr>
              <w:t>As of</w:t>
            </w: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196"/>
              <w:spacing w:after="0" w:line="139" w:lineRule="exact"/>
              <w:rPr>
                <w:sz w:val="20"/>
                <w:szCs w:val="20"/>
                <w:color w:val="auto"/>
              </w:rPr>
            </w:pPr>
            <w:r>
              <w:rPr>
                <w:rFonts w:ascii="Arial" w:cs="Arial" w:eastAsia="Arial" w:hAnsi="Arial"/>
                <w:sz w:val="14"/>
                <w:szCs w:val="14"/>
                <w:b w:val="1"/>
                <w:bCs w:val="1"/>
                <w:color w:val="auto"/>
              </w:rPr>
              <w:t>As of</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 2009</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2009</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30,2008</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3"/>
                <w:szCs w:val="13"/>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Long-term</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Long-term</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b w:val="1"/>
                <w:bCs w:val="1"/>
                <w:color w:val="auto"/>
                <w:w w:val="98"/>
              </w:rPr>
              <w:t>Current</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1,462</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line="216" w:lineRule="exact"/>
              <w:rPr>
                <w:sz w:val="20"/>
                <w:szCs w:val="20"/>
                <w:color w:val="auto"/>
              </w:rPr>
            </w:pPr>
            <w:r>
              <w:rPr>
                <w:rFonts w:ascii="Arial" w:cs="Arial" w:eastAsia="Arial" w:hAnsi="Arial"/>
                <w:sz w:val="16"/>
                <w:szCs w:val="16"/>
                <w:color w:val="auto"/>
              </w:rPr>
              <w:t xml:space="preserve">(707 </w:t>
            </w:r>
            <w:r>
              <w:rPr>
                <w:rFonts w:ascii="Arial" w:cs="Arial" w:eastAsia="Arial" w:hAnsi="Arial"/>
                <w:sz w:val="25"/>
                <w:szCs w:val="25"/>
                <w:color w:val="auto"/>
                <w:vertAlign w:val="subscript"/>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815</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Accumulated research and development credits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Alternative minimum tax credits</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848</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Deductible SFAS 123R compensation expense</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 and doubtful accounts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Difference in property and equipment basis</w:t>
            </w: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line="216" w:lineRule="exact"/>
              <w:rPr>
                <w:sz w:val="20"/>
                <w:szCs w:val="20"/>
                <w:color w:val="auto"/>
              </w:rPr>
            </w:pPr>
            <w:r>
              <w:rPr>
                <w:rFonts w:ascii="Arial" w:cs="Arial" w:eastAsia="Arial" w:hAnsi="Arial"/>
                <w:sz w:val="16"/>
                <w:szCs w:val="16"/>
                <w:color w:val="auto"/>
              </w:rPr>
              <w:t xml:space="preserve">(527 </w:t>
            </w:r>
            <w:r>
              <w:rPr>
                <w:rFonts w:ascii="Arial" w:cs="Arial" w:eastAsia="Arial" w:hAnsi="Arial"/>
                <w:sz w:val="25"/>
                <w:szCs w:val="25"/>
                <w:color w:val="auto"/>
                <w:vertAlign w:val="subscript"/>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23"/>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6"/>
                <w:szCs w:val="16"/>
                <w:color w:val="auto"/>
              </w:rPr>
              <w:t xml:space="preserve">(14 </w:t>
            </w:r>
            <w:r>
              <w:rPr>
                <w:rFonts w:ascii="Arial" w:cs="Arial" w:eastAsia="Arial" w:hAnsi="Arial"/>
                <w:sz w:val="25"/>
                <w:szCs w:val="25"/>
                <w:color w:val="auto"/>
                <w:vertAlign w:val="subscript"/>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Total net deferred income tax asset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2,087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1,639</w:t>
            </w: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6"/>
                <w:szCs w:val="16"/>
                <w:color w:val="auto"/>
              </w:rPr>
              <w:t xml:space="preserve">(880 </w:t>
            </w:r>
            <w:r>
              <w:rPr>
                <w:rFonts w:ascii="Arial" w:cs="Arial" w:eastAsia="Arial" w:hAnsi="Arial"/>
                <w:sz w:val="25"/>
                <w:szCs w:val="25"/>
                <w:color w:val="auto"/>
                <w:vertAlign w:val="subscript"/>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deferred income tax asset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1,639</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has not provided for U.S. deferred income taxes or foreign withholding taxes on undistributed earnings of its non-U.S. subsidiary located in Hong Kong since these earnings are intended to be reinvested indefinitely in operations in Hong Kong, in accordance with guidelines contained in ASC Topic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It is not practical to estimate the amount of additional taxes that might be payable on such undistributed earnings. For other non-U.S. subsidiaries the Company provides for U.S. deferred income taxes or foreign withholding taxes on undistributed earnings. As of December 31, 2009 there were no significant earnings on which to provide U.S. taxes.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accordance with ASC Topic 740, the Company analyzed its valuation allowance at June 30, 2009 and determined that, based upon available evidence, it is more likely than not that certain of its deferred tax assets may not be realized and, as such, has established a valuation allowance against certain deferred tax assets. These deferred tax assets include capital and unrealized loss carryovers, and certain state net operating loss carryovers and state research and development credits. At December 31, 2009 the Company continued to record a valuation allowance against its capital loss carryover and state research and development credits. During the six months ended December 31, 2009 the Company reversed its unrealized loss carryforward after the asset this loss was associated with was disposed of and the Company withdrew from certain states that had the net operating loss carryover that the Company had recorded a valuation allowance against.</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2009, the Company had federal alternative minimum tax (“AMT”) credit carryforwards of $409 which have no expiration date. The Company had federal and state research credit carryovers of $320 and $825, respectively, which will begin to expire in 2029 and 2016, respectively, if not utilized. The Company has federal and state net operating loss (“NOL”) carryforwards of approximately $2,123 and $3,271, respectively. The federal NOL carryforwards will begin to expire in 2029. The state NOL carryforwards will expire depending on the rules of the various states to which the carryovers relate.</w:t>
      </w:r>
    </w:p>
    <w:p>
      <w:pPr>
        <w:spacing w:after="0" w:line="21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six months ended December 31, 2009, the Company acquired all of the stock of NetStreams, Inc. (“NetStreams”). As of the last filing of NetStreams federal income tax return, NetStreams had approximately $27,800 in federal NOL carryovers. Due to change in ownership limitations imposed by Internal Revenue Code Section 382, the Company will only be able to utilize approximately $1,200 of these NOL carryovers. Additionally, due to these change in ownership rules, the Company will only be able to utilize approximately $63 a year of NetStreams’ NOL carryovers.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adopted the provisions of Topic 740 related to uncertain tax positions on July 1, 2007. This interpretation clarifies the accounting for uncertain tax positions and requires companies to recognize the impact of a tax position in their financial statements if that position is more likely than not of being sustained on audit, based on the technical merits of the position.</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total liability for unrecognized tax benefits at December 31, 2009 and June 30, 2009 and 2008, including temporary tax differences, was $1,304, $1,262 and $1,209, respectively, of which $1,232, $1,189 and $1,054, respectively, would favorably impact our effective tax rate if recognized. As of December 31, 2009 and June 30, 2009 and 2008, we accrued $84, $63 and $57, respectively, in interest and penalties related to unrecognized tax benefits. We account for interest expense and penalties for unrecognized tax benefits as part of our income tax provision. We do not anticipate that unrecognized tax benefits will significantly increase or decrease within 12 months of the reporting date.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six month period ended December 31, 2009, we increased our liability for unrecognized tax benefits by $42. Of our total liability for unrecognized tax benefits, approximately $49 would favorably impact our effective tax rate if recognized. Included in this amount is approximately $33 for the six months ended December 31, 2009 related to interest and penalties expense. We did not record any unrecognized tax benefit related to the lapse of applicable statutes of limitations during this six month period.</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twelve month period ended June 30, 2009, we increased our liability for unrecognized tax benefits by $47. This increase in our unrecognized tax benefits is a result of utilization of certain tax attributes for which we typically record an unrecognized tax benefit. We recorded an unrecognized tax benefit related to the lapse of applicable statute of limitations of $213, of which $131 favorably impacted our effective tax rate. We also added $179 to our liability for unrecognized tax benefits, of which $97 had an unfavorable impact on our effective tax rate.</w:t>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Unrecognized tax benefits, beginning balance</w:t>
            </w:r>
          </w:p>
        </w:tc>
        <w:tc>
          <w:tcPr>
            <w:tcW w:w="14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 2009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June 30, 2009</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 2008</w:t>
            </w:r>
          </w:p>
        </w:tc>
        <w:tc>
          <w:tcPr>
            <w:tcW w:w="0" w:type="dxa"/>
            <w:vAlign w:val="bottom"/>
          </w:tcPr>
          <w:p>
            <w:pPr>
              <w:spacing w:after="0"/>
              <w:rPr>
                <w:sz w:val="1"/>
                <w:szCs w:val="1"/>
                <w:color w:val="auto"/>
              </w:rPr>
            </w:pPr>
          </w:p>
        </w:tc>
      </w:tr>
      <w:tr>
        <w:trPr>
          <w:trHeight w:val="216"/>
        </w:trPr>
        <w:tc>
          <w:tcPr>
            <w:tcW w:w="436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positions taken in a prior period</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Gross increases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decreases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6"/>
                <w:szCs w:val="16"/>
                <w:color w:val="auto"/>
              </w:rPr>
              <w:t>(28</w:t>
            </w:r>
            <w:r>
              <w:rPr>
                <w:rFonts w:ascii="Arial" w:cs="Arial" w:eastAsia="Arial" w:hAnsi="Arial"/>
                <w:sz w:val="25"/>
                <w:szCs w:val="25"/>
                <w:color w:val="auto"/>
                <w:vertAlign w:val="superscript"/>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Tax positions taken in the current period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increases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 of applicable statute of limitations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Unrecognized tax benefits, ending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Company’s U.S. federal income tax returns for 2007 through 2009 are open tax years. The Company also files in various state and foreign jurisdictions. With few exceptions, the Company is no longer subject to federal, state, or non-U.S. income tax examinations by tax authorities for years prior to 2007. The Company is currently under audit by the Internal Revenue Service (“IRS”) for its 2008 tax return. As of the report date, the audit by the IRS has not progressed to a point to where any estimate can be made of adjustments that may be proposed by the 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Sales Information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117"/>
              <w:spacing w:after="0"/>
              <w:rPr>
                <w:sz w:val="20"/>
                <w:szCs w:val="20"/>
                <w:color w:val="auto"/>
              </w:rPr>
            </w:pPr>
            <w:r>
              <w:rPr>
                <w:rFonts w:ascii="Arial" w:cs="Arial" w:eastAsia="Arial" w:hAnsi="Arial"/>
                <w:sz w:val="14"/>
                <w:szCs w:val="14"/>
                <w:b w:val="1"/>
                <w:bCs w:val="1"/>
                <w:color w:val="auto"/>
                <w:w w:val="91"/>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Year Ended</w:t>
            </w: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December 31, 2009</w:t>
            </w: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2009</w:t>
            </w:r>
          </w:p>
        </w:tc>
        <w:tc>
          <w:tcPr>
            <w:tcW w:w="140" w:type="dxa"/>
            <w:vAlign w:val="bottom"/>
          </w:tcPr>
          <w:p>
            <w:pPr>
              <w:spacing w:after="0"/>
              <w:rPr>
                <w:sz w:val="15"/>
                <w:szCs w:val="15"/>
                <w:color w:val="auto"/>
              </w:rPr>
            </w:pPr>
          </w:p>
        </w:tc>
        <w:tc>
          <w:tcPr>
            <w:tcW w:w="10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6"/>
              </w:rPr>
              <w:t>June 30, 2008</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24,214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27,371</w:t>
            </w: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All other countries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3"/>
              </w:rPr>
              <w:t>11,486</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r>
      <w:tr>
        <w:trPr>
          <w:trHeight w:val="237"/>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38,758</w:t>
            </w: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ectPr>
          <w:pgSz w:w="11900" w:h="16838" w:orient="portrait"/>
          <w:cols w:equalWidth="0" w:num="1">
            <w:col w:w="11420"/>
          </w:cols>
          <w:pgMar w:left="240" w:top="118"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Prior year information comparable to transition period</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Unaudited Condensed Balance Sheet as of December 31, 2008</w:t>
      </w:r>
    </w:p>
    <w:p>
      <w:pPr>
        <w:spacing w:after="0" w:line="27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70789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allowance for doubtful accounts of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Prepaid expenses and other assets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0789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assets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0789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4707890" cy="171450"/>
                    </a:xfrm>
                    <a:prstGeom prst="rect">
                      <a:avLst/>
                    </a:prstGeom>
                    <a:noFill/>
                  </pic:spPr>
                </pic:pic>
              </a:graphicData>
            </a:graphic>
          </wp:anchor>
        </w:drawing>
      </w:r>
    </w:p>
    <w:p>
      <w:pPr>
        <w:spacing w:after="0" w:line="188" w:lineRule="exact"/>
        <w:rPr>
          <w:sz w:val="20"/>
          <w:szCs w:val="20"/>
          <w:color w:val="auto"/>
        </w:rPr>
      </w:pPr>
    </w:p>
    <w:p>
      <w:pPr>
        <w:ind w:right="340" w:firstLine="996"/>
        <w:spacing w:after="0" w:line="261" w:lineRule="auto"/>
        <w:rPr>
          <w:sz w:val="20"/>
          <w:szCs w:val="20"/>
          <w:color w:val="auto"/>
        </w:rPr>
      </w:pPr>
      <w:r>
        <w:rPr>
          <w:rFonts w:ascii="Arial" w:cs="Arial" w:eastAsia="Arial" w:hAnsi="Arial"/>
          <w:sz w:val="18"/>
          <w:szCs w:val="18"/>
          <w:b w:val="1"/>
          <w:bCs w:val="1"/>
          <w:color w:val="auto"/>
        </w:rPr>
        <w:t xml:space="preserve">LIABILITIES AND SHAREHOLDERS' EQUITY </w:t>
      </w: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470789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4707890" cy="15430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long-term liabilities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0789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4707890" cy="15430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0789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0" w:hanging="996"/>
        <w:spacing w:after="0"/>
        <w:tabs>
          <w:tab w:leader="none" w:pos="10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2,323</w:t>
      </w:r>
    </w:p>
    <w:p>
      <w:pPr>
        <w:spacing w:after="0" w:line="57"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9,628</w:t>
      </w:r>
    </w:p>
    <w:p>
      <w:pPr>
        <w:spacing w:after="0" w:line="43"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7,546</w:t>
      </w:r>
    </w:p>
    <w:p>
      <w:pPr>
        <w:spacing w:after="0" w:line="44"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13,094</w:t>
      </w:r>
    </w:p>
    <w:p>
      <w:pPr>
        <w:spacing w:after="0" w:line="9"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3,124</w:t>
      </w:r>
    </w:p>
    <w:p>
      <w:pPr>
        <w:spacing w:after="0" w:line="9"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88328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883285" cy="17145"/>
                    </a:xfrm>
                    <a:prstGeom prst="rect">
                      <a:avLst/>
                    </a:prstGeom>
                    <a:noFill/>
                  </pic:spPr>
                </pic:pic>
              </a:graphicData>
            </a:graphic>
          </wp:anchor>
        </w:drawing>
      </w:r>
    </w:p>
    <w:p>
      <w:pPr>
        <w:spacing w:after="0" w:line="2"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36,934</w:t>
      </w:r>
    </w:p>
    <w:p>
      <w:pPr>
        <w:spacing w:after="0" w:line="23"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2,768</w:t>
      </w:r>
    </w:p>
    <w:p>
      <w:pPr>
        <w:spacing w:after="0" w:line="9"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724</w:t>
      </w:r>
    </w:p>
    <w:p>
      <w:pPr>
        <w:spacing w:after="0" w:line="9"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88328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883285" cy="17145"/>
                    </a:xfrm>
                    <a:prstGeom prst="rect">
                      <a:avLst/>
                    </a:prstGeom>
                    <a:noFill/>
                  </pic:spPr>
                </pic:pic>
              </a:graphicData>
            </a:graphic>
          </wp:anchor>
        </w:drawing>
      </w:r>
    </w:p>
    <w:p>
      <w:pPr>
        <w:spacing w:after="0" w:line="2" w:lineRule="exact"/>
        <w:rPr>
          <w:sz w:val="20"/>
          <w:szCs w:val="20"/>
          <w:color w:val="auto"/>
        </w:rPr>
      </w:pPr>
    </w:p>
    <w:p>
      <w:pPr>
        <w:ind w:left="900" w:hanging="89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40,489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0" w:hanging="951"/>
        <w:spacing w:after="0"/>
        <w:tabs>
          <w:tab w:leader="none" w:pos="10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1,736</w:t>
      </w:r>
    </w:p>
    <w:p>
      <w:pPr>
        <w:spacing w:after="0" w:line="57"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3,308</w:t>
      </w:r>
    </w:p>
    <w:p>
      <w:pPr>
        <w:spacing w:after="0" w:line="43"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5,320</w:t>
      </w:r>
    </w:p>
    <w:p>
      <w:pPr>
        <w:spacing w:after="0" w:line="56"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10,364</w:t>
      </w:r>
    </w:p>
    <w:p>
      <w:pPr>
        <w:spacing w:after="0" w:line="23"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622</w:t>
      </w:r>
    </w:p>
    <w:p>
      <w:pPr>
        <w:spacing w:after="0" w:line="9"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1,372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88328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883285" cy="17145"/>
                    </a:xfrm>
                    <a:prstGeom prst="rect">
                      <a:avLst/>
                    </a:prstGeom>
                    <a:noFill/>
                  </pic:spPr>
                </pic:pic>
              </a:graphicData>
            </a:graphic>
          </wp:anchor>
        </w:drawing>
      </w:r>
    </w:p>
    <w:p>
      <w:pPr>
        <w:spacing w:after="0" w:line="2"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12,358</w:t>
      </w:r>
    </w:p>
    <w:p>
      <w:pPr>
        <w:spacing w:after="0" w:line="200" w:lineRule="exact"/>
        <w:rPr>
          <w:sz w:val="20"/>
          <w:szCs w:val="20"/>
          <w:color w:val="auto"/>
        </w:rPr>
      </w:pPr>
    </w:p>
    <w:p>
      <w:pPr>
        <w:spacing w:after="0" w:line="201"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38,191</w:t>
      </w:r>
    </w:p>
    <w:p>
      <w:pPr>
        <w:spacing w:after="0" w:line="9"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36</w:t>
      </w:r>
    </w:p>
    <w:p>
      <w:pPr>
        <w:spacing w:after="0" w:line="18" w:lineRule="exact"/>
        <w:rPr>
          <w:sz w:val="20"/>
          <w:szCs w:val="20"/>
          <w:color w:val="auto"/>
        </w:rPr>
      </w:pPr>
    </w:p>
    <w:p>
      <w:pPr>
        <w:sectPr>
          <w:pgSz w:w="11900" w:h="16838" w:orient="portrait"/>
          <w:cols w:equalWidth="0" w:num="2">
            <w:col w:w="5240" w:space="720"/>
            <w:col w:w="54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40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66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28,131</w:t>
            </w:r>
          </w:p>
        </w:tc>
        <w:tc>
          <w:tcPr>
            <w:tcW w:w="40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6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40,489</w:t>
            </w:r>
          </w:p>
        </w:tc>
        <w:tc>
          <w:tcPr>
            <w:tcW w:w="4000" w:type="dxa"/>
            <w:vAlign w:val="bottom"/>
          </w:tcPr>
          <w:p>
            <w:pPr>
              <w:spacing w:after="0"/>
              <w:rPr>
                <w:sz w:val="22"/>
                <w:szCs w:val="22"/>
                <w:color w:val="auto"/>
              </w:rPr>
            </w:pPr>
          </w:p>
        </w:tc>
      </w:tr>
      <w:tr>
        <w:trPr>
          <w:trHeight w:val="79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F-33</w:t>
            </w:r>
          </w:p>
        </w:tc>
        <w:tc>
          <w:tcPr>
            <w:tcW w:w="10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right"/>
        <w:ind w:right="1999"/>
        <w:spacing w:after="0"/>
        <w:rPr>
          <w:sz w:val="20"/>
          <w:szCs w:val="20"/>
          <w:color w:val="auto"/>
        </w:rPr>
      </w:pPr>
      <w:r>
        <w:rPr>
          <w:rFonts w:ascii="Arial" w:cs="Arial" w:eastAsia="Arial" w:hAnsi="Arial"/>
          <w:sz w:val="18"/>
          <w:szCs w:val="18"/>
          <w:b w:val="1"/>
          <w:bCs w:val="1"/>
          <w:color w:val="auto"/>
        </w:rPr>
        <w:t>CLEARONE COMMUNICATIONS, INC. AND SUBSIDIARIES</w:t>
      </w: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060" w:type="dxa"/>
            <w:vAlign w:val="bottom"/>
            <w:gridSpan w:val="5"/>
          </w:tcPr>
          <w:p>
            <w:pPr>
              <w:ind w:left="3340"/>
              <w:spacing w:after="0" w:line="201"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60" w:type="dxa"/>
            <w:vAlign w:val="bottom"/>
            <w:gridSpan w:val="5"/>
          </w:tcPr>
          <w:p>
            <w:pPr>
              <w:ind w:left="4120"/>
              <w:spacing w:after="0"/>
              <w:rPr>
                <w:sz w:val="20"/>
                <w:szCs w:val="20"/>
                <w:color w:val="auto"/>
              </w:rPr>
            </w:pPr>
            <w:r>
              <w:rPr>
                <w:rFonts w:ascii="Arial" w:cs="Arial" w:eastAsia="Arial" w:hAnsi="Arial"/>
                <w:sz w:val="14"/>
                <w:szCs w:val="14"/>
                <w:b w:val="1"/>
                <w:bCs w:val="1"/>
                <w:color w:val="auto"/>
              </w:rPr>
              <w:t>(in thousands of dollars, except per share amounts)</w:t>
            </w:r>
          </w:p>
        </w:tc>
        <w:tc>
          <w:tcPr>
            <w:tcW w:w="0" w:type="dxa"/>
            <w:vAlign w:val="bottom"/>
          </w:tcPr>
          <w:p>
            <w:pPr>
              <w:spacing w:after="0"/>
              <w:rPr>
                <w:sz w:val="1"/>
                <w:szCs w:val="1"/>
                <w:color w:val="auto"/>
              </w:rPr>
            </w:pPr>
          </w:p>
        </w:tc>
      </w:tr>
      <w:tr>
        <w:trPr>
          <w:trHeight w:val="444"/>
        </w:trPr>
        <w:tc>
          <w:tcPr>
            <w:tcW w:w="646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Unaudited Condensed Income Statement for six months ended December 31, 2008</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7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2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0.24</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7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9,501,381</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9,600,291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646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8"/>
              </w:rPr>
              <w:t>Unaudited Condensed Cash flow statement for six months ended December 31, 2008</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72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Sale of marketable securities</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7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Proceeds from the issuance of common stock</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purchased and retired</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Tax benefit attributable to exercise of stock options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7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7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8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72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Cash paid for interest</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paid for income taxes</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w w:val="94"/>
              </w:rPr>
              <w:t>Exchanged accounts receivable from a vendor with accounts payable</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 the same vendor</w:t>
            </w: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7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Unrealized gain on marketable securities, net of tax of $434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received $350 from the escrow deposit, currently classified under “Prepaid Expenses and Other Assets” towards the final working capital adjustment to reduce the consideration paid on the acquisition and merger of NetStreams, Inc.</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repaid the full balance of $2,000, currently classified under “Current Maturities of Long Term Debt” along with interest. The loan was assumed as part of the acquisition of NetStreams, Inc.</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period ended December 31, 2009 for subsequent events through the date the Financial Statements were available to be issued. The Company is not aware of any subsequent events which would require recognition or disclosure in the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Gentner Communications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BYLAWS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Resolution dated August 24, 1993 and amended by the resolution of Board of Directors on November 11, 2010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OFFICES</w:t>
      </w:r>
    </w:p>
    <w:p>
      <w:pPr>
        <w:spacing w:after="0" w:line="22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1.1 Business Offices. The principal office of the corporation shall be located in such place as shall be designated by the board of directors. The corporation may have such other offices as the board of directors may designate or as the business of the corporation may require from time to time.</w:t>
      </w:r>
    </w:p>
    <w:p>
      <w:pPr>
        <w:spacing w:after="0" w:line="36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1.2 Registered Office. The registered office of the corporation required to be kept by the Utah Revised Business Corporation Act (as it may be amended from time to time, the "Act") shall be located within the State of Utah and may be, but need not be, identical with the principal office. The address of the registered office may be changed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SHAREHOLDERS</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2.1 Annual Meeting. The annual meeting of the shareholders shall be held at such date and time as shall be fixed by the board of directors, for the purpose of electing directors and for the transaction of such other business as may come before the meeting.</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2.2 Special Meetings. Special meetings of the shareholders, for any purpose or purposes described in the meeting notice, may be called by the chairman of the board of directors or by the president, and shall be called by the president at the written request of the directors of not less than one-tenth of all the votes entitled to be cast on any issue proposed to be considered at the meeting.</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2.3 Place of Meeting. The board of directors may designate any place as the place of meeting for any annual or any special meeting of the shareholders. If no designation is made by the directors, the place of meeting shall be the principal office of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2.4 Notice of Meeting</w:t>
      </w:r>
    </w:p>
    <w:p>
      <w:pPr>
        <w:spacing w:after="0" w:line="225" w:lineRule="exact"/>
        <w:rPr>
          <w:sz w:val="20"/>
          <w:szCs w:val="20"/>
          <w:color w:val="auto"/>
        </w:rPr>
      </w:pPr>
    </w:p>
    <w:p>
      <w:pPr>
        <w:ind w:right="60" w:firstLine="8"/>
        <w:spacing w:after="0" w:line="25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Content and Mailings Requirements. Written notice stating the date, time and place of each annual or special shareholder meeting shall be delivered no fewer than 10 nor more than 60 days before the date of the meeting, either personally or by mail, by or at the direction of the president, the board of directors, or other persons calling the meeting, to each shareholder of record entitled to vote at such meeting and to any other shareholder entitled by the Act or the articles of incorporation to receive notice of the meeting. Notice of special shareholder meetings shall include a description of the purpose or purposes for which the meeting is called.</w:t>
      </w:r>
    </w:p>
    <w:p>
      <w:pPr>
        <w:spacing w:after="0" w:line="188" w:lineRule="exact"/>
        <w:rPr>
          <w:rFonts w:ascii="Arial" w:cs="Arial" w:eastAsia="Arial" w:hAnsi="Arial"/>
          <w:sz w:val="18"/>
          <w:szCs w:val="18"/>
          <w:color w:val="auto"/>
        </w:rPr>
      </w:pPr>
    </w:p>
    <w:p>
      <w:pPr>
        <w:ind w:right="420" w:firstLine="8"/>
        <w:spacing w:after="0" w:line="308"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Effective Date. Written notice shall be deemed to be effective at the earlier of (1) when mailed, if addressed to the shareholder's address shown in the corporation's current record of shareholders; or (2) when received, if hand delivered or sent by electronic or facsimile transmission.</w:t>
      </w:r>
    </w:p>
    <w:p>
      <w:pPr>
        <w:spacing w:after="0" w:line="146" w:lineRule="exact"/>
        <w:rPr>
          <w:rFonts w:ascii="Arial" w:cs="Arial" w:eastAsia="Arial" w:hAnsi="Arial"/>
          <w:sz w:val="17"/>
          <w:szCs w:val="17"/>
          <w:color w:val="auto"/>
        </w:rPr>
      </w:pPr>
    </w:p>
    <w:p>
      <w:pPr>
        <w:ind w:right="40" w:firstLine="8"/>
        <w:spacing w:after="0" w:line="264"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 of Adjournment. If any shareholder meeting is adjourned to a different date, time or place, notice need not be given of the new date, time and place, if the new date, time and place is announced at the meeting before adjournment. If a new record date for the adjourned meeting is or must be fixed, then notice must be given pursuant to the requirements of this Section to shareholders of record.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2.5 Waiver of Notice</w:t>
      </w:r>
    </w:p>
    <w:p>
      <w:pPr>
        <w:spacing w:after="0" w:line="225" w:lineRule="exact"/>
        <w:rPr>
          <w:sz w:val="20"/>
          <w:szCs w:val="20"/>
          <w:color w:val="auto"/>
        </w:rPr>
      </w:pPr>
    </w:p>
    <w:p>
      <w:pPr>
        <w:ind w:right="500" w:firstLine="8"/>
        <w:spacing w:after="0" w:line="264"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Written Waiver. A shareholder may waive any notice required by the Act, the articles of incorporation or the bylaws, by a writing signed by the shareholder, entitled to the notice, which is delivered to the corporation (either before or after the date and time stated in the notice) for inclusion in the minutes or filing with the corporate records.</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Attendance at Meetings. A shareholder's attendance at a meeting:</w:t>
      </w:r>
    </w:p>
    <w:p>
      <w:pPr>
        <w:spacing w:after="0" w:line="225" w:lineRule="exact"/>
        <w:rPr>
          <w:sz w:val="20"/>
          <w:szCs w:val="20"/>
          <w:color w:val="auto"/>
        </w:rPr>
      </w:pPr>
    </w:p>
    <w:p>
      <w:pPr>
        <w:ind w:right="60" w:firstLine="8"/>
        <w:spacing w:after="0" w:line="259"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waives objection to lack of notice or defective notice of the meeting, unless the shareholder at the beginning of the melting objects to holding the meeting or transacting business at the meeting because of lack of notice or effective notice; and (2) waives objection to consideration of a particular matter at the meeting that is not within the purpose or purposes described in the meeting notice, unless the shareholder objects to considering the matter when it is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2.6 Record Date</w:t>
      </w:r>
    </w:p>
    <w:p>
      <w:pPr>
        <w:spacing w:after="0" w:line="225" w:lineRule="exact"/>
        <w:rPr>
          <w:sz w:val="20"/>
          <w:szCs w:val="20"/>
          <w:color w:val="auto"/>
        </w:rPr>
      </w:pPr>
    </w:p>
    <w:p>
      <w:pPr>
        <w:ind w:right="20" w:firstLine="8"/>
        <w:spacing w:after="0" w:line="271" w:lineRule="auto"/>
        <w:tabs>
          <w:tab w:leader="none" w:pos="245"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Fixing of Record Date. For the purpose of determining shareholders entitled to notice of or to vote at any meeting of shareholders, or shareholders entitled to receive payment of any distribution, or in order to make a determination of shareholders for any other proper purpose, the board of directors may fix in advance a date as the record date. Such record date shall not be more than 70 days prior to the date on which the particular action requiring such determination of shareholders is to be taken. If no record date is so fixed by the board for the determination of shareholders entitled to notice of, or to vote at, a meeting of, shareholders, the record date for determination of such shareholders shall be at the close of business on the day before the first notice is delivered to shareholders. If no record date is fixed by th e board for the determination of shareholders entitled to receive a distribution, the record date shall be the date the board authorizes the distribution. If no record date is fixed by the board for the determination of shareholders entitled to take action without a meeting, the record date shall be the date the first shareholder signs a consent.</w:t>
      </w:r>
    </w:p>
    <w:p>
      <w:pPr>
        <w:spacing w:after="0" w:line="178" w:lineRule="exact"/>
        <w:rPr>
          <w:rFonts w:ascii="Arial" w:cs="Arial" w:eastAsia="Arial" w:hAnsi="Arial"/>
          <w:sz w:val="17"/>
          <w:szCs w:val="17"/>
          <w:color w:val="auto"/>
        </w:rPr>
      </w:pPr>
    </w:p>
    <w:p>
      <w:pPr>
        <w:ind w:right="10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 of Adjournment. When a determination of shareholders entitled to vote at any meeting of shareholders has been made as provided in this section, such determination shall apply to any adjournment thereof unless the board of directors fixes a new record date, which it must do if the meeting is adjourned to a date more than 120 days after the date fixed for the original meeting.</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2.7 Shareholder List. After fixing a record date for a shareholders' meeting, the corporation shall prepare a list of the names of its shareholders entitled to be given notice of the meeting. The list must be arranged by voting group and within each young group by class or series of shares, must be alphabetical within each class or series, and must show the address of, and the number of shares held by, each shareholder. The shareholder list must be available for inspection by any shareholder, beginning on the earlier of ten days before the meeting for which the list was prepared or two business days after notice of the meeting is given for which the list was prepared and continuing through the meeting and any adjournment thereof. The list shall be available at the corporation's principal office or at a place identified in the meeti ng notice in the city where the meeting will be held.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2.8 Shareholder Quorum and Voting Requirements</w:t>
      </w:r>
    </w:p>
    <w:p>
      <w:pPr>
        <w:spacing w:after="0" w:line="225" w:lineRule="exact"/>
        <w:rPr>
          <w:sz w:val="20"/>
          <w:szCs w:val="20"/>
          <w:color w:val="auto"/>
        </w:rPr>
      </w:pPr>
    </w:p>
    <w:p>
      <w:pPr>
        <w:ind w:right="20" w:firstLine="8"/>
        <w:spacing w:after="0" w:line="302" w:lineRule="auto"/>
        <w:tabs>
          <w:tab w:leader="none" w:pos="2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Quorum. Shares entitled to vote as a separate voting group may take action on a matter at a meeting only if a quorum of those shares exists with respect to that matter. Unless the articles of incorporation or the Act provide otherwise, the number of shares of a voting group that is present at a meeting shall constitute a quorum of that voting group for action on that matter. Once a share is represented for any purpose at a meeting, it is deemed present for quorum purposes for the remainder of the meeting and for any adjournment of that meeting unless a new record date is or must be set for that adjourned meeting.</w:t>
      </w:r>
    </w:p>
    <w:p>
      <w:pPr>
        <w:spacing w:after="0" w:line="154" w:lineRule="exact"/>
        <w:rPr>
          <w:rFonts w:ascii="Arial" w:cs="Arial" w:eastAsia="Arial" w:hAnsi="Arial"/>
          <w:sz w:val="16"/>
          <w:szCs w:val="16"/>
          <w:color w:val="auto"/>
        </w:rPr>
      </w:pPr>
    </w:p>
    <w:p>
      <w:pPr>
        <w:ind w:firstLine="8"/>
        <w:spacing w:after="0" w:line="259"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Voting Groups. If the articles of incorporation or the Act provide for voting by a single voting group on a matter, action on that matter is taken when voted upon by that voting group. If the articles of incorporation or the Act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00" w:lineRule="exact"/>
        <w:rPr>
          <w:sz w:val="20"/>
          <w:szCs w:val="20"/>
          <w:color w:val="auto"/>
        </w:rPr>
      </w:pPr>
    </w:p>
    <w:p>
      <w:pPr>
        <w:spacing w:after="0" w:line="255" w:lineRule="exact"/>
        <w:rPr>
          <w:sz w:val="20"/>
          <w:szCs w:val="20"/>
          <w:color w:val="auto"/>
        </w:rPr>
      </w:pPr>
    </w:p>
    <w:p>
      <w:pPr>
        <w:ind w:right="140" w:firstLine="8"/>
        <w:spacing w:after="0" w:line="312" w:lineRule="auto"/>
        <w:tabs>
          <w:tab w:leader="none" w:pos="2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Shareholder Action. If a quorum exists, action on a matter, other than the election of directors, by a voting group is approved if the votes cast within the voting group favoring the action exceed the votes cast opposing the action, unless the articles of incorporation or the Act require a greater number of affirmative votes. Directors are elected by a plurality of the votes cast by the shares entitled to vote in the election at a meeting at which a quorum is present.</w:t>
      </w:r>
    </w:p>
    <w:p>
      <w:pPr>
        <w:spacing w:after="0" w:line="14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2.9 Proxies. At all meetings of shareholders, a shareholder may vote in person or by proxy which is executed in writing by the shareholder or which is executed by his or her duly authorized attorney-in-fact. Such proxy shall be filed with the secretary of the corporation or other person authorized to tabulate votes before or at the time of the meeting. No proxy shall be valid after 11 months from the date of its execution unless otherwise provided in the proxy.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2.10 Voting of Shares. Unless otherwise provided in the articles of incorporation or by applicable law, each outstanding share, regardless of class, is entitled to one vote upon each matter submitted to a vote at a meeting of shareholders. Except as provided by specific court order, no shares of the corporation owned, directly or indirectly, by a second corporation, domestic or foreign, shall be voted at any meeting or counted in determining the total number of outstanding shares at any given time for purposes of any meeting if a majority of the shares entitled to vote for the election of directors of such second corporation arc held by the corporation. The prior sentence shall not limit the power of the corporation to vote any shares, including its own shares, held by it in a fiduciary capacity.</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2.11 Meetings by Telecommunications. Any or all shareholders may participate in an annual of special meeting by, or conduct the meeting through the use of, any means of communication by which all shareholders participating may hear each other during the meeting. A shareholder participating in a meeting by this means is deemed to be present in person at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2.12 Action Without a Meeting</w:t>
      </w:r>
    </w:p>
    <w:p>
      <w:pPr>
        <w:spacing w:after="0" w:line="225" w:lineRule="exact"/>
        <w:rPr>
          <w:sz w:val="20"/>
          <w:szCs w:val="20"/>
          <w:color w:val="auto"/>
        </w:rPr>
      </w:pPr>
    </w:p>
    <w:p>
      <w:pPr>
        <w:ind w:right="80" w:firstLine="8"/>
        <w:spacing w:after="0" w:line="25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Written Consent. Any action which may be taken at a meeting of the shareholders may be taken without a meeting and without prior notice if one or more consents in writing, setting forth the action so taken, shall be signed by the holders of outstanding shares having not lass than the minimum number of votes that would be necessary to authorize or take such action at a meeting at which all shareholders entitled to vote with respect to the subject matter thereof were present and voted. Action taken under this Section has the same effect as action taken at a meeting of shareholders and may be described as such in any document.</w:t>
      </w:r>
    </w:p>
    <w:p>
      <w:pPr>
        <w:spacing w:after="0" w:line="188"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Post-Consent Notice. Unless the written consents of all shareholders entitled to vote have been obtained, notice of any shareholder approval without a</w:t>
      </w:r>
    </w:p>
    <w:p>
      <w:pPr>
        <w:spacing w:after="0" w:line="46"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meeting shall be given at least ten days before the consummation of the action authorized by such approval t (1) those shareholders entitled to vote who have not consented in writing; and (2) those shareholders not entitled to vote and to whom the Act requires that notice of the proposed action be given. Any such notice must contain or be accompanied by the same material that is required under the Act to be sent in a notice of meeting at which the proposed action would have been submitted to the shareholders for action.</w:t>
      </w:r>
    </w:p>
    <w:p>
      <w:pPr>
        <w:spacing w:after="0" w:line="189" w:lineRule="exact"/>
        <w:rPr>
          <w:rFonts w:ascii="Arial" w:cs="Arial" w:eastAsia="Arial" w:hAnsi="Arial"/>
          <w:sz w:val="16"/>
          <w:szCs w:val="16"/>
          <w:color w:val="auto"/>
        </w:rPr>
      </w:pPr>
    </w:p>
    <w:p>
      <w:pPr>
        <w:ind w:right="40" w:firstLine="8"/>
        <w:spacing w:after="0" w:line="271" w:lineRule="auto"/>
        <w:tabs>
          <w:tab w:leader="none" w:pos="2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Effective Date and Revocation of Consents. No action taken pursuant to this Section 2.12 shall be effective unless all written consents on which the corporation relies for the taking of an action are received by the corporation within a 60-day period and not revoked. Such action is effective as of the date the last written consent. necessary to effect the action is received, unless all of the written consents specify a later date as the effective date of the action. If the corporation has received written consents signed by all shareholders entitled to vote with respect to the action, the effective date of the action may be any date that is specified in all the written consents as the effective date of the action. Any such writing may be received by the corporation by electronically transmitted facsimile or other form of commun ication providing the corporation with a complete copy thereof, including a copy of the signatures thereto. Any shareholder giving a written consent pursuant to this Section may revoke the consent by a signed writing describing the action and stating that the consent is revoked, provided that such writing is received by the corporation prior to the effective date of the action.</w:t>
      </w:r>
    </w:p>
    <w:p>
      <w:pPr>
        <w:spacing w:after="0" w:line="178" w:lineRule="exact"/>
        <w:rPr>
          <w:rFonts w:ascii="Arial" w:cs="Arial" w:eastAsia="Arial" w:hAnsi="Arial"/>
          <w:sz w:val="17"/>
          <w:szCs w:val="17"/>
          <w:color w:val="auto"/>
        </w:rPr>
      </w:pPr>
    </w:p>
    <w:p>
      <w:pPr>
        <w:ind w:right="10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Unanimous Consent for Election of Directors. Notwithstanding subsection (a) of this Section 2.12, directors may not be elected by written consent unless such consent is unanimous by all shares entitled to vote for the election of directors.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EXHIBIT 3.2 - BYLAWS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 BOARD OF DIRECTORS</w:t>
      </w:r>
    </w:p>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3.1 General Powers. All corporate powers shall be exercised by or under the authority of, and the business and affairs of the corporation shall be managed under the direction of, the board of directors.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3.2 Number, Tenure and Qualifications. The authorized number of directors shall be not less than three nor more than nine. The current number of directors shall be within the limits specified above, as determined (or as amended from time-to-time) by resolution adopted by either the shareholders or the directors. Each director shall hold office until the next annual mating of shareholders or until, the director's earlier death, resignation or removal. However, if a director's term expires, the director shall continue to serve until his or her successor shall have been elected and qualified, or until there is a decrease in the number of directors.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3.3 Regular Meetings. The board of directors may provide, by resolution, the time and place for the holding of regular meetings without other notice than such resolution.</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3.4 Special Meetings. Special meetings of the board of directors may be called by or at the request of the chairman of the board of directors or the president. The person authorized to call special meetings of the board of directors may fix any place as the place for holding any special meeting of the board of directors.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3.5 Notice of Special Meetings. Notice of the date, time and place of any special director meeting shall be given at least two days previously thereto either orally or in writing. Oral notice shall be effective when communicated in a comprehensive manner. Written notice is effective as to each director at the earlier of: (1) two days after mailing, if sent to the address of the director shown on the records of the corporation; or (2) when received, if sent by electronic or facsimile transmission. Any director may waive notice of any meeting before or after the dace and time of the meeting stated in the notice. Except as provided in the next sentence, the waiver must be in writing and signed by the director entitled to the notice. A director's attendance at or participation in a meeting shall constitute a waiver of notice of such me eting, unless the director at the beginning of the meeting, or promptly upon his or her arrival, objects to holding the meeting or transacting business at the meeting because of lack of or defective notice; and does not thereafter vote for or assent to action taken at the meeting. Unless required by the articles of incorporation, neither the business to be transacted at, nor the purpose of, any special meeting of the board of directors need be specified in the notice or waiver of notice of such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3.6 Quorum and Voting</w:t>
      </w:r>
    </w:p>
    <w:p>
      <w:pPr>
        <w:spacing w:after="0" w:line="225" w:lineRule="exact"/>
        <w:rPr>
          <w:sz w:val="20"/>
          <w:szCs w:val="20"/>
          <w:color w:val="auto"/>
        </w:rPr>
      </w:pPr>
    </w:p>
    <w:p>
      <w:pPr>
        <w:ind w:right="60" w:firstLine="8"/>
        <w:spacing w:after="0" w:line="264"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Quorum. A majority of the number of directors prescribed by resolution adopted pursuant to Section 3.2 of these Bylaws, or if no number is prescribed, the number in office immediately before the meeting begins, shall constitute a quorum for the transaction of business at any meeting of the board of directors, unless the articles of incorporation require a greater number.</w:t>
      </w:r>
    </w:p>
    <w:p>
      <w:pPr>
        <w:spacing w:after="0" w:line="181" w:lineRule="exact"/>
        <w:rPr>
          <w:rFonts w:ascii="Arial" w:cs="Arial" w:eastAsia="Arial" w:hAnsi="Arial"/>
          <w:sz w:val="18"/>
          <w:szCs w:val="18"/>
          <w:color w:val="auto"/>
        </w:rPr>
      </w:pPr>
    </w:p>
    <w:p>
      <w:pPr>
        <w:ind w:right="360" w:firstLine="8"/>
        <w:spacing w:after="0" w:line="27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Voting. The act of the majority of the directors present at a meeting at which a quorum is present when the vote a taken shall be the act of the board of directors unless the articles of incorporation require a greater percentage.</w:t>
      </w:r>
    </w:p>
    <w:p>
      <w:pPr>
        <w:spacing w:after="0" w:line="170" w:lineRule="exact"/>
        <w:rPr>
          <w:rFonts w:ascii="Arial" w:cs="Arial" w:eastAsia="Arial" w:hAnsi="Arial"/>
          <w:sz w:val="18"/>
          <w:szCs w:val="18"/>
          <w:color w:val="auto"/>
        </w:rPr>
      </w:pPr>
    </w:p>
    <w:p>
      <w:pPr>
        <w:ind w:right="40" w:firstLine="8"/>
        <w:spacing w:after="0" w:line="293" w:lineRule="auto"/>
        <w:tabs>
          <w:tab w:leader="none" w:pos="2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Presumption of Assent. A director who is present at a meeting of the board of directors or a committee of the board of directors when corporate action is taken is deemed to have assented to the action taken unless: (1) the director objects at the beginning of the meeting, or promptly upon his or her arrival, to holding or transacting business at the meeting and does not thereafter vote for or assent to any action taken at the meeting; (2) the director contemporaneously requests that his or her dissent or abstention as to any specific action be entered in the minutes of the meeting; or (3) the director causes written notice of his or her dissent or abstention as to any specific action be received by the presiding officer of the meeting before its adjournment of to the corporation immediately after adjournment of the meeting. The right of dissent or abstention is nor available to a director who votes in favor of the action taken.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3.7 Meetings by Telecommunications. Any or all directors may participate in a regular or special meeting by, or conduct the meeting through the use of, any means of communication by which all directors participating may hear each other during the meeting. A director participating in a meeting by this means is deemed to be present in person at the meeting.</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3.8 Action Without a Meeting. Any action required or permitted to be taken by the board of directors at a meeting may be taken without a meeting if all, the directors consent to such action in writing. Action taken by written consent is effective when the last director signs the consent, unless, prior to such time, any director has revoked a consent by a signed writing received by the corporation, or unless the consent specifies a different effective date. A signed consent has the effect of an action taken at a meeting of directors and may be described as such in any document.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3.9 Resignation. A director may resign at any time by giving a written notice of resignation to the corporation. Such a resignation is effective when the notice is received by the corporation unless the notice specifies a later effective date, and the acceptance of such resignation shall not be necessary to make it effective.</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3.10 Removal. The shareholders may remove one or more directors at a meeting called for that purpose if notice has been given that a purpose of the meeting is such removal. The removal may be with or without cause unless the articles of incorporation provide that directors may only be removed with cause. If a director is elected by a voting group of shareholders, only the shareholders of that voting group may participate in the vote to remove that director. A director may be removed only if the number of votes cast to remove him or her exceeds the number of votes cast not to remove him or her.</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3.11 Vacancies. Unless the articles of incorporation provide otherwise, if a vacancy occurs on the board of directors, including a vacancy resulting from an increase in the number of directors; the shareholders may fill the vacancy. During such time that the shareholders fail or are unable to fill such vacancies then and until the shareholders act: (1) the board of directors may fill the vacancy; or (2) if the directors remaining in office constitute fewer than a quorum of the board, they may fill the vacancy by the affirmative vote of a majority of all the directors remaining in office. If the vacant office was held by a director elected by a voting group of shareholders; (1) if one or more directors are elected by the same voting group, only such directors are entitled to vote to fill the vacancy if it is filled by the directors; and (2) only the holders of shares of that voting group are entitled to vote to fill the vacancy if it is filled by the shareholders. A vacancy that will occur at a specific later date (by reason of a resignation effective at a later date) may be filled before the vacancy occurs but the new director may not take office until the vacancy occurs.</w:t>
      </w:r>
    </w:p>
    <w:p>
      <w:pPr>
        <w:spacing w:after="0" w:line="17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3.12 Compensation. By resolution of the board of directors, each director may be paid his or her expenses, if any, of attendance at each meeting of the board of directors and may be paid a stated salary as director or a fixed sum for attendance at each meeting of the board of directors or both. No such payment shall preclude any director from serving the corporation in any other capacity and receiving compensation therefor.</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3.13 Committees. The board of directors may create one or more committees and appoint members of the board of directors to serve on them. Each committee must have two or more members, who serve at the pleasure of the board of directors. Those sections of this Article 3 which govern meetings, action without meetings, notice and waiver of notice, and quorum and voting requirements of the board of directors, apply to committees and their members.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IV. OFFICERS</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4.1 Number. The officers of the corporation shall be a chief executive officer, a chief operating officer, a president, a chief financial officer, and a secretary, each of whom shall be appointed by the board of directors. Such other officers and assistant officers as may be deemed necessary, including any vice presidents, may also be appointed by the board of directors. If specifically authorized by the board of directors, an officer may appoint one or more officers or assistant officers. The same individual may simultaneously hold more than one office in the corporation.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4.2 Appointment and Term of Office. The officers of the corporation shall be appointed by the board of directors, for a term as determined by the board of directors. The designation of a specified term does not grant to the officer any contract rights, and the board can remove the officer at any time prior to the termination of such term. If no term is specified, the officer shall hold office until he or she resigns, dies or until he or she is removed in the manner provided in Section 4.3 of these Bylaws.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00" w:lineRule="exact"/>
        <w:rPr>
          <w:sz w:val="20"/>
          <w:szCs w:val="20"/>
          <w:color w:val="auto"/>
        </w:rPr>
      </w:pPr>
    </w:p>
    <w:p>
      <w:pPr>
        <w:spacing w:after="0" w:line="2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4.3 Removal. Any officer or agent may be removed by the board of directors at any time, with or without cause. Such removal shall be subject to any rights and obligations that such person may have under any contract with the corporation.</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4.4 Resignation. Any officer may resign at any time, subject to any rights or obligation under any existing contracts between the officer and the corporation, by giving notice to the president or board of directors. An officer's resignation shall be effective when received by the corporation, unless the notice specifies a later effective date, and the acceptance of such resignation shall not be necessary to make it effective.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4.5 Authority and Duties of Officers. The officers of the corporation shall have the authority and shall exercise the powers and perform the duties specified below and as may be additionally specified by the board of directors or these Bylaws, except that in each event each officer shall exercise such powers and perform such duties as may be required by law.</w:t>
      </w:r>
    </w:p>
    <w:p>
      <w:pPr>
        <w:spacing w:after="0" w:line="181" w:lineRule="exact"/>
        <w:rPr>
          <w:sz w:val="20"/>
          <w:szCs w:val="20"/>
          <w:color w:val="auto"/>
        </w:rPr>
      </w:pPr>
    </w:p>
    <w:p>
      <w:pPr>
        <w:ind w:right="100" w:firstLine="8"/>
        <w:spacing w:after="0" w:line="264"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Chief Executive Officer. The chief executive officer shall supervise and control all the business and affairs of the corporation, subject to the direction of the board of directors. Unless a chairman of the board has been appointed, the chief executive officer shall preside at all meetings of the board of directors or shareholders.</w:t>
      </w:r>
    </w:p>
    <w:p>
      <w:pPr>
        <w:spacing w:after="0" w:line="181"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Chief Operating Officer. The chief operating officer shall be responsible for overseeing all the operations of the corporation, subject to the direction of the chief executive officer.</w:t>
      </w:r>
    </w:p>
    <w:p>
      <w:pPr>
        <w:spacing w:after="0" w:line="170" w:lineRule="exact"/>
        <w:rPr>
          <w:rFonts w:ascii="Arial" w:cs="Arial" w:eastAsia="Arial" w:hAnsi="Arial"/>
          <w:sz w:val="18"/>
          <w:szCs w:val="18"/>
          <w:color w:val="auto"/>
        </w:rPr>
      </w:pPr>
    </w:p>
    <w:p>
      <w:pPr>
        <w:ind w:right="40" w:firstLine="8"/>
        <w:spacing w:after="0" w:line="273" w:lineRule="auto"/>
        <w:tabs>
          <w:tab w:leader="none" w:pos="2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President. The president shall manage the day-to-day affairs of the corporation, subject to the direction of the chief executive and chief operating officers. The president may sign, with the secretary or any other proper officer of the corporation thereunto authorized by the board of directors, certificates for shares of the corporation and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In general, the president shall perform all duties incident to the office of president and such other duties as may be prescribed by the board of directors from time to time.</w:t>
      </w:r>
    </w:p>
    <w:p>
      <w:pPr>
        <w:spacing w:after="0" w:line="178" w:lineRule="exact"/>
        <w:rPr>
          <w:rFonts w:ascii="Arial" w:cs="Arial" w:eastAsia="Arial" w:hAnsi="Arial"/>
          <w:sz w:val="17"/>
          <w:szCs w:val="17"/>
          <w:color w:val="auto"/>
        </w:rPr>
      </w:pPr>
    </w:p>
    <w:p>
      <w:pPr>
        <w:ind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Vice-President. If appointed, the vice-president (or if there is more than one, each vice-president) shall assist the president and shall perform such duties as may be assigned to him or her by the president or by the board of directors. If appointed, in the absence of the president or in the event of his death, inability or refusal to act, the vice-president (or in the event there is more than one vice-president, the vice presidents in the order designated at the time of their election, or in the absence of, any designation, then in the order of their appointment) shall perform the duties of the president, and when so acting, shall have all the powers of and be subject to all the restrictions upon the president. (If there is no vice-president, then the chief financial officer shall perform such duties of the president.)</w:t>
      </w:r>
    </w:p>
    <w:p>
      <w:pPr>
        <w:spacing w:after="0" w:line="193"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Chief Financial Officer. The chief financial officer shall: (i) have charge and custody of and be responsible for all funds and securities of the corporation;</w:t>
      </w:r>
    </w:p>
    <w:p>
      <w:pPr>
        <w:spacing w:after="0" w:line="46" w:lineRule="exact"/>
        <w:rPr>
          <w:rFonts w:ascii="Arial" w:cs="Arial" w:eastAsia="Arial" w:hAnsi="Arial"/>
          <w:sz w:val="16"/>
          <w:szCs w:val="16"/>
          <w:color w:val="auto"/>
        </w:rPr>
      </w:pPr>
    </w:p>
    <w:p>
      <w:pPr>
        <w:ind w:right="140" w:firstLine="8"/>
        <w:spacing w:after="0" w:line="271" w:lineRule="auto"/>
        <w:tabs>
          <w:tab w:leader="none" w:pos="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receive and give receipts for moneys due and payable to the corporation from any source whatsoever, and deposit all such moneys in the name of the corporation in such banks, trust companies, or other depositaries as shall be selected by the board of directors; and (iii) in general, perform all of the duties incident to the office of chief financial officer and such other duties as from time to time may be assigned by the president or by the board of directors. If required by the board of directors, the chief financial officer shall give a bond for the faithful discharge of his or her duties in such sum and with such surety or sureties as the board of directors shall determine. A controller may be appointed to assist the chief financial officer.</w:t>
      </w:r>
    </w:p>
    <w:p>
      <w:pPr>
        <w:spacing w:after="0" w:line="178" w:lineRule="exact"/>
        <w:rPr>
          <w:rFonts w:ascii="Arial" w:cs="Arial" w:eastAsia="Arial" w:hAnsi="Arial"/>
          <w:sz w:val="17"/>
          <w:szCs w:val="17"/>
          <w:color w:val="auto"/>
        </w:rPr>
      </w:pPr>
    </w:p>
    <w:p>
      <w:pPr>
        <w:ind w:firstLine="8"/>
        <w:spacing w:after="0" w:line="291" w:lineRule="auto"/>
        <w:tabs>
          <w:tab w:leader="none" w:pos="2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Secretary. The secretary shall: (i) keep the minutes of the proceedings of the shareholders, the board of directors and any committees of the board in one or more books provided for that purpose; (ii) see that all notices are duly given in accordance with the provisions of these bylaws or as required by law; (iii) be custodian of the corporate records; (iv) when requested or required, authenticate any records of the corporation; (v) keep a register of the post office address of each shareholder which shall be furnished to the secretary by such shareholder; (vi) sign with the president, or a vice-president, certificates for shares of the corporation, the issuance of which shall have been authorized by resolution of the board of directors; (vii) have general charge of the stock transfer books of the corporation; and (viii) in gen eral, perform all duties incident to the office of secretary and such other duties as from time to time may be assigned by the president or by the board of directors. Assistant secretaries if any, shall have the same duties and powers, subject to the supervision of the secretary.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4.6 Compensation. The salaries, bonuses, and other benefits of the officers shall be fixed from time to time by the board of directors.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 INDEMNIFICATION OF DIRECTORS, OFFICERS, AGENTS AND EMPLOYEES</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5.1 Indemnification of Directors. The corporation shall indemnify any individual made a party to a proceeding because the individual is or was a director of the corporation, against liability incurred in the proceeding, but only if such indemnification is both (i) determined permissible and (ii) authorized, as such are defined in subsection (a) of this Section 5.1. Such indemnification is further subject to the limitation specified in subsection 5.1(c).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Determination and Authorization. The corporation shall not indemnify a director under this section unless:</w:t>
      </w:r>
    </w:p>
    <w:p>
      <w:pPr>
        <w:spacing w:after="0" w:line="225" w:lineRule="exact"/>
        <w:rPr>
          <w:sz w:val="20"/>
          <w:szCs w:val="20"/>
          <w:color w:val="auto"/>
        </w:rPr>
      </w:pPr>
    </w:p>
    <w:p>
      <w:pPr>
        <w:ind w:right="540"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determination has been made in accordance with the procedures set forth in Section 16-10a-906(2) of the Act that the director met the standard of conduct set forth in subsection (b) below; and</w:t>
      </w:r>
    </w:p>
    <w:p>
      <w:pPr>
        <w:spacing w:after="0" w:line="170" w:lineRule="exact"/>
        <w:rPr>
          <w:rFonts w:ascii="Arial" w:cs="Arial" w:eastAsia="Arial" w:hAnsi="Arial"/>
          <w:sz w:val="18"/>
          <w:szCs w:val="18"/>
          <w:color w:val="auto"/>
        </w:rPr>
      </w:pPr>
    </w:p>
    <w:p>
      <w:pPr>
        <w:ind w:right="120" w:firstLine="8"/>
        <w:spacing w:after="0" w:line="264"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 has been authorized in accordance with the procedures set forth in Section 16-10a-906(4) of the Act based on a conclusion that the expenses are reasonable, the corporation has the financial ability to make the payment, and the financial resources of-the corporation should be devoted to this use rather than some other use by the corporation.</w:t>
      </w:r>
    </w:p>
    <w:p>
      <w:pPr>
        <w:spacing w:after="0" w:line="181"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Standard of Conduct. The individual shall demonstrate that: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his or her conduct was in good faith; and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he or she reasonably believed that his or her conduct was in, or not opposed to, the corporation's best interests; and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in the case of any criminal proceeding, he or she had no reasonable cause to believe his or her conduct was unlawful.</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Indemnification in Certain Circumstances. The corporation shall not indemnify a director under this Section 5.1:</w:t>
      </w:r>
    </w:p>
    <w:p>
      <w:pPr>
        <w:spacing w:after="0" w:line="225"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connection with a proceeding by or in the right of the corporation in which the director was adjudged liable to the corporation; or</w:t>
      </w:r>
    </w:p>
    <w:p>
      <w:pPr>
        <w:spacing w:after="0" w:line="225" w:lineRule="exact"/>
        <w:rPr>
          <w:rFonts w:ascii="Arial" w:cs="Arial" w:eastAsia="Arial" w:hAnsi="Arial"/>
          <w:sz w:val="18"/>
          <w:szCs w:val="18"/>
          <w:color w:val="auto"/>
        </w:rPr>
      </w:pPr>
    </w:p>
    <w:p>
      <w:pPr>
        <w:ind w:right="400" w:firstLine="8"/>
        <w:spacing w:after="0" w:line="308"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connection with any other proceeding charging that the director derived an improper personal benefit, whether or not involving action in his or her official capacity, in which proceeding he or she was adjudged liable on the basis that he or she derived an improper personal benefit.</w:t>
      </w:r>
    </w:p>
    <w:p>
      <w:pPr>
        <w:spacing w:after="0" w:line="147" w:lineRule="exact"/>
        <w:rPr>
          <w:sz w:val="20"/>
          <w:szCs w:val="20"/>
          <w:color w:val="auto"/>
        </w:rPr>
      </w:pPr>
    </w:p>
    <w:p>
      <w:pPr>
        <w:ind w:right="120" w:firstLine="8"/>
        <w:spacing w:after="0" w:line="277"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Indemnification in Derivative Actions Limited. Indemnification permitted under this Section 5.1 in connection with a proceeding by or in the right of the corporation is limited to reasonable expenses incurred in connection with the proceeding.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5.2 Advance of Expenses for Directors. If a determination is made, following the procedures of Section 16-10a-906(2) of the Act, that the director has met the following requirements and if an authorization of payment is made following the procedures and standards set forth in Section 16-10a-906(4) of the Act, then the corporation shall pay for or reimburse the reasonable expenses incurred by a director who is a party to a proceeding in advance of final disposition of the proceeding, if:</w:t>
      </w:r>
    </w:p>
    <w:p>
      <w:pPr>
        <w:spacing w:after="0" w:line="187" w:lineRule="exact"/>
        <w:rPr>
          <w:sz w:val="20"/>
          <w:szCs w:val="20"/>
          <w:color w:val="auto"/>
        </w:rPr>
      </w:pPr>
    </w:p>
    <w:p>
      <w:pPr>
        <w:ind w:right="480" w:firstLine="8"/>
        <w:spacing w:after="0" w:line="277"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director furnishes the corporation a written affirmation of his or her good faith belief that he or she has met, the standard of conduct described in Section 5.1;</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4"/>
          <w:szCs w:val="14"/>
          <w:b w:val="1"/>
          <w:bCs w:val="1"/>
          <w:color w:val="auto"/>
        </w:rPr>
        <w:t>EXHIBIT 3.2 - BYLAWS</w:t>
      </w:r>
    </w:p>
    <w:p>
      <w:pPr>
        <w:spacing w:after="0" w:line="200" w:lineRule="exact"/>
        <w:rPr>
          <w:sz w:val="20"/>
          <w:szCs w:val="20"/>
          <w:color w:val="auto"/>
        </w:rPr>
      </w:pPr>
    </w:p>
    <w:p>
      <w:pPr>
        <w:spacing w:after="0" w:line="255" w:lineRule="exact"/>
        <w:rPr>
          <w:sz w:val="20"/>
          <w:szCs w:val="20"/>
          <w:color w:val="auto"/>
        </w:rPr>
      </w:pPr>
    </w:p>
    <w:p>
      <w:pPr>
        <w:ind w:right="60" w:firstLine="8"/>
        <w:spacing w:after="0" w:line="277"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director furnishes the corporation a written undertaking, executed personally or on his or her behalf, to repay the advance if it is ultimately determined that he or she did not meet the standard of conduct; and</w:t>
      </w:r>
    </w:p>
    <w:p>
      <w:pPr>
        <w:spacing w:after="0" w:line="170" w:lineRule="exact"/>
        <w:rPr>
          <w:rFonts w:ascii="Arial" w:cs="Arial" w:eastAsia="Arial" w:hAnsi="Arial"/>
          <w:sz w:val="18"/>
          <w:szCs w:val="18"/>
          <w:color w:val="auto"/>
        </w:rPr>
      </w:pPr>
    </w:p>
    <w:p>
      <w:pPr>
        <w:ind w:right="520" w:firstLine="8"/>
        <w:spacing w:after="0" w:line="277"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determination is made that the facts then known to those making the determination would not preclude indemnification under Section 5.1 of these Bylaws or Part 9 of the Act.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5.3 Indemnification of Officers, Agents and Employee Who Are Not Directors. The board of directors may indemnify and advance expenses to any officer, employee or agent of the corporation who is not a director of the corporation to any extent consistent with public policy, as determined by the general or specific actions of the board of directors.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5.4 Insurance. By action of the board of directors, notwithstanding any interest of the directors in such action, the corporation may purchase and maintain liability insurance on behalf of a person who is or was a director, officer, employee, fiduciary or agent of the corporation, against any liability asserted against or incurred by such person in that capacity or arising from such person's status as a director, officer, employee, fiduciary or agent, whether or not the corporation would have the power to indemnify such person under the applicable provisions of the Act.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VI. STOCK</w:t>
      </w:r>
    </w:p>
    <w:p>
      <w:pPr>
        <w:spacing w:after="0" w:line="2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6.1 Issuance of Shares. The corporation may issue the number of shares of each class or series of capital stock authorized by the articles of incorporation. The issuance or sale by the corporation of any shares of its authorized capital stock of any class shall be made only upon authorization by the board of directors, unless otherwise provided by statute. The board of directors may authorize the issuance of shares for consideration consisting of any tangible or intangible properly or benefit to the corporation, including cash, promissory notes, services performed, contracts or arrangements for services to be performed, or other securities of the corporation. Shares shall be issued for such consideration as shall be fixed from time to time by the board of directors. The terms of any issuance of stock in exchange for property or ser vices to be received by the corporation in the future shall be set forth in writing.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6.2 Certificates for Shares</w:t>
      </w:r>
    </w:p>
    <w:p>
      <w:pPr>
        <w:spacing w:after="0" w:line="225" w:lineRule="exact"/>
        <w:rPr>
          <w:sz w:val="20"/>
          <w:szCs w:val="20"/>
          <w:color w:val="auto"/>
        </w:rPr>
      </w:pPr>
    </w:p>
    <w:p>
      <w:pPr>
        <w:ind w:right="140" w:firstLine="8"/>
        <w:spacing w:after="0" w:line="257" w:lineRule="auto"/>
        <w:tabs>
          <w:tab w:leader="none" w:pos="2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Content. Shares may but need not be represented by certificates in such form as determined by the board of directors and stating on their face, at a minimum, the name of the corporation and that it is formed under the laws of the State of Utah, the name of the person to whom issued, and the number and class of shares and the designation of the series, if any, the certificate represents. Such certificates shall be signed (either manually or by facsimile) by the president or a vice-president and by the secretary or an assistant secretary and may be sealed with a corporate seal or a facsimile thereof. Each certificate for shares shall be consecutively numbered or otherwise identified.</w:t>
      </w:r>
    </w:p>
    <w:p>
      <w:pPr>
        <w:spacing w:after="0" w:line="188" w:lineRule="exact"/>
        <w:rPr>
          <w:rFonts w:ascii="Arial" w:cs="Arial" w:eastAsia="Arial" w:hAnsi="Arial"/>
          <w:sz w:val="18"/>
          <w:szCs w:val="18"/>
          <w:color w:val="auto"/>
        </w:rPr>
      </w:pPr>
    </w:p>
    <w:p>
      <w:pPr>
        <w:ind w:right="80" w:firstLine="8"/>
        <w:spacing w:after="0" w:line="257"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Legend as to Class or Series. If the corporation is authorized to issue different classes of shares or different series within a class, the designations, relative rights, preferences and limitations applicable to each class and the variations in rights, preferences and limitations determined for each series (and the authority of the board of directors to determine variations for future series) must be summarized on the front or back of each certificate. Alternatively, each certificate may state conspicuously on its front or back that the corporation will furnish the shareholder this information on request in writing and without charge.</w:t>
      </w:r>
    </w:p>
    <w:p>
      <w:pPr>
        <w:spacing w:after="0" w:line="188" w:lineRule="exact"/>
        <w:rPr>
          <w:rFonts w:ascii="Arial" w:cs="Arial" w:eastAsia="Arial" w:hAnsi="Arial"/>
          <w:sz w:val="18"/>
          <w:szCs w:val="18"/>
          <w:color w:val="auto"/>
        </w:rPr>
      </w:pPr>
    </w:p>
    <w:p>
      <w:pPr>
        <w:ind w:right="360" w:firstLine="8"/>
        <w:spacing w:after="0" w:line="277" w:lineRule="auto"/>
        <w:tabs>
          <w:tab w:leader="none" w:pos="2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Shareholder List. The name and address of the person to whom the shares represented thereby are issued, with the number of shares and date of issue, shall be entered on the stock transfer books of the corporation.</w:t>
      </w:r>
    </w:p>
    <w:p>
      <w:pPr>
        <w:spacing w:after="0" w:line="170" w:lineRule="exact"/>
        <w:rPr>
          <w:rFonts w:ascii="Arial" w:cs="Arial" w:eastAsia="Arial" w:hAnsi="Arial"/>
          <w:sz w:val="18"/>
          <w:szCs w:val="18"/>
          <w:color w:val="auto"/>
        </w:rPr>
      </w:pPr>
    </w:p>
    <w:p>
      <w:pPr>
        <w:jc w:val="both"/>
        <w:ind w:right="240" w:firstLine="8"/>
        <w:spacing w:after="0" w:line="286"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Transferring Shares. All certificates surrendered to the corporation for transfer shall be cancelled and no new certificate shall be issued until the former certificate for a like number of shares shall have been surrendered and cancelled, except that in case of a lost, destroyed, or mutilated certificate, a new one may be issued therefor upon such terms and indemnity to the corporation as the board of directors may prescribe.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6.3 Shares Without Certificates. The board of directors may authorize the issuance of some or all of the shares of any or all of its classes or series without certificates. Within a reasonable time after the issuance or transfer of shares without certificates, the corporation shall send the shareholder a written statement of the information required on certificates under Section 6.2 of these Bylaws.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6.4 Registration of the Transfer of Shares. Registration of the transfer of shares of the corporation shall be made only on the stock transfer books of the corporation. In order to register a transfer, the record owner shall surrender the shares to the corporation for cancellation, properly endorsed by the appropriate person or persons with reasonable assurances that the endorsements are genuine and effective. Unless the corporation has established a procedure by which a beneficial owner of shares held by a nominee is to be recognized by the corporation as the owner, the person in whose name shares stand in the books of the corporation shall be deemed by the corporation to be the owner thereof for all purposes.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 MISCELLANEOUS</w:t>
      </w:r>
    </w:p>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7.1 Inspection of Records by Shareholders and Directors. A shareholder or director of a corporation is entitled to inspect and copy, during regular business hours at the corporation's principal office, any of the records of the corporation required to be maintained by the corporation under the Act, if such person gives the corporation written notice of the demand at least five business days before the date on which such a person wishes to inspect and copy. The scope of such inspection right shall be as provided under the Act.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7.2 Corporate Seal. The board of directors may provide a corporate seal which may be circular in form and have inscribed thereon any designation including the name of the corporation, the state of incorporation, and the words "Corporate Seal."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7.3 Amendments. The corporation's board of directors may amend or repeal the corporation's Bylaws at any time unless:</w:t>
      </w:r>
    </w:p>
    <w:p>
      <w:pPr>
        <w:spacing w:after="0" w:line="225"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articles of incorporation or the Act reserve this power exclusively to the shareholders in whole or part;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shareholders, in adopting, amending or repealing a particular bylaw, provide expressly that the board of directors may not amend or repeal that bylaw;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bylaw either establishes, amends or deletes a greater shareholder quorum or voting requirement.</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Any amendment which changes the voting or quorum requirement for the board must meet the same quorum requirement and be adopted by the same vote and voting groups required to take action under the quorum and voting requirements then in effect or proposed to be adopted, whichever are greater.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7.4 Fiscal Year. The fiscal year of the corporation shall be established by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00"/>
          </w:cols>
          <w:pgMar w:left="240" w:top="265" w:right="2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1753235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of ClearOne Communications, Inc. on Forms S-8 of our financial statement audit report dated May 4, 2010, appearing in this transition report on Form 10-KT of ClearOne Communications, Inc. for six months ended December 31, 2009 and years ended June 30, 2009 and 2008.</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720" w:hanging="712"/>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transition annual report of ClearOne Communications, Inc. on Form 10-KT;</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607"/>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599"/>
        <w:spacing w:after="0" w:line="264" w:lineRule="auto"/>
        <w:tabs>
          <w:tab w:leader="none" w:pos="1300" w:val="left"/>
        </w:tabs>
        <w:numPr>
          <w:ilvl w:val="3"/>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right="180" w:hanging="607"/>
        <w:spacing w:after="0" w:line="308" w:lineRule="auto"/>
        <w:tabs>
          <w:tab w:leader="none" w:pos="6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May 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720" w:hanging="71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transition annual report of ClearOne Communications, Inc. on Form 10-KT;</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607"/>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599"/>
        <w:spacing w:after="0" w:line="264" w:lineRule="auto"/>
        <w:tabs>
          <w:tab w:leader="none" w:pos="1300" w:val="left"/>
        </w:tabs>
        <w:numPr>
          <w:ilvl w:val="3"/>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right="180" w:hanging="607"/>
        <w:spacing w:after="0" w:line="308" w:lineRule="auto"/>
        <w:tabs>
          <w:tab w:leader="none" w:pos="6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May 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ind w:left="10280"/>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 Zeynep Hakimoglu, certify, to the best of my knowledge, pursuant to 18 U.S.C. Section 1350, as adopted pursuant to Section 906 of the Sarbanes-Oxley Act of 2002, that the transition annual report of ClearOne Communications, Inc. on Form 10-KT for the period ended December 31, 2009, fully complies with the requirements of Section 13(a) or 15(d) of the Securities Exchange Act of 1934 and that information contained in such transition annual Report on Form 10-KT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May 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636270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 Narsi Narayanan, certify, to the best of my knowledge, pursuant to 18 U.S.C. Section 1350, as adopted pursuant to Section 906 of the Sarbanes-Oxley Act of 2002, that the transition annual report of ClearOne Communications, Inc. on Form 10-KT for the period ended December 31, 2009, fully complies with the requirements of Section 13(a) or 15(d) of the Securities Exchange Act of 1934 and that information contained in such transition annual Report on Form 10-KT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May 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lvl w:ilvl="1">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1"/>
    </w:lvl>
  </w:abstractNum>
  <w:abstractNum w:abstractNumId="9">
    <w:nsid w:val="737B8DDC"/>
    <w:multiLevelType w:val="hybridMultilevel"/>
    <w:lvl w:ilvl="0">
      <w:lvlJc w:val="left"/>
      <w:lvlText w:val="(%1)"/>
      <w:numFmt w:val="decimal"/>
      <w:start w:val="1"/>
    </w:lvl>
    <w:lvl w:ilvl="1">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5"/>
    </w:lvl>
  </w:abstractNum>
  <w:abstractNum w:abstractNumId="12">
    <w:nsid w:val="4516DDE9"/>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3">
    <w:nsid w:val="3006C83E"/>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4">
    <w:nsid w:val="614FD4A1"/>
    <w:multiLevelType w:val="hybridMultilevel"/>
    <w:lvl w:ilvl="0">
      <w:lvlJc w:val="left"/>
      <w:lvlText w:val="(%1)"/>
      <w:numFmt w:val="decimal"/>
      <w:start w:val="3"/>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7">
    <w:nsid w:val="440BADFC"/>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0"/>
    </w:lvl>
    <w:lvl w:ilvl="1">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3"/>
    </w:lvl>
  </w:abstractNum>
  <w:abstractNum w:abstractNumId="23">
    <w:nsid w:val="2463B9EA"/>
    <w:multiLevelType w:val="hybridMultilevel"/>
    <w:lvl w:ilvl="0">
      <w:lvlJc w:val="left"/>
      <w:lvlText w:val="1"/>
      <w:numFmt w:val="bullet"/>
      <w:start w:val="1"/>
    </w:lvl>
    <w:lvl w:ilvl="1">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3"/>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35"/>
    </w:lvl>
  </w:abstractNum>
  <w:abstractNum w:abstractNumId="42">
    <w:nsid w:val="7644A45C"/>
    <w:multiLevelType w:val="hybridMultilevel"/>
    <w:lvl w:ilvl="0">
      <w:lvlJc w:val="left"/>
      <w:lvlText w:val="(%1)"/>
      <w:numFmt w:val="lowerLetter"/>
      <w:start w:val="6"/>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Letter"/>
      <w:start w:val="4"/>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2"/>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52">
    <w:nsid w:val="70C6A52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69" Type="http://schemas.openxmlformats.org/officeDocument/2006/relationships/hyperlink" Target="http://www.sec.gov/Archives/edgar/data/840715/000095012309060284/p16247exv2w2.htm" TargetMode="External"/><Relationship Id="rId70" Type="http://schemas.openxmlformats.org/officeDocument/2006/relationships/hyperlink" Target="http://www.sec.gov/Archives/edgar/data/840715/000084071508000040/exhibit3-1.htm" TargetMode="External"/><Relationship Id="rId71" Type="http://schemas.openxmlformats.org/officeDocument/2006/relationships/hyperlink" Target="http://www.sec.gov/Archives/edgar/data/840715/000114036105006521/ex10_1.htm" TargetMode="External"/><Relationship Id="rId72" Type="http://schemas.openxmlformats.org/officeDocument/2006/relationships/hyperlink" Target="http://www.sec.gov/Archives/edgar/data/840715/000114036105006521/ex10_2.htm" TargetMode="External"/><Relationship Id="rId73" Type="http://schemas.openxmlformats.org/officeDocument/2006/relationships/hyperlink" Target="http://www.sec.gov/Archives/edgar/data/840715/000114036105006521/ex10_7.htm" TargetMode="External"/><Relationship Id="rId74" Type="http://schemas.openxmlformats.org/officeDocument/2006/relationships/hyperlink" Target="http://www.sec.gov/Archives/edgar/data/840715/000084071506000050/ex4_9.htm" TargetMode="External"/><Relationship Id="rId75" Type="http://schemas.openxmlformats.org/officeDocument/2006/relationships/hyperlink" Target="http://www.sec.gov/Archives/edgar/data/840715/000084071506000050/ex4_8.htm" TargetMode="External"/><Relationship Id="rId76" Type="http://schemas.openxmlformats.org/officeDocument/2006/relationships/hyperlink" Target="http://www.sec.gov/Archives/edgar/data/840715/000084071508000005/equityincentiveplan.htm" TargetMode="External"/><Relationship Id="rId77" Type="http://schemas.openxmlformats.org/officeDocument/2006/relationships/hyperlink" Target="http://www.sec.gov/Archives/edgar/data/840715/000084071506000045/ex10_19.htm" TargetMode="External"/><Relationship Id="rId78" Type="http://schemas.openxmlformats.org/officeDocument/2006/relationships/hyperlink" Target="http://www.sec.gov/Archives/edgar/data/840715/000114036107021574/ex10_1.htm" TargetMode="External"/><Relationship Id="rId81" Type="http://schemas.openxmlformats.org/officeDocument/2006/relationships/hyperlink" Target="http://www.sec.gov/Archives/edgar/data/840715/000084071507000049/ex10_14.htm" TargetMode="External"/><Relationship Id="rId82" Type="http://schemas.openxmlformats.org/officeDocument/2006/relationships/hyperlink" Target="http://www.sec.gov/Archives/edgar/data/840715/000084071507000049/ex10_15.htm" TargetMode="External"/><Relationship Id="rId83" Type="http://schemas.openxmlformats.org/officeDocument/2006/relationships/hyperlink" Target="http://www.sec.gov/Archives/edgar/data/840715/000114036108021099/ex10_20.htm" TargetMode="External"/><Relationship Id="rId84" Type="http://schemas.openxmlformats.org/officeDocument/2006/relationships/hyperlink" Target="http://www.sec.gov/Archives/edgar/data/840715/000084071509000061/manufagmt.htm" TargetMode="External"/><Relationship Id="rId85" Type="http://schemas.openxmlformats.org/officeDocument/2006/relationships/hyperlink" Target="http://www.sec.gov/Archives/edgar/data/840715/000084071509000061/settlementagmt.htm" TargetMode="External"/><Relationship Id="rId86" Type="http://schemas.openxmlformats.org/officeDocument/2006/relationships/hyperlink" Target="http://www.sec.gov/Archives/edgar/data/840715/000095012309060284/p16247exv10w23.htm" TargetMode="External"/><Relationship Id="rId87" Type="http://schemas.openxmlformats.org/officeDocument/2006/relationships/hyperlink" Target="http://www.sec.gov/Archives/edgar/data/840715/000095012309060284/p16247exv10w24.htm" TargetMode="External"/><Relationship Id="rId88" Type="http://schemas.openxmlformats.org/officeDocument/2006/relationships/hyperlink" Target="http://www.sec.gov/Archives/edgar/data/840715/000084071506000045/ex14_1.htm" TargetMode="External"/><Relationship Id="rId89" Type="http://schemas.openxmlformats.org/officeDocument/2006/relationships/hyperlink" Target="http://www.sec.gov/Archives/edgar/data/840715/000114036105006521/0001140361-05-006521-index.htm" TargetMode="External"/><Relationship Id="rId90" Type="http://schemas.openxmlformats.org/officeDocument/2006/relationships/hyperlink" Target="http://www.sec.gov/Archives/edgar/data/840715/000084071506000045/0000840715-06-000045-index.htm" TargetMode="External"/><Relationship Id="rId91" Type="http://schemas.openxmlformats.org/officeDocument/2006/relationships/hyperlink" Target="http://www.sec.gov/Archives/edgar/data/840715/000084071506000050/0000840715-06-000050-index.htm" TargetMode="External"/><Relationship Id="rId92" Type="http://schemas.openxmlformats.org/officeDocument/2006/relationships/hyperlink" Target="http://www.sec.gov/Archives/edgar/data/840715/000084071507000049/0000840715-07-000049-index.htm" TargetMode="External"/><Relationship Id="rId93" Type="http://schemas.openxmlformats.org/officeDocument/2006/relationships/hyperlink" Target="http://www.sec.gov/Archives/edgar/data/840715/000114036107021574/0001140361-07-021574-index.htm" TargetMode="External"/><Relationship Id="rId94" Type="http://schemas.openxmlformats.org/officeDocument/2006/relationships/hyperlink" Target="http://www.sec.gov/Archives/edgar/data/840715/000084071508000005/0000840715-08-000005-index.htm" TargetMode="External"/><Relationship Id="rId95" Type="http://schemas.openxmlformats.org/officeDocument/2006/relationships/hyperlink" Target="http://www.sec.gov/Archives/edgar/data/840715/000084071508000040/0000840715-08-000040-index.htm" TargetMode="External"/><Relationship Id="rId96" Type="http://schemas.openxmlformats.org/officeDocument/2006/relationships/hyperlink" Target="http://www.sec.gov/Archives/edgar/data/840715/000114036108021099/0001140361-08-021099-index.htm" TargetMode="External"/><Relationship Id="rId97" Type="http://schemas.openxmlformats.org/officeDocument/2006/relationships/hyperlink" Target="http://www.sec.gov/Archives/edgar/data/840715/000084071509000061/0000840715-09-000061-index.htm" TargetMode="External"/><Relationship Id="rId98" Type="http://schemas.openxmlformats.org/officeDocument/2006/relationships/hyperlink" Target="http://www.sec.gov/Archives/edgar/data/840715/000095012309060284/0000950123-09-060284-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2019-12-10T08:03:39Z</dcterms:created>
  <dcterms:modified xsi:type="dcterms:W3CDTF">2019-12-10T08:03:39Z</dcterms:modified>
</cp:coreProperties>
</file>