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660" w:right="198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2016</w:t>
      </w:r>
    </w:p>
    <w:p>
      <w:pPr>
        <w:spacing w:after="0" w:line="155" w:lineRule="exact"/>
        <w:rPr>
          <w:sz w:val="24"/>
          <w:szCs w:val="24"/>
          <w:color w:val="auto"/>
        </w:rPr>
      </w:pPr>
    </w:p>
    <w:p>
      <w:pPr>
        <w:ind w:left="660" w:right="1600" w:hanging="652"/>
        <w:spacing w:after="0" w:line="286" w:lineRule="auto"/>
        <w:tabs>
          <w:tab w:leader="none" w:pos="1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 to _________</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001-33660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2140" w:type="dxa"/>
            <w:vAlign w:val="bottom"/>
          </w:tcPr>
          <w:p>
            <w:pPr>
              <w:spacing w:after="0"/>
              <w:rPr>
                <w:sz w:val="22"/>
                <w:szCs w:val="22"/>
                <w:color w:val="auto"/>
              </w:rPr>
            </w:pPr>
          </w:p>
        </w:tc>
        <w:tc>
          <w:tcPr>
            <w:tcW w:w="3680" w:type="dxa"/>
            <w:vAlign w:val="bottom"/>
            <w:gridSpan w:val="3"/>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450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87-0398877</w:t>
            </w:r>
          </w:p>
        </w:tc>
        <w:tc>
          <w:tcPr>
            <w:tcW w:w="1100" w:type="dxa"/>
            <w:vAlign w:val="bottom"/>
          </w:tcPr>
          <w:p>
            <w:pPr>
              <w:spacing w:after="0"/>
              <w:rPr>
                <w:sz w:val="22"/>
                <w:szCs w:val="22"/>
                <w:color w:val="auto"/>
              </w:rPr>
            </w:pPr>
          </w:p>
        </w:tc>
      </w:tr>
      <w:tr>
        <w:trPr>
          <w:trHeight w:val="198"/>
        </w:trPr>
        <w:tc>
          <w:tcPr>
            <w:tcW w:w="562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gridSpan w:val="2"/>
          </w:tcPr>
          <w:p>
            <w:pPr>
              <w:jc w:val="center"/>
              <w:ind w:right="116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8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120" w:type="dxa"/>
            <w:vAlign w:val="bottom"/>
          </w:tcPr>
          <w:p>
            <w:pPr>
              <w:spacing w:after="0"/>
              <w:rPr>
                <w:sz w:val="20"/>
                <w:szCs w:val="20"/>
                <w:color w:val="auto"/>
              </w:rPr>
            </w:pPr>
          </w:p>
        </w:tc>
        <w:tc>
          <w:tcPr>
            <w:tcW w:w="448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53"/>
        </w:trPr>
        <w:tc>
          <w:tcPr>
            <w:tcW w:w="58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450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84116</w:t>
            </w:r>
          </w:p>
        </w:tc>
        <w:tc>
          <w:tcPr>
            <w:tcW w:w="1100" w:type="dxa"/>
            <w:vAlign w:val="bottom"/>
          </w:tcPr>
          <w:p>
            <w:pPr>
              <w:spacing w:after="0"/>
              <w:rPr>
                <w:sz w:val="24"/>
                <w:szCs w:val="24"/>
                <w:color w:val="auto"/>
              </w:rPr>
            </w:pPr>
          </w:p>
        </w:tc>
      </w:tr>
      <w:tr>
        <w:trPr>
          <w:trHeight w:val="234"/>
        </w:trPr>
        <w:tc>
          <w:tcPr>
            <w:tcW w:w="56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480" w:type="dxa"/>
            <w:vAlign w:val="bottom"/>
            <w:tcBorders>
              <w:top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82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50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801-975-7200</w:t>
            </w:r>
          </w:p>
        </w:tc>
        <w:tc>
          <w:tcPr>
            <w:tcW w:w="110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9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392"/>
        </w:trPr>
        <w:tc>
          <w:tcPr>
            <w:tcW w:w="214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on each exchange on which registered</w:t>
            </w:r>
          </w:p>
        </w:tc>
      </w:tr>
      <w:tr>
        <w:trPr>
          <w:trHeight w:val="20"/>
        </w:trPr>
        <w:tc>
          <w:tcPr>
            <w:tcW w:w="2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58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120" w:type="dxa"/>
            <w:vAlign w:val="bottom"/>
          </w:tcPr>
          <w:p>
            <w:pPr>
              <w:spacing w:after="0"/>
              <w:rPr>
                <w:sz w:val="20"/>
                <w:szCs w:val="20"/>
                <w:color w:val="auto"/>
              </w:rPr>
            </w:pPr>
          </w:p>
        </w:tc>
        <w:tc>
          <w:tcPr>
            <w:tcW w:w="448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453"/>
        </w:trPr>
        <w:tc>
          <w:tcPr>
            <w:tcW w:w="58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1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None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 ] Yes [X] No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 ] Yes [X] No</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 ] No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ectPr>
          <w:pgSz w:w="11900" w:h="16893" w:orient="portrait"/>
          <w:cols w:equalWidth="0" w:num="1">
            <w:col w:w="11420"/>
          </w:cols>
          <w:pgMar w:left="240" w:top="741" w:right="239" w:bottom="0" w:gutter="0" w:footer="0" w:header="0"/>
        </w:sectPr>
      </w:pPr>
    </w:p>
    <w:p>
      <w:pPr>
        <w:spacing w:after="0" w:line="16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Larger Accelerated Filer [ ]</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Non-Accelerated Filer [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 ]</w:t>
      </w:r>
    </w:p>
    <w:p>
      <w:pPr>
        <w:spacing w:after="0" w:line="422" w:lineRule="exact"/>
        <w:rPr>
          <w:sz w:val="24"/>
          <w:szCs w:val="24"/>
          <w:color w:val="auto"/>
        </w:rPr>
      </w:pPr>
    </w:p>
    <w:p>
      <w:pPr>
        <w:sectPr>
          <w:pgSz w:w="11900" w:h="16893" w:orient="portrait"/>
          <w:cols w:equalWidth="0" w:num="4">
            <w:col w:w="2380" w:space="640"/>
            <w:col w:w="1540" w:space="260"/>
            <w:col w:w="3380" w:space="640"/>
            <w:col w:w="2580"/>
          </w:cols>
          <w:pgMar w:left="240" w:top="741" w:right="239"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 ] Yes [X] No</w:t>
      </w:r>
    </w:p>
    <w:p>
      <w:pPr>
        <w:spacing w:after="0" w:line="221"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aggregate market value of the shares of voting common stock held by non-affiliates was approximately $65.2 million at June 30, 2016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Company’s most recently completed second fiscal quarter), based on the $11.20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March 15, 2017 was 8,746,870.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is incorporated by reference from registrant’s proxy statement for the 2017 annual meeting of shareholders or an amendment to this Annual Report on Form 10-K, which will be filed with the Securities and Exchange Commission within 120 days after the end of its fiscal year ended</w:t>
      </w:r>
    </w:p>
    <w:p>
      <w:pPr>
        <w:sectPr>
          <w:pgSz w:w="11900" w:h="16893" w:orient="portrait"/>
          <w:cols w:equalWidth="0" w:num="1">
            <w:col w:w="11420"/>
          </w:cols>
          <w:pgMar w:left="240" w:top="741"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00" w:type="dxa"/>
            <w:vAlign w:val="bottom"/>
            <w:gridSpan w:val="13"/>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60" w:type="dxa"/>
            <w:vAlign w:val="bottom"/>
            <w:gridSpan w:val="21"/>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 FOR THE YEAR ENDED DECEMBER 31, 2016</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80" w:type="dxa"/>
            <w:vAlign w:val="bottom"/>
            <w:gridSpan w:val="1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300" w:type="dxa"/>
            <w:vAlign w:val="bottom"/>
            <w:gridSpan w:val="9"/>
            <w:shd w:val="clear" w:color="auto" w:fill="CCEEFF"/>
          </w:tcPr>
          <w:p>
            <w:pPr>
              <w:jc w:val="center"/>
              <w:ind w:right="4720"/>
              <w:spacing w:after="0" w:line="162" w:lineRule="exact"/>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760" w:type="dxa"/>
            <w:vAlign w:val="bottom"/>
            <w:tcBorders>
              <w:top w:val="single" w:sz="8" w:color="CCEEFF"/>
            </w:tcBorders>
            <w:gridSpan w:val="19"/>
          </w:tcPr>
          <w:p>
            <w:pPr>
              <w:ind w:left="6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tcPr>
          <w:p>
            <w:pPr>
              <w:spacing w:after="0"/>
              <w:rPr>
                <w:sz w:val="15"/>
                <w:szCs w:val="15"/>
                <w:color w:val="auto"/>
              </w:rPr>
            </w:pPr>
          </w:p>
        </w:tc>
        <w:tc>
          <w:tcPr>
            <w:tcW w:w="47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10060" w:type="dxa"/>
            <w:vAlign w:val="bottom"/>
            <w:gridSpan w:val="28"/>
          </w:tcPr>
          <w:p>
            <w:pPr>
              <w:ind w:left="6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Unresolved Staff Comments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Properties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0060" w:type="dxa"/>
            <w:vAlign w:val="bottom"/>
            <w:gridSpan w:val="28"/>
          </w:tcPr>
          <w:p>
            <w:pPr>
              <w:ind w:left="6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5360" w:type="dxa"/>
            <w:vAlign w:val="bottom"/>
            <w:tcBorders>
              <w:top w:val="single" w:sz="8" w:color="CCEEFF"/>
            </w:tcBorders>
            <w:gridSpan w:val="11"/>
          </w:tcPr>
          <w:p>
            <w:pPr>
              <w:jc w:val="center"/>
              <w:ind w:right="4660"/>
              <w:spacing w:after="0" w:line="176" w:lineRule="exact"/>
              <w:rPr>
                <w:rFonts w:ascii="Times New Roman" w:cs="Times New Roman" w:eastAsia="Times New Roman" w:hAnsi="Times New Roman"/>
                <w:sz w:val="18"/>
                <w:szCs w:val="18"/>
                <w:b w:val="1"/>
                <w:bCs w:val="1"/>
                <w:color w:val="0000EE"/>
                <w:w w:val="97"/>
              </w:rPr>
            </w:pPr>
            <w:hyperlink w:anchor="page25">
              <w:r>
                <w:rPr>
                  <w:rFonts w:ascii="Times New Roman" w:cs="Times New Roman" w:eastAsia="Times New Roman" w:hAnsi="Times New Roman"/>
                  <w:sz w:val="18"/>
                  <w:szCs w:val="18"/>
                  <w:b w:val="1"/>
                  <w:bCs w:val="1"/>
                  <w:color w:val="0000EE"/>
                  <w:w w:val="97"/>
                </w:rPr>
                <w:t>PART II</w:t>
              </w:r>
            </w:hyperlink>
          </w:p>
        </w:tc>
        <w:tc>
          <w:tcPr>
            <w:tcW w:w="6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0060" w:type="dxa"/>
            <w:vAlign w:val="bottom"/>
            <w:gridSpan w:val="28"/>
          </w:tcPr>
          <w:p>
            <w:pPr>
              <w:ind w:left="60"/>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Selected Financial Data</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10060" w:type="dxa"/>
            <w:vAlign w:val="bottom"/>
            <w:gridSpan w:val="28"/>
          </w:tcPr>
          <w:p>
            <w:pPr>
              <w:ind w:left="60"/>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Quantitative and Qualitative Disclosures about Market Risk</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Financial Statements and Supplementary Data</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10060" w:type="dxa"/>
            <w:vAlign w:val="bottom"/>
            <w:gridSpan w:val="28"/>
          </w:tcPr>
          <w:p>
            <w:pPr>
              <w:ind w:left="60"/>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0060" w:type="dxa"/>
            <w:vAlign w:val="bottom"/>
            <w:gridSpan w:val="28"/>
          </w:tcPr>
          <w:p>
            <w:pPr>
              <w:ind w:left="60"/>
              <w:spacing w:after="0" w:line="17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Other Information</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700" w:type="dxa"/>
            <w:vAlign w:val="bottom"/>
            <w:gridSpan w:val="12"/>
            <w:shd w:val="clear" w:color="auto" w:fill="CCEEFF"/>
          </w:tcPr>
          <w:p>
            <w:pPr>
              <w:jc w:val="center"/>
              <w:ind w:right="4300"/>
              <w:spacing w:after="0" w:line="176" w:lineRule="exact"/>
              <w:rPr>
                <w:rFonts w:ascii="Times New Roman" w:cs="Times New Roman" w:eastAsia="Times New Roman" w:hAnsi="Times New Roman"/>
                <w:sz w:val="18"/>
                <w:szCs w:val="18"/>
                <w:b w:val="1"/>
                <w:bCs w:val="1"/>
                <w:color w:val="0000EE"/>
                <w:w w:val="96"/>
              </w:rPr>
            </w:pPr>
            <w:hyperlink w:anchor="page38">
              <w:r>
                <w:rPr>
                  <w:rFonts w:ascii="Times New Roman" w:cs="Times New Roman" w:eastAsia="Times New Roman" w:hAnsi="Times New Roman"/>
                  <w:sz w:val="18"/>
                  <w:szCs w:val="18"/>
                  <w:b w:val="1"/>
                  <w:bCs w:val="1"/>
                  <w:color w:val="0000EE"/>
                  <w:w w:val="96"/>
                </w:rPr>
                <w:t>PART III</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700" w:type="dxa"/>
            <w:vAlign w:val="bottom"/>
            <w:tcBorders>
              <w:top w:val="single" w:sz="8" w:color="CCEEFF"/>
            </w:tcBorders>
            <w:gridSpan w:val="17"/>
          </w:tcPr>
          <w:p>
            <w:pPr>
              <w:ind w:left="60"/>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Directors, Executive Officers and Corporate Governance</w:t>
              </w:r>
            </w:hyperlink>
          </w:p>
        </w:tc>
        <w:tc>
          <w:tcPr>
            <w:tcW w:w="720" w:type="dxa"/>
            <w:vAlign w:val="bottom"/>
            <w:tcBorders>
              <w:top w:val="single" w:sz="8" w:color="0000EE"/>
            </w:tcBorders>
            <w:gridSpan w:val="5"/>
          </w:tcPr>
          <w:p>
            <w:pPr>
              <w:spacing w:after="0"/>
              <w:rPr>
                <w:sz w:val="15"/>
                <w:szCs w:val="15"/>
                <w:color w:val="auto"/>
              </w:rPr>
            </w:pPr>
          </w:p>
        </w:tc>
        <w:tc>
          <w:tcPr>
            <w:tcW w:w="464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Executive Compensation</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10060" w:type="dxa"/>
            <w:vAlign w:val="bottom"/>
            <w:gridSpan w:val="28"/>
          </w:tcPr>
          <w:p>
            <w:pPr>
              <w:ind w:left="60"/>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Certain Relationships and Related Transactions, and Director Independence</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10060" w:type="dxa"/>
            <w:vAlign w:val="bottom"/>
            <w:gridSpan w:val="28"/>
          </w:tcPr>
          <w:p>
            <w:pPr>
              <w:ind w:left="60"/>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Principal Accounting Fees and Services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5"/>
            <w:shd w:val="clear" w:color="auto" w:fill="CCEEFF"/>
          </w:tcPr>
          <w:p>
            <w:pPr>
              <w:jc w:val="center"/>
              <w:spacing w:after="0" w:line="176" w:lineRule="exact"/>
              <w:rPr>
                <w:rFonts w:ascii="Times New Roman" w:cs="Times New Roman" w:eastAsia="Times New Roman" w:hAnsi="Times New Roman"/>
                <w:sz w:val="18"/>
                <w:szCs w:val="18"/>
                <w:b w:val="1"/>
                <w:bCs w:val="1"/>
                <w:color w:val="0000EE"/>
                <w:w w:val="97"/>
              </w:rPr>
            </w:pPr>
            <w:hyperlink w:anchor="page39">
              <w:r>
                <w:rPr>
                  <w:rFonts w:ascii="Times New Roman" w:cs="Times New Roman" w:eastAsia="Times New Roman" w:hAnsi="Times New Roman"/>
                  <w:sz w:val="18"/>
                  <w:szCs w:val="18"/>
                  <w:b w:val="1"/>
                  <w:bCs w:val="1"/>
                  <w:color w:val="0000EE"/>
                  <w:w w:val="97"/>
                </w:rPr>
                <w:t>PART IV</w:t>
              </w:r>
            </w:hyperlink>
          </w:p>
        </w:tc>
        <w:tc>
          <w:tcPr>
            <w:tcW w:w="46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10060" w:type="dxa"/>
            <w:vAlign w:val="bottom"/>
            <w:gridSpan w:val="28"/>
          </w:tcPr>
          <w:p>
            <w:pPr>
              <w:ind w:left="60"/>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Exhibits, Financial Statement Schedules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10060" w:type="dxa"/>
            <w:vAlign w:val="bottom"/>
            <w:gridSpan w:val="28"/>
            <w:shd w:val="clear" w:color="auto" w:fill="CCEEFF"/>
          </w:tcPr>
          <w:p>
            <w:pPr>
              <w:ind w:left="60"/>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Form 10-K Summary</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9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References in this Annual Report on Form 10-K to “ClearOne,” “we,” “us,” “CLRO” or “the Company” refer to ClearOne, Inc., a Utah corporation, and, unless the context otherwise requires or is otherwise expressly stated,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ClearOne (the Company) was formed as a Utah corporation in 1983 organized under the laws of the State of Utah. The Company is headquartered in Salt Lake City, Utah, with locations in Gainsville, Florida; Austin, Texas; Corvallis, Oregon; Hong Kong; Israel, Spain and United Arab Emirates.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company that designs, develops and sells conferencing, collaboration, network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more than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2014, we completed the acquisition of Spontania from Spain-based Dialcom Networks, S.L. in an all-cash deal for €3.66 million (approximately US$5.1 million). Spontania, a software-based cloud collaboration solution, combines the benefits of video conferencing and web conferencing into an enterprise solution that can scale to tens of thousands of users. The addition of Spontania was made with the intent to make us the only company offering an entirely software-based video conferencing product line and to provide on-premise cloud-based Software-as-a-Service (SaaS) and Platform-as-a-Service (PaaS) solutions complementing our existing premise-based, enterprise video conferencing offering, COLLABORATE®.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7, 2014, we completed the acquisition of Sabine, Inc. (“Sabine”) through a stock purchase agreement (“SPA”). Sabine manufactured, designed and sold Sacom professional wireless microphone systems for live and installed audio. It also manufactured the FBX Feedback Exterminator for reliable automatic feedback control. With the addition of Sabine, we have reliable and exclusive access to the wireless microphones that are a critical component of our complete microphone portfolio. Pursuant to the SPA, we (i) paid initial consideration of $6.89 million in cash and approximately $1.68 million in ClearOne shares. In addition, we paid off Sabine debt of $1.25 million and may be required to make earn-out payments over a three-year period from the acquisition date based on achievement of certain performance criteria.</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16, 2012, we completed the acquisition of the video conferencing business of Israel-based VCON Video Conferencing, Ltd. (“VCON”). VCON was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our streaming and digital signage technologies has provided us with complementary technology opportunities allowing us to enter new growth markets. Pursuant to the asset purchase agreement, ClearOne paid consideration of $4.6 million in cash to VCON in consideration for all the assets, including intellectual property, fixed assets and inventory, and assumed no 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address is 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certain risks applicable to our business, results of operations, financial position, and liquidity, see the risk factors described in “Item 1A, Risk Factors”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participate in the following markets:</w:t>
      </w:r>
    </w:p>
    <w:p>
      <w:pPr>
        <w:spacing w:after="0" w:line="225" w:lineRule="exact"/>
        <w:rPr>
          <w:sz w:val="20"/>
          <w:szCs w:val="20"/>
          <w:color w:val="auto"/>
        </w:rPr>
      </w:pPr>
    </w:p>
    <w:p>
      <w:pPr>
        <w:ind w:left="660" w:hanging="38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audio visual, including audio conferencing, web conferencing and video conferencing and collaboration;</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microphones which includes our patented beamforming microphones, ceiling microphones and wireless microphones;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collaboration including interactive whiteboarding, webinar and training tools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streaming and digital signage which includes audio and video networking, media streaming, video walls and digital signage.</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communications, including telephony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goals are to:</w:t>
      </w:r>
    </w:p>
    <w:p>
      <w:pPr>
        <w:spacing w:after="0" w:line="225" w:lineRule="exact"/>
        <w:rPr>
          <w:sz w:val="20"/>
          <w:szCs w:val="20"/>
          <w:color w:val="auto"/>
        </w:rPr>
      </w:pPr>
    </w:p>
    <w:p>
      <w:pPr>
        <w:ind w:left="660" w:hanging="38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leading global market share in professional audio conferencing products for large businesses and organizations;</w:t>
      </w:r>
    </w:p>
    <w:p>
      <w:pPr>
        <w:spacing w:after="0" w:line="27"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ClearOne as the preferred AV channel partner uniquely offering a complete value-chain of natively integrated solutions from audio to video maximizing AV partner profitability;</w:t>
      </w:r>
    </w:p>
    <w:p>
      <w:pPr>
        <w:ind w:left="660" w:hanging="38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total addressable market from installed audio beachhead to adjacent complementary markets – microphones, video collaboration and networked audio and video streaming;</w:t>
      </w:r>
    </w:p>
    <w:p>
      <w:pPr>
        <w:ind w:left="660" w:hanging="38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leverage the video conferencing, collaboration and network streaming technologies to enter new growth markets;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the small and medium business (SMB) market with scaled, lower cost and less complex products and solutions;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growing adoption of information technology channels and introduce more products to these channels;</w:t>
      </w:r>
    </w:p>
    <w:p>
      <w:pPr>
        <w:spacing w:after="0" w:line="9" w:lineRule="exact"/>
        <w:rPr>
          <w:rFonts w:ascii="Times New Roman" w:cs="Times New Roman" w:eastAsia="Times New Roman" w:hAnsi="Times New Roman"/>
          <w:sz w:val="18"/>
          <w:szCs w:val="18"/>
          <w:color w:val="auto"/>
        </w:rPr>
      </w:pPr>
    </w:p>
    <w:p>
      <w:pPr>
        <w:ind w:left="660" w:right="20" w:hanging="38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emerging market trends as audio visual, information technology, and digital signage converge to meet enterprise and commercial multimedia needs and the users shift from high-priced systems to low cost appliances and cloud solutions;</w:t>
      </w:r>
    </w:p>
    <w:p>
      <w:pPr>
        <w:ind w:left="660" w:hanging="38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software-based platforms to provide disruptive cloud and networked video conferencing, collaboration and streaming solutions that complement our audio solutions;</w:t>
      </w:r>
    </w:p>
    <w:p>
      <w:pPr>
        <w:ind w:left="660" w:hanging="38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strengthen our sales channels;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disciplined strategic acquisitions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focus on our core strengths, which include the following:</w:t>
      </w:r>
    </w:p>
    <w:p>
      <w:pPr>
        <w:spacing w:after="0" w:line="225" w:lineRule="exact"/>
        <w:rPr>
          <w:sz w:val="20"/>
          <w:szCs w:val="20"/>
          <w:color w:val="auto"/>
        </w:rPr>
      </w:pP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superior conferencing and collaboration experience;</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the complete value chain for audio visual communication;</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impacting network streaming and control;</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greater innovation, interoperability and value to our customers and partners;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and extending ClearOne technology, leadership and innovation;</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strong domestic and international channels to distribute new products;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existing customer and partner relationships through dedicated support.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can be broadly categorized into the following:</w:t>
      </w:r>
    </w:p>
    <w:p>
      <w:pPr>
        <w:spacing w:after="0" w:line="225" w:lineRule="exact"/>
        <w:rPr>
          <w:sz w:val="20"/>
          <w:szCs w:val="20"/>
          <w:color w:val="auto"/>
        </w:rPr>
      </w:pPr>
    </w:p>
    <w:p>
      <w:pPr>
        <w:ind w:left="660" w:hanging="38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audio conferencing including professional microphones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communication products including media collaboration and network streaming.</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Unified communications audio end points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AUDIO CONFERENCING INCLUDING MICROPHONES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full range of professional audio communication products includes (i) professional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and (iii) professional microphones used in various applications.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professional audio communication products, including premium conferencing and professional microphones, contributed 78%, 80% and 77% of our consolidated revenue in 2016, 2015 and 2014,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professional audio communication products and unified communications audio end points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Conferencing, Sound Reinforcement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occupy the number one position in the global professional audio conferencing market with more than 50% of the total global market share. We have been developing high-end, professional conferencing products since 1991 and believe we have established strong brand recognition for these products worldwide. Our professional conferencing products include the CONVERGE® Pro, CONVERGE Pro 2 and CONVERGE SR product lines.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flagship CONVERGE Pro product line leads our professionally installed audio products line. The CONVERGE Pro product line includes the CONVERGE Pro 880, CONVERGE Pro 880T, CONVERGE Pro 880TA, CONVERGE Pro 840T, CONVERGE Pro 8i, CONVERGE Pro TH20 and CONVERGE Pro VH20, and CONVERGE SR product line including CONVERGE SR1212 and SR1212A which together offer various levels of integration and features to allow a commercial system integrator to optimize a system to fit diverse conferencing applications and environments.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started shipping some of the SKUs of the next generation of CONVERGE Pro products broadly called as CONVERGE Pro 2. CONVERGE Pro 2’s DSP platform satisfies clients’ diverse audio needs with these features:</w:t>
      </w:r>
    </w:p>
    <w:p>
      <w:pPr>
        <w:spacing w:after="0" w:line="162" w:lineRule="exact"/>
        <w:rPr>
          <w:sz w:val="20"/>
          <w:szCs w:val="20"/>
          <w:color w:val="auto"/>
        </w:rPr>
      </w:pPr>
    </w:p>
    <w:p>
      <w:pPr>
        <w:ind w:left="660" w:right="20" w:hanging="382"/>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very latest and most powerful audio DSP algorithms, including acoustic echo cancellation, noise cancellation, feedback elimination, gain and level control, and microphone gating;</w:t>
      </w:r>
    </w:p>
    <w:p>
      <w:pPr>
        <w:ind w:left="660" w:hanging="38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microphone inputs to supply greater flexibility;</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VoIP or telephony, USB, and Dante™ for maximum functionality;</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expansion bus that delivers increased audio-channel scalability to support large audio projects;</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native interface that enables daisy-chaining for any combination of ClearOne peripheral devices, such as the new Beamforming Microphone Array 2 and/or the new DIALOG® 20 Wireless Microphone system; and</w:t>
      </w:r>
    </w:p>
    <w:p>
      <w:pPr>
        <w:ind w:left="660" w:hanging="38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software that includes both a traditional matrix view and the unique ClearOne FlowView™.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Mid-Tier Premium Conferencing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INTERACT®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Microphones: Beamforming Microphone Array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ClearOne Beamforming Microphone Array is the Pro-Audio industry’s first professional-grade microphone array with Beamforming and adaptive steering technology and ClearOne’s next-generation Acoustic Echo Cancellation. The ultra-sleek design fits into any conferencing environment and delivers the clearest audio pickup available. The 24 microphone element industry-leading Beamforming Microphone Array has focused acoustic beams, digital signal processing, adaptive steering, and acoustic echo canceling to produce the clearest and most intelligible conferencing sound possible. ClearOne began shipping the Beamforming Microphone Array in March 2013. During the first quarter of 2014, we began shipping the Beamforming Microphone Array, including table, wall and ceiling applications, in black to increase market compatibility.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Beamforming Microphone Array 2, the next generation Beamforming Microphone Arrays started shipping in the last quarter of 2016. The Beamforming Microphone Array 2 affirms ClearOne’s clear industry leadership in delivering: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9" w:lineRule="exact"/>
        <w:rPr>
          <w:sz w:val="20"/>
          <w:szCs w:val="20"/>
          <w:color w:val="auto"/>
        </w:rPr>
      </w:pPr>
    </w:p>
    <w:p>
      <w:pPr>
        <w:ind w:left="660" w:hanging="38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enhanced and new echo cancellation, using direction of arrival determination for demanding acoustic environments;</w:t>
      </w:r>
    </w:p>
    <w:p>
      <w:pPr>
        <w:spacing w:after="0" w:line="27" w:lineRule="exact"/>
        <w:rPr>
          <w:rFonts w:ascii="Times New Roman" w:cs="Times New Roman" w:eastAsia="Times New Roman" w:hAnsi="Times New Roman"/>
          <w:sz w:val="18"/>
          <w:szCs w:val="18"/>
          <w:color w:val="auto"/>
        </w:rPr>
      </w:pPr>
    </w:p>
    <w:p>
      <w:pPr>
        <w:jc w:val="both"/>
        <w:ind w:left="660" w:hanging="38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Faster convergence and better adaptation to changes in room acoustics, such as ambient noise from chairs moving, doors closing, chatter in the background, or any spikes in sound that alter the path of the audio, using separate acoustic echo cancellation for each fixed beam and inhibiting beam selection when the far end is active;</w:t>
      </w:r>
    </w:p>
    <w:p>
      <w:pPr>
        <w:spacing w:after="0" w:line="1"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Dramatically better mic pickup, including using an augmenting microphone signal, sharpening the capability to detect softer voices;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clearly intelligible audio, even when two people speak at once;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consumption of analog mic inputs in the CONVERGE Pro 2 DSP mixer.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Microphones: Ceiling Microphone Array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Microphones: Wireless Microphones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ClearOne also introduced WS800 Wireless Microphone Systems, including four new models of wireless microphones/transmitters (Tabletop/boundary, Gooseneck, Handheld, Bodypack) and a base-station receiver with either 4 or 8 channels, which connect to professional audio mixers. The wireless system combines ease-of-use with the most reliable security and power. ClearOne began shipping the WS800 Wireless Microphone Systems in January 2013. Through the Sabine acquisition, we also began shipping Sacom branded Wireless Microphone Systems in 2014. During 2015, our portfolio of wireless microphone systems was enhanced by the introduction of digital compressed versions, Dante standard compatible versions and more frequency ranges catering to various international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UNIFIED COMMUNICATIONS AUDIO END POINTS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unified communications audio end points include (i) traditional tabletop conferencing phones used in conference rooms and offices and (ii) affordable personal conferencing products that can be used with PCs, laptops, tablets, smartphones, and other portable devices. Our unified communications audio end points contributed approximately 11%, 13% and 17% of our consolidated revenue in 2016, 2015 and 2014,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Tabletop Conferencing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MAX® product line is comprised of the following product families: MAX EX and MAXAttach® wired phones; MAX Wireless and MAXAttach Wireless; and MAX IP and MAXAttach IP VoIP tabletop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Conferencing 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CHAT® product line includes affordable and stylish personal speakerphones and USB headsets. CHAT speaker phones provide full-duplex and rich full bandwidth frequency response for superior audio clarity. CHAT products are designed for a wide variety of applications and devices (fixed or portable) for greatly enhanced collaboration wherever and whenever needed. CHAT speaker phones are offered as personal speakerphones and group speakerphones.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CHAT personal speakerphones are approximately the size of a deck of cards, and connect to PCs and MACs, laptops, tablets, enterprise handsets, smartphones, cell phones, and MP3 players for rich, clear, hands-free audio and playback. CHAT group speakerphones are designed for small group use. These can also connect many of the same devices and applications as the CHAT personal speakerphones, but feature three microphones in larger design for use by a larger number of participants. CHAT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 is comprised of two CHAT group speakerphones which can be daisy-chained together to function as a single conferencing system.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VISUAL COMMUNICATIONS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visual communication products include media collaboration and network streaming products. Our visual communication products contributed 11%, 7% and 6% of our consolidated revenue in 2016, 2015 and 2014,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 Collaboration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comprehensive portfolio of industry-leading COLLABORATE® branded HD videoconferencing solutions bring cutting-edge software-based full HD (1080p) video conferencing technology with H.264 High Profile encoding that reduces bandwidth utilization up to 50 percent. COLLABORATE is comprised of feature-rich room systems and desktop video applications, as well as enhanced network management, infrastructure solutions and software development kits.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COLLABORATE Infrastructure is for customers who desire an on-premise infrastructure solution. ClearOne offers a single-unit infrastructure server that will serve the needs of both the small to mid-sized businesses and enterprise customers hoping to expand locations. The heavy burden of adding video collaboration pervasively has always been the cost of expensive infrastructure solutions. ClearOne’s single-unit solution provides the infrastructure component at a low price, including directory services, firewall traversal, MCU, H.323 gatekeeper, SIP registrar, license server, call control, and a full management system.</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COLLABORATE Desktop is a versatile application for any PC or laptop user in organizations of any size. Available with up to 1080p resolution, the COLLABORATE Desktop offers multiple media transmitting capabilities for video, audio and data. Using ClearOne’s DualStream™ technology, the application has the ability to send and receive video and data streams simultaneously with its additional streaming capability, ClearOne’s Simulcast™ allows COLLABORATE Desktop users to chair or participate in corporate broadcasts.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COLLABORATE Room is a best-in-class video conferencing and collaboration solution offering a price-point and feature set vastly superior to that of competing room conferencing solutions. Designed for small and medium businesses and corporate meeting rooms, the COLLABORATE Room features software-based and server-less embedded multipoint (up to 9-way) video conferencing, SIP/H.323 bridging interoperability, built-in recording and streaming, built-in remote content and data sharing, and interactive multicast.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COLLABORATE® Room Pro all-in-one appliance combines high-definition 1080p60 video with ClearOne’s wildly popular Beamforming Microphone Array for the best audio available on any self-contained video conferencing solution, without using an external DSP unit for audio processing. This new system, available with a 9-party MCU, also includes many media collaboration tools that usually purchased separately, such as: streaming, recording and content creation, presentation.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 PTZ Camera complements the COLLABORATE product line, and comes with DVI-I (for digital and analog output) and USB 3.0 connectivity that enables users to easily add Full-HD video to UC or video applications running on desktop/laptop. With powerful optical zoom and wide field of view make this camera more suitable for medium to large meeting spaces. Full high definition video in up to 1080p60 resolution helps the remote sites in video conferencing see every detail, even when displayed on a large screen. During the first quarter of 2016 we launched the ClearOne UNITE® 200 PTZ Camera, a superbly versatile, professional-grade, HD video camera complete with USB, HDMI, and IP connections that can be used for the widest possible range of applications at a price significantly lower than competitive models.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the Spontania acquisition in 2014, ClearOne started offering Spontania cloud-based Media Collaboration solutions. Spontania empowers customers to deploy video collaboration without the heavy burden of expensive infrastructure. It also allows service providers and partners to expand their offerings by deploying the technology within their own networks. Spontania complements ClearOne’s premise-based COLLABORATE enterprise video collaboration portfolio. The complete ClearOne video portfolio now can serve a full range of video collaboration needs for enterprise, SMB, healthcare, education, and other customers, whether they are seeking those solutions deployed in their private data centers or in the ClearOne Spontania cloud. ClearOne now offers its partners and end users a clear choice between public cloud, private cloud, and on-premise solutions.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Network Streaming and Digital Signage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network streaming products are primarily sold under VIEW™ and VIEW Pro brands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The ClearOne VIEW and VIEW Pro products are powered by ClearOne’s patented StreamNet®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and VIEW Pro systems have no limits on the numbers of sources, displays, or amplifiers in a project and can be used in venues from high-end residential homes to large-scale commercial projects.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contained when they were encoded. The addition of Digital Encoder and Digital Decoder products with DVI/HDMI input and output enhances the flexibility of complete AV distribution system and makes it as easy to use as analog devices.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VIEW Pro solution provides 1080p60, H.264 high definition HDMI video-audio, 4:4:4 true-color, 24 bit per pixel video output. It comes with dual inputs encoder and single output decoder with balanced audio, general purpose control ports and clock synchronized video output. VIEW Pro system also provides multi-view video composition and video-wall features using its built-in video processing engine, without using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 VIEW Pro products include E110 and E120 encoders and D110 and D210 decoders. VIEW Pro solution also comes with multiple license options including audio mixing, video composition, video wall, multicast RTSP, local playback and USB HID.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2016, we introduced the new VIEW CONSOLE configuration management software. This software gives integrators a comprehensive platform from which to configure, manage, monitor, and control VIEW system installation using an easy, modern interface. The new toolset, which spotlights the latest in advanced software development technologies, works across ClearOne’s full line of VIEW/VIEW Pro products.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end of May 2016, we introduced a new flexible and single-channel-priced VIEW® Pro E110 Encoder — designed for single-media input settings. E110 Encoder delivers high-quality video with configurable 4:4:4 and 4:2:0 color sampling; standards-based streaming formats; 1080p60, H.264-based, high-profile encoding with lossless compression; very low end-to-end latency; and full HDCP support. We also introduced the innovative new entry-level VIEW Pro D310 Decoder featuring all the basic functionality to fully satisfy simple applications while delivering superb price-to-performance value. D310 Decoder features convenience in its small footprint and easy mounting behind any display. It delivers full-screen, single-image video; high-quality video with 4:2:0 video color sampling; and 1080p60, H.264-based high-profile decoding with lossless compression.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primarily use a two-tier channel model through which we sell our commercial products to a worldwide network of independent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audio-video consultants. We also sell our commercial products directly to certain dealers, systems integrators, value-added resellers, and end-users.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sales generated in the United States and outside the United States for the years ended December 31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in millions</w:t>
            </w:r>
          </w:p>
        </w:tc>
        <w:tc>
          <w:tcPr>
            <w:tcW w:w="28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2014</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4580" w:type="dxa"/>
            <w:vAlign w:val="bottom"/>
            <w:tcBorders>
              <w:top w:val="single" w:sz="8" w:color="auto"/>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directly to our distributors, resellers and end-users in approximately 60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Distributors, Resellers and Independent Integrators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sold our products directly to approximately 341 distributors and direct resellers throughout the world during 2016. Distributors and resellers purchase our products at a discount from list price and resell them worldwide to hundreds of independent systems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and our MagicBox branded digital signage products on our website www.magicboxinc.com. We also conduct public relations initiatives to get press coverage and product reviews in industry and non-industry publications alike.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get comprehensive reports from our distributors and resellers that identify our end-users. As a result, we do not know whether any end-user accounted for more than 10 percent of our total revenue during any of the periods reported in this Annual Report. However, revenues included sales to Starin Marketing, which represented approximately 16.3% of consolidated revenue during the year ended December 31, 2016 with no other end-user accounting for more that 10 percent. During the year ended December 31, 2015 sales to Starin Marketing and VSO Marketing represented approximately 14.2% and 10.4% of consolidated revenue, respectively. During the year ended December 31, 2014 sales to Starin Marketing represented approximately 16% of consolidated revenue with no other end-user accounting for more that 10 percent.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shipped orders on which we had not recognized revenue were $3.9 million and $4.5 million as of December 31, 2016 and 2015, respectively. We had a backlog of unshipped orders of approximately $0.6 million and $0.2 million as of December 31, 2016 and 2015,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audio-visual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principal factors driving sales are the following:</w:t>
      </w:r>
    </w:p>
    <w:p>
      <w:pPr>
        <w:spacing w:after="0" w:line="225" w:lineRule="exact"/>
        <w:rPr>
          <w:sz w:val="20"/>
          <w:szCs w:val="20"/>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features and functionality, and ease of use of the products;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and deep global channel partnerships;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established history of successful worldwide installations for diverse vertical markets;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name recognition and acceptance;</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customer and partner sales and technical support services;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sales and marketing.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professional audio conferencing system and sound reinforcement markets our main competitors include AcousticMagic, Biamp, Bose, Crestron, Extron, Harman, Peavey, Phoenix Audio, Polycom, QSC, Symetrix, Vaddio and Yamaha and their original equipment manufacturing (OEM) partners, along with several other companies potentially poised to enter the market. We occupy the number one position in the global professional audio conferencing market with more than 50% of the global market share.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professional microphones market, our primary competitors include AKG, Audio Technica, Audix, Avlex, Beyerdynamic, Biamp, Clock Audio, Lectrosonics, Media Vision, Nureva, Phoenix Audio, Polycom, Sennheiser, Shure, TeachLogic, TOA and Yamaha and their OEM partners.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traditional tabletop conferencing market, we face significant competition from Avaya/Konftel, Phoenix Audio, Polycom and Yamaha, and especially from their OEM partnerships. A significant portion of the tabletop market is covered by sales through OEM partnerships. While we believe MAX products have unique features and superior quality, our limited OEM partnerships and pricing pressures from higher volume competitors limit our ability to expand our existing share of this market.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competitors in the personal conferencing market are GN Netcom (Jabra), Logitech, Phoenix Audio, Plantronics, Polycom and Yamaha and their OEM partners.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conferencing products face tremendous competition from well established players as well as emerging players, including Acano, Avaya, Aver, Barco, Blue Jeans, Cisco, Citrix, FuzeBox, Huawei, InFocus, Kramer, Logitech, Magor, Microsoft, Pexip, Polycom, Starleaf, Telylabs, UNIFY, Vidyo, Yealink, Zoom and ZTE. We believe the migration of video conferencing from hardware-based codecs to software-based codecs provides an opportunity for us to differentiate our products and gain market share.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network streaming products which includes digital signage products face intense competition from a few well-established corporations of diversified capabilities and strengths, including Atlona, Aurora Multimedia, Barco, Biamp, Broadsign, Cisco, Crestron, Extron, Gefen, Goopie, Haivision, Hall Research, Infocus (Jupiter), Key Digital, Kramer, Liberty AV, Magenta Research, Matrox, Mediasite, Ncast, RGB Spectrum, Scala, Spinetix, SVSi Volante, Teracue, Tightrope, tvONE, UCView, VBrick, Visionary Solutions, Visix, WyreStorm and ZeeVee. We believe that our pioneering and patented StreamNet technology delivers superior audio and video streaming performance and flexibility and provides us with a competitive edge over other industry players.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Regulations regarding product safety, product operational agency compliance, the materials used in manufacturing, the process of disposing of electronic equipment and the efficient use of energy may require extensive lead-time to obtain regulatory approvals of new products in both domestic and international markets. Such regulations may impact our ability to expand our sales in a timely and cost-effective manner and, as a result, our business could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all of our products except a few digital signage products are manufactured by EMS providers. Our primary EMS provider is Flextronics. The digital signage products are assembled in our Salt Lake City, Utah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has historically been the strongest in the fourth quarter and the weakest in the first quarter, even though a consistent pattern could not be established for seasonality between the quarters. There can be no assurance that any historic sales patterns will continue and, as a result, sales for any prior quarter are not necessarily indicative of the sales to be expected in any future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$8.6 million, $8.3 million and $9.0 million, during the years ended December 31, 2016, 2015 and 2014,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competencies in research and product development include (a) many audio technologies, including acoustic echo cancellation, noise cancellation and other advanced adaptive digital signal processing technologies, (b) networking and multimedia streaming technologies, and (c) video technologies. We also have expertise in wireless technologies, VoIP, software and network application, and digital signage system development. We believe that continued investment in our core technological competencies is vital to developing new products and to enhancing existing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2016, we had 151 full-time employees. Of these employees, 93 were located in our Salt Lake City location, 31 in other U.S. locations, and 27 in locations outside the U.S. None of our employees are subject to a collective bargaining agreement and we believe our relationship with our employees is good. We also hire contractors with specific skill sets to meet our operational needs.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face intense competition in all markets for our products and services and our operating results will be adversely affected if we cannot compete effectively against other companies.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Difficulties in estimating customer demand in our products segment could harm our profit margins.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sales depend to a certain extent on government funding and regulation.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laws and regulations subject us to a number of risks and could result in significant costs and impact on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profitability may be adversely affected by our continuing dependence on our distribution channels.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both party,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been providing inventory reports consistently and the inventory was bought within the six months preceding the price adjustment date.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delays or defects could harm our competitive position and reduce our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rely on reporting of distribution channel inventory by our distributors to recognize revenue from product sales to them, which could turn out to be inaccurate.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defer recognition of revenue from product sales to distributors until the return privilege has expired, which approximates when product is sold-through to customers of our distributors. At each quarter-end, we evaluate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will be accurate. We sample test the inventory of a limited number of distributors on an annual basis, most recently in the fourth quarter of 2016, to gain a comfort level of inventory levels reported, however, inventory levels could contain inaccuracies for items we do not sample.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an outsourced manufacturing strategy, and any disruption in outsourced services could negatively impact our product availability and revenues.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outsource the manufacturing of all of our products except digital signage and wireless microphone products to electronics manufacturing services (“EMS”) providers located in both the U.S. and Asia. If any of these EMS providers experience (i) difficulties in obtaining sufficient supplies of components,</w:t>
      </w:r>
    </w:p>
    <w:p>
      <w:pPr>
        <w:jc w:val="both"/>
        <w:ind w:right="20" w:firstLine="8"/>
        <w:spacing w:after="0" w:line="252" w:lineRule="auto"/>
        <w:tabs>
          <w:tab w:leader="none" w:pos="2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prices significantly exceeding anticipated costs, (iii) an interruption in their operations, or (iv)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Switching from one EMS provider to another is an expensive, difficult and a time 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Recent regulatory requirements regarding the use of “conflict minerals” could affect the sourcing and availability of raw materials to our EMS providers in the manufacture of certain of our products. We may be subject to costs associated with the new regulations, including for the diligence pertaining to the presence of any conflict minerals used in our products and the cost of remediation and other changes to products, processes, or sources of supply as a consequence of such verification activities. The impact of the regulations may result in a limited pool of suppliers who provide conflict free minerals, and we cannot assure you that we will be able to obtain products in sufficient quantities, at competitive prices, or at all. We may face reputational challenges with our customers and other stakeholders if we are unable to sufficiently verify the origins for the metals used in the products we sell.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conditions have adversely affected our business in the past and could adversely affect our revenues and harm our business in the future.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a smaller Company than some of our competitors and may be more susceptible to market fluctuations, other adverse events, increased costs and less favorable purchasing terms.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Difficulties in integrating past or future acquisitions could adversely affect our business.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these and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these acquisitions or any future acquisitions we may make.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Profitability could be negatively impacted if we do not adequately forecast the demand for our products and are unable to monetize our long-term inventories.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hold approximately $1.7 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in Israel and the Middle East may affect the operations of our subsidiary in Israel.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formed a subsidiary located in Israel in connection with the acquisition of the assets of VCON Video Conferencing, Ltd. Political, economic, security and military conditions in the Middle East in general, and in Israel in particular, directly affect our Israeli subsidiary’s operations. Since the establishment of the State of Israel in 1948, a number of armed conflicts have taken place between Israel and its Arab neighbors and a state of hostility, varying in degree and intensity, has led to security and economic problems for Israel. Despite negotiations to effect peace between Israel and its Arab neighbors, the future of these peace efforts is uncertain.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 social unrest in various countries in the Middle East have led to severe political instability in those countries. This continuing instability may lead to deterioration of the political and trade relationships that exist between the State of Israel and these countries. In addition, this instability may affect the economy in the Middle East as well as the global economy and marketplace. Any armed conflicts or political instability in the region, including acts of terrorism or any other hostilities involving or threatening Israel, would likely negatively affect business conditions and could make it more difficult for us to conduct our operations in Israel, which could increase our costs and adversely affect our financial results.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obsolescence could harm demand for our products and could adversely affect our revenue and our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protect our intellectual property rights or have insufficient proprietary rights, our business would be materially impaired.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In addition, we may initiate litigation to enforce our intellectual property rights, which may prompt our adversaries in such litigation to challenge the validity, scope or enforceability of our intellectual property. Our industry is characterized by vigorous protection of intellectual property rights. Such claims and the resulting litigation can be expensive and could divert our attention, regardless of the merit of such claims. In the event of a successful claim, we might be required to license third-party technology or redesign our products, which may not be possible or economically feasible.</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sales account for a significant portion of our net revenue and risks inherent in international sales could harm our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9" w:lineRule="exact"/>
        <w:rPr>
          <w:sz w:val="20"/>
          <w:szCs w:val="20"/>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the imposition of, additional legislative or regulatory requirements;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or more onerous environmental regulations;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exchange rates;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barriers;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sales operations;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in accounts receivable collection and longer payment cycles;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hostilities and changes in diplomatic and trade relationships; and</w:t>
      </w:r>
    </w:p>
    <w:p>
      <w:pPr>
        <w:spacing w:after="0" w:line="9" w:lineRule="exact"/>
        <w:rPr>
          <w:rFonts w:ascii="Times New Roman" w:cs="Times New Roman" w:eastAsia="Times New Roman" w:hAnsi="Times New Roman"/>
          <w:sz w:val="18"/>
          <w:szCs w:val="18"/>
          <w:color w:val="auto"/>
        </w:rPr>
      </w:pPr>
    </w:p>
    <w:p>
      <w:pPr>
        <w:ind w:left="660" w:hanging="38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services due to natural disaster, economic or political difficulties, transportation, quarantines or other restrictions associated with infectious diseases.</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 In addition, given the current political climate regarding the U.S. immigration laws, we may not be able attract highly-skilled technical employees from abroad.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third-party technology and license agreements, the loss of any of which could negatively impact our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have difficulty in collecting outstanding receivables.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Interruptions to our business could adversely affect our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 based problems. To help guard against such risks, we carry business interruption loss insurance to help compensate us for losses that may occur, but we cannot assure that such coverage would protect us from all such possible losses.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become subject to adverse determinations with respect to certain legal claims.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or about October 24, 2016, we received written notice from the United States Department of Labor, Occupational Health and Safety Administration ("OSHA") that a complaint had been filed against the Company by a former employee. Among other things, the complaint to OSHA alleges harassment, retaliation, and violations of 18 U.S.C.A. Section 1514A,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"Sarbanes-Oxley Act") arising out of allegations previously made by the employee and the termination of the person’s employment with the Company on or about August 17, 2016 (the “OSHA Complaint”). The Company denies the allegations in the OSHA Complaint, has not discovered any evidence of wrongdoing with respect to the allegations previously made by the former employee, and is vigorously defending the claims. As of February 28, 2017, we have incurred approximately $927,000 in attorneys’ fees and costs relating to the OSHA Complaint. On March 2, 2017, the Company received notice that the same former employee who initiated the OSHA Complaint also has filed a complaint with the Utah Labor Commission, Anti-Discrimination &amp; Labor Division (the “Utah Complaint”) alleging that the employee's termination was discriminatory based upon a disability or, in the alternative, retaliatory for substantially the same reasons alleged in the OSHA Complaint. The Company is in the process of assessing the Utah Complaint and intends to vigorously defend it. We may incur additional expenses related to legal and related services rendered in connection with these matters and/or related matters in future periods and will recognize these expenses when they are incurred. Expenses related to the defense of the OSHA Complaint, the Utah Complaint and/or related matters may include uncertain but potential liabilities from any future unspecified governmental investigations and/or proceedings; any future unspecified civil litigation; and future unspecified expenses. We have not accrued any amount for contingent liability with respect to this matter. Due to the uncertainty and expense of litigation, there exists the possibility of adverse outcomes which are neither predictable nor estimable at this time. An adverse outcome with respect to the OSHA Complaint, the Utah Complaint and/or the allegations set forth therein could have a material adverse effect on our financial condition, results of operations and cash flows in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our tax rates could adversely affect our future results.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U.S. based Company subject to tax in U.S. and foreign tax jurisdictions. Unanticipated changes in our tax rates could affect our future results of operations. Our future effective tax rates, which are difficult to predict, could be unfavorably affected by changes in, or interpretation of, tax rules and regulations in the jurisdictions in which we do business, by unanticipated decreases in the amount of revenue or earnings in countries with low statutory tax rates, or by changes in the valuation of our deferred tax assets and liabilities. Further, the accounting for stock compensation expense in accordance with ASC 718 and uncertain tax positions in accordance with ASC 740 could result in more unpredictability and variability to our future effective tax rates.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Security breaches and other disruptions could compromise our information and expose us to liability, which would cause our business and reputation to suffer.</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Security breaches have occurred with increased frequency and sophistication in recent years.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Share Ownership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fluctuates as a result of the conduct of our business and stock market fluctuations.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62" w:lineRule="exact"/>
        <w:rPr>
          <w:sz w:val="20"/>
          <w:szCs w:val="20"/>
          <w:color w:val="auto"/>
        </w:rPr>
      </w:pPr>
    </w:p>
    <w:p>
      <w:pPr>
        <w:ind w:left="660" w:hanging="38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or changes in opinions, ratings, or earnings estimates made by brokerage firms or industry analysts relating to the market in which we do business or relating to us specifically;</w:t>
      </w: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disparity between our reported results and the projections of analysts;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in sales mix of products that we currently sell to a sales mix of lower-gross profit product offerings;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mix of inventory held by our distributors;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us or our competitors;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meeting targeted availability dates for new or redesigned products;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profitably and efficiently manage our supply of products and key components;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profitable relationships with our customers;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an appropriate cost structure;</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consumer confidence or market conditions, or market conditions specific to technology industry;</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conditions;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 tariffs;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report financial information in a timely manner;</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our stock is traded;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companies we have acquired;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utilize our cash reserves resulting from the settlement of litigation and arbitration matters.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to acquire our common stock could result in dilution to other holders of our common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2016, there were outstanding options to acquire approximately 0.85 million shares of our common stock at a weighted average exercise price of $8.06 per share.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sale of additional shares of our common stock could have a negative effect on the market price of our common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(“Section 404”), we are required to furnish a report by our management on our internal control over financial reporting. Such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Further, we must continue to monitor and assess our internal control over financial reporting. Any future failure of our own internal controls or the internal controls at any of our outsourced manufacturers or partners could result in reported material weaknesses. In addition, our control framework may suffer if we are unable to adapt our control framework appropriately as we continue to grow our business. If we are unable to assert in any future reporting period that our internal control over financial reporting is effective, we could lose investor confidence in the accuracy and completeness of our financial reports, which would have an adverse effect on our stock price, market capitalization, results of operations or financial position or other adverse consequences.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equity research analysts do not publish research or reports about our business or if they issue unfavorable commentary or downgrade our common stock, the price of our common stock could decline.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occupy a 5,000 square-foot facility in Gainsville, Florida under the terms of an operating lease that expires in February 2021 with the possibility of renewing the lease for 10 more years. The Gainesville facility was used primarily to support out research and development activities.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lease a 4,700 square-foot office facility in Hod Hasharon, Israel under the terms of an operating lease expiring in December 2017 which serves to support our research and development activities. Upon expiration, we will have the option to extend the lease for two additional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occupy a 31,000 square-foot facility in Salt Lake City, Utah under the terms of an operating lease expiring in May 2019, which supports our principal administrative, sales, marketing, customer support, and research and product development activities.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occupy a 7,070 square-foot facility in Austin, Texas - under the terms of an operating lease expiring in October 2019. This facility support our administrative, sales, marketing, customer support, and research and development activities.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occupy a 40,000 square-foot warehouse in Salt Lake City, Utah under the terms of an operating lease expiring in December 2021, which serves as our primary inventory fulfillment and repair center. This facility also serves as our assembly workshop for digital signage products.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Note 8 – Commitments and Contingencies</w:t>
      </w:r>
      <w:r>
        <w:rPr>
          <w:rFonts w:ascii="Times New Roman" w:cs="Times New Roman" w:eastAsia="Times New Roman" w:hAnsi="Times New Roman"/>
          <w:sz w:val="18"/>
          <w:szCs w:val="18"/>
          <w:color w:val="auto"/>
        </w:rPr>
        <w:t xml:space="preserve"> of the Notes to Consolidated Financial Statements (Part II, Item 8) for information regarding legal proceedings in which we are involved, which is incorporated in this Item 3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CLRO. On March 15, 2017, there were 8,746,870 shares of our common stock issued and outstanding held by approximately 322 shareholders of record. Each broker dealer or a clearing corporation that holds shares for customers is counted as a single shareholder of record.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high and low common stock sales prices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34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360" w:type="dxa"/>
            <w:vAlign w:val="bottom"/>
          </w:tcPr>
          <w:p>
            <w:pPr>
              <w:spacing w:after="0"/>
              <w:rPr>
                <w:sz w:val="18"/>
                <w:szCs w:val="18"/>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3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60" w:type="dxa"/>
            <w:vAlign w:val="bottom"/>
          </w:tcPr>
          <w:p>
            <w:pPr>
              <w:spacing w:after="0"/>
              <w:rPr>
                <w:sz w:val="21"/>
                <w:szCs w:val="21"/>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40" w:type="dxa"/>
            <w:vAlign w:val="bottom"/>
          </w:tcPr>
          <w:p>
            <w:pPr>
              <w:spacing w:after="0"/>
              <w:rPr>
                <w:sz w:val="21"/>
                <w:szCs w:val="21"/>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0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Full Year</w:t>
            </w:r>
          </w:p>
        </w:tc>
      </w:tr>
      <w:tr>
        <w:trPr>
          <w:trHeight w:val="216"/>
        </w:trPr>
        <w:tc>
          <w:tcPr>
            <w:tcW w:w="2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8"/>
                <w:szCs w:val="18"/>
                <w:color w:val="auto"/>
              </w:rPr>
            </w:pPr>
          </w:p>
        </w:tc>
      </w:tr>
      <w:tr>
        <w:trPr>
          <w:trHeight w:val="237"/>
        </w:trPr>
        <w:tc>
          <w:tcPr>
            <w:tcW w:w="2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Low</w:t>
            </w:r>
          </w:p>
        </w:tc>
        <w:tc>
          <w:tcPr>
            <w:tcW w:w="20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10.60</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10.21</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10.40</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14.65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8"/>
                <w:szCs w:val="18"/>
                <w:color w:val="auto"/>
              </w:rPr>
            </w:pPr>
          </w:p>
        </w:tc>
      </w:tr>
      <w:tr>
        <w:trPr>
          <w:trHeight w:val="237"/>
        </w:trPr>
        <w:tc>
          <w:tcPr>
            <w:tcW w:w="2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Low</w:t>
            </w:r>
          </w:p>
        </w:tc>
        <w:tc>
          <w:tcPr>
            <w:tcW w:w="2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9.25</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10.07</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9.95</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11.36</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2016 and 2015, our Board of Directors declared the following dividends: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Dividend</w:t>
            </w: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Dividends</w:t>
            </w:r>
          </w:p>
        </w:tc>
      </w:tr>
      <w:tr>
        <w:trPr>
          <w:trHeight w:val="245"/>
        </w:trPr>
        <w:tc>
          <w:tcPr>
            <w:tcW w:w="39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80" w:type="dxa"/>
            <w:vAlign w:val="bottom"/>
          </w:tcPr>
          <w:p>
            <w:pPr>
              <w:spacing w:after="0"/>
              <w:rPr>
                <w:sz w:val="21"/>
                <w:szCs w:val="21"/>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 thousands)</w:t>
            </w:r>
          </w:p>
        </w:tc>
      </w:tr>
      <w:tr>
        <w:trPr>
          <w:trHeight w:val="216"/>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12, 2015</w:t>
            </w:r>
          </w:p>
        </w:tc>
        <w:tc>
          <w:tcPr>
            <w:tcW w:w="2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04, 2015</w:t>
            </w:r>
          </w:p>
        </w:tc>
        <w:tc>
          <w:tcPr>
            <w:tcW w:w="3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2015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15, 2015</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July 27, 2015</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August 10, 2015</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0.035</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21, 2015</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04, 2015</w:t>
            </w:r>
          </w:p>
        </w:tc>
        <w:tc>
          <w:tcPr>
            <w:tcW w:w="2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November 18, 2015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0.035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2015</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December 04, 2015</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December 21, 2015</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0.050</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25, 2016</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07, 2016</w:t>
            </w:r>
          </w:p>
        </w:tc>
        <w:tc>
          <w:tcPr>
            <w:tcW w:w="2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March 18, 2016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17, 2016</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June 01, 2016</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June 15, 2016</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0.050</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02, 2016</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17, 2016</w:t>
            </w:r>
          </w:p>
        </w:tc>
        <w:tc>
          <w:tcPr>
            <w:tcW w:w="2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August 31, 2016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01, 2016</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November 16, 2016</w:t>
            </w:r>
          </w:p>
        </w:tc>
        <w:tc>
          <w:tcPr>
            <w:tcW w:w="2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November 30, 2016</w:t>
            </w:r>
          </w:p>
        </w:tc>
        <w:tc>
          <w:tcPr>
            <w:tcW w:w="1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0.050</w:t>
            </w: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on March 1, 2017, our Board of Directors authorized an increase in our quarterly dividend from $0.05 per share to $0.07 per share beginning with the second quarter dividend in 2017 expected to be paid on or about June 1,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2012, our Board of Directors authorized a stock repurchase program authorizing the Company to repurchase up to $2 million of our outstanding common stock. On July 30, 2012, the Board of Directors increased the repurchase amount to $3 million from the original $2 million. On February 20, 2013, the Board of Directors again increased the repurchase amount to $10 million from $3 million. On December 2, 2014, ClearOne, Inc. issued a press release announcing the declaration of future cash dividends by the Company’s Board of Directors and reported the discontinuance of this stock repurchase program. At the time of the discontinuance of this stock repurchase program, the Company had repurchased approximately $5.4 million of the Company’s stock.</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9, 2016, the Board of Directors of the Company authorized the repurchase of up to $10 million of the Company’s outstanding shares of common stock under a new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March 1, 2017, the Board of Directors of the Company renewed and extended the repurchase program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2016 we acquired the following shares of common stock under the current stock repurchase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30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 Programs</w:t>
            </w:r>
          </w:p>
        </w:tc>
      </w:tr>
      <w:tr>
        <w:trPr>
          <w:trHeight w:val="245"/>
        </w:trPr>
        <w:tc>
          <w:tcPr>
            <w:tcW w:w="52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80" w:type="dxa"/>
            <w:vAlign w:val="bottom"/>
          </w:tcPr>
          <w:p>
            <w:pPr>
              <w:spacing w:after="0"/>
              <w:rPr>
                <w:sz w:val="21"/>
                <w:szCs w:val="21"/>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 millions)</w:t>
            </w:r>
          </w:p>
        </w:tc>
      </w:tr>
      <w:tr>
        <w:trPr>
          <w:trHeight w:val="216"/>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2016</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10.93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2016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42,088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42,088</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7"/>
        </w:trPr>
        <w:tc>
          <w:tcPr>
            <w:tcW w:w="526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86,179</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86,179</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March 11, 2016 to March 17, 2016, the Company offered to repurchase eligible vested options to purchase shares under the 1998 Plan and the 2007 Plan from employees and directors.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and directors at an average purchase price of $7.77.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CONSOLIDATED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(Dollar in thousands, except per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40" w:type="dxa"/>
            <w:vAlign w:val="bottom"/>
          </w:tcPr>
          <w:p>
            <w:pPr>
              <w:spacing w:after="0"/>
              <w:rPr>
                <w:sz w:val="19"/>
                <w:szCs w:val="19"/>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2015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57,796</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49,592</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29,487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36,719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29,897</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27,328</w:t>
            </w:r>
          </w:p>
        </w:tc>
        <w:tc>
          <w:tcPr>
            <w:tcW w:w="1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7,622</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42,521(1)</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5,179</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26,647</w:t>
            </w:r>
          </w:p>
        </w:tc>
        <w:tc>
          <w:tcPr>
            <w:tcW w:w="1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17,130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20,392</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55,509(1)</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30,819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36,539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39,417</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56,467</w:t>
            </w:r>
          </w:p>
        </w:tc>
        <w:tc>
          <w:tcPr>
            <w:tcW w:w="1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88,124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93,529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88,860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81,061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91,939</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obligations</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77,449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70,335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66,668</w:t>
            </w:r>
          </w:p>
        </w:tc>
        <w:tc>
          <w:tcPr>
            <w:tcW w:w="100" w:type="dxa"/>
            <w:vAlign w:val="bottom"/>
            <w:shd w:val="clear" w:color="auto" w:fill="CCEEFF"/>
          </w:tcPr>
          <w:p>
            <w:pPr>
              <w:spacing w:after="0"/>
              <w:rPr>
                <w:sz w:val="18"/>
                <w:szCs w:val="18"/>
                <w:color w:val="auto"/>
              </w:rPr>
            </w:pPr>
          </w:p>
        </w:tc>
      </w:tr>
      <w:tr>
        <w:trPr>
          <w:trHeight w:val="43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Includes $38,500 proceeds from litigation settlement.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Quarterly Data for 2016</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w w:val="98"/>
              </w:rPr>
              <w:t>Second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2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100" w:type="dxa"/>
            <w:vAlign w:val="bottom"/>
          </w:tcPr>
          <w:p>
            <w:pPr>
              <w:spacing w:after="0"/>
              <w:rPr>
                <w:sz w:val="16"/>
                <w:szCs w:val="16"/>
                <w:color w:val="auto"/>
              </w:rPr>
            </w:pPr>
          </w:p>
        </w:tc>
      </w:tr>
      <w:tr>
        <w:trPr>
          <w:trHeight w:val="225"/>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80" w:type="dxa"/>
            <w:vAlign w:val="bottom"/>
          </w:tcPr>
          <w:p>
            <w:pPr>
              <w:spacing w:after="0"/>
              <w:rPr>
                <w:sz w:val="19"/>
                <w:szCs w:val="19"/>
                <w:color w:val="auto"/>
              </w:rPr>
            </w:pPr>
          </w:p>
        </w:tc>
        <w:tc>
          <w:tcPr>
            <w:tcW w:w="124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216"/>
        </w:trPr>
        <w:tc>
          <w:tcPr>
            <w:tcW w:w="4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7,668</w:t>
            </w:r>
          </w:p>
        </w:tc>
        <w:tc>
          <w:tcPr>
            <w:tcW w:w="2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5,690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421"/>
        </w:trPr>
        <w:tc>
          <w:tcPr>
            <w:tcW w:w="4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Quarterly Data for 2015</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2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20" w:type="dxa"/>
            <w:vAlign w:val="bottom"/>
          </w:tcPr>
          <w:p>
            <w:pPr>
              <w:spacing w:after="0"/>
              <w:rPr>
                <w:sz w:val="16"/>
                <w:szCs w:val="16"/>
                <w:color w:val="auto"/>
              </w:rPr>
            </w:pP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20" w:type="dxa"/>
            <w:vAlign w:val="bottom"/>
          </w:tcPr>
          <w:p>
            <w:pPr>
              <w:spacing w:after="0"/>
              <w:rPr>
                <w:sz w:val="16"/>
                <w:szCs w:val="16"/>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100" w:type="dxa"/>
            <w:vAlign w:val="bottom"/>
          </w:tcPr>
          <w:p>
            <w:pPr>
              <w:spacing w:after="0"/>
              <w:rPr>
                <w:sz w:val="16"/>
                <w:szCs w:val="16"/>
                <w:color w:val="auto"/>
              </w:rPr>
            </w:pPr>
          </w:p>
        </w:tc>
      </w:tr>
      <w:tr>
        <w:trPr>
          <w:trHeight w:val="225"/>
        </w:trPr>
        <w:tc>
          <w:tcPr>
            <w:tcW w:w="5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20" w:type="dxa"/>
            <w:vAlign w:val="bottom"/>
          </w:tcPr>
          <w:p>
            <w:pPr>
              <w:spacing w:after="0"/>
              <w:rPr>
                <w:sz w:val="19"/>
                <w:szCs w:val="19"/>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8,462</w:t>
            </w:r>
          </w:p>
        </w:tc>
        <w:tc>
          <w:tcPr>
            <w:tcW w:w="2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8,991</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10,188</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9,078</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2,417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421"/>
        </w:trPr>
        <w:tc>
          <w:tcPr>
            <w:tcW w:w="5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network streaming &amp; signage solutions for voice and visual communications. The performance and simplicity of our advanced, comprehensive solutions offer unprecedented levels of functionality, reliability and scalability.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most of our revenue from professional audio conferencing products by promoting our products in the professional audio 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2016, we devoted most of our attention to the introduction of our full line of next-gen DSP conferencing platform and Beamforming Microphone Array. We also fine-tuned our product and go-to-market strategy for our media collaboration and network streaming products. On the operations side, we successfully transitioned our wireless microphones manufacturing operations from Alachua, Florida to an outsourced contract manufacturing facility in Singapore.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revenue declined in 2016 despite a significant increase in revenue from video products. The declines in revenue from professional audio products and unified communications end points more than offset the increase in revenue from video products. Our gross profit margin decreased in 2016 to 61% compared to 64% in 2015 primarily due to the decrease in the mix of higher margin products and the price reductions associated with transition from CONVERGE Pro 1 to CONVERGE Pro 2. Net income decreased to $2.4 million from $6.8 million in 2015. Net income in 2016 decreased primarily due to decrease in gross margins.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conditions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the influx of venture capitalist funded start-ups and private companies keen to win market share even at the expense of mounting financial losses.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economics conditions through 2016 were challenging due to a number of reasons, including conditions related to the Brexit vote and uncertainty surrounding the outcome of the U.S. presidential election. The decline in oil prices and commodity prices continued to affect certain countries and the operating budgets of large companies in the oil and gas industry.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professional audio communication products, which contribute the most to our revenue, continues to be ahead of the competition despite the reduction in revenues through our transition from the CONVERGE Pro 1 platform to the next generation CONVERGE Pro 2 platform. Our strength in this space is largely due to our professional microphone products, especially Beamforming Microphone Arrays. Despite our strong leadership position in the professional audio communications products market, we face challenges to revenue growth due to the limited size of the market and pricing pressures from new competitors attracted to the commercial market due to higher margins.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our video products in the overall revenue mix has been improving on the back of a strong growth for our video products in 2016. We face intense competition in this market from well-established market leaders as well as emerging players rich with marketing funds. We expect our strategy of combining Spontania, our cloud-based video conferencing product, Collaborate, our appliance based media collaboration product and our high-end audio conferencing technology to provide high growth in revenue in the near future. We believe we are also well positioned to capitalize on the continuing migration away from the traditional hardware based video conferencing systems to software based video conferencing applications.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a major portion of our revenue (about 35%) from international operations and expect this trend to continue in the future. Most of our revenue from outside the U.S. are billed in US Dollars and is not exposed to any significant currency risk. However, we are exposed to foreign exchange risk if the US dollar continues to be strong against other currencies as it will make U.S. Dollar denominated prices of our products less competitive.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quarter-end, we evaluate the inventory in the distribution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channel inventory at quarter-end. Deferred revenue decreased by $0.7 million to $3.9 million in 2016. In 2015 deferred revenue decreased by $0.5 million from $5.0 million at the end of 2014 to $4.5 million at the end of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items from our consolidated statements of operations for the years ended December 31, 2016, 2015 and 2014, together with the percentage change each item represents. Throughout this discussion, we compare results of operations for the year ended December 31, 2016 (“2016”) to the year ended December 31, 2015 (“2015” or “the comparable period”) and to the year ended December 31, 2014 (“2014” or “the comparable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45"/>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2016 vs 2015</w:t>
            </w: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2015 vs 2014</w:t>
            </w:r>
          </w:p>
        </w:tc>
        <w:tc>
          <w:tcPr>
            <w:tcW w:w="160" w:type="dxa"/>
            <w:vAlign w:val="bottom"/>
            <w:tcBorders>
              <w:bottom w:val="single" w:sz="8" w:color="CCEEFF"/>
            </w:tcBorders>
          </w:tcPr>
          <w:p>
            <w:pPr>
              <w:spacing w:after="0"/>
              <w:rPr>
                <w:sz w:val="21"/>
                <w:szCs w:val="2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57,796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57,909</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-16%</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19,150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21,077</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22,586</w:t>
            </w:r>
          </w:p>
        </w:tc>
        <w:tc>
          <w:tcPr>
            <w:tcW w:w="1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29,487</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36,719</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35,323</w:t>
            </w:r>
          </w:p>
        </w:tc>
        <w:tc>
          <w:tcPr>
            <w:tcW w:w="1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-20%</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10,032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10,646</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11,227</w:t>
            </w:r>
          </w:p>
        </w:tc>
        <w:tc>
          <w:tcPr>
            <w:tcW w:w="1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8,564</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8,318</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8,969</w:t>
            </w:r>
          </w:p>
        </w:tc>
        <w:tc>
          <w:tcPr>
            <w:tcW w:w="1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7,325</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7,493</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7,152</w:t>
            </w:r>
          </w:p>
        </w:tc>
        <w:tc>
          <w:tcPr>
            <w:tcW w:w="1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25,921</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26,457</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27,348</w:t>
            </w:r>
          </w:p>
        </w:tc>
        <w:tc>
          <w:tcPr>
            <w:tcW w:w="1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3,566</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10,262</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7,975</w:t>
            </w:r>
          </w:p>
        </w:tc>
        <w:tc>
          <w:tcPr>
            <w:tcW w:w="1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-65%</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3,878</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10,551</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8,229</w:t>
            </w:r>
          </w:p>
        </w:tc>
        <w:tc>
          <w:tcPr>
            <w:tcW w:w="1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-63%</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1,434</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-62%</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2,444</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6,776</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5,596</w:t>
            </w:r>
          </w:p>
        </w:tc>
        <w:tc>
          <w:tcPr>
            <w:tcW w:w="1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-64%</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decreased to $48.6 million in 2016 compared to $57.8 million in 2015. The 40% increase in revenue from video products was more than offset by a 19% decline in professional audio conferencing revenue and a 23% decline in revenue from unified communication end points. Tabletop audio conferencing products declined the most while media collaboration products increased the most. The decline in revenue from professional audio conferencing products was mostly due to overall weakness in the economy, decline in orders due to transition from Converge Pro 1 to Converge Pro 2 and reductions in Converge Pro 1 pricing in the last quarter of 2016. The share of professional audio communications products (which includes microphone products but not premium products) in our product mix declined from 80% in 2015 to 77% in 2016. Share of video products in the revenue mix increased from 6.5% in 2015 to 11% in 2016. The increase in revenue from video products was due to the success of Unite camera, favorable reception to the new Collaborate SKUs containing integrated audio solutions and increasing acceptance of View Pro in major projects. Share of UC end points declined marginally from 13% in 2016 to 12% in 2015.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2016, revenue declined across all major markets except parts of Asia. The decline was pronounced in Australia, Canada, Middle East and all regions of Europe. Asia Pacific including Middle East decreased by 12%; Europe and Africa declined by 31% and Americas declined by about 14%. The revenue decline was primarily caused by the delay in the transition to our next generation audio platform, Converge Pro 2 and Beamforming Microphone Array 2 combined with price reduction offered to stimulate customer interest and sales in the current generation of products. Revenue was also negatively affected by less than robust infrastructure and capital equipment spending and political uncertainty – first in Europe with Brexit and then in the fourth quarter with US elections. We believe we will return to growth path as key products forming part of the new audio platform has already started shipping in early 2017 and the overall investor confidence and consumer confidence has started improving in the US. However, the growth will depend on the speed at which our customers transition to new platform and the economic recovery in certain key markets like Europe, Canada and Australia which remains weak.</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 remained essentially the same at $57.8 million in 2015 compared to $57.9 million in 2014. While the revenue from professional audio conferencing products increased by 4%, and the video products increased by 11%, the revenue from unified communication end points declined by 22%. The share of professional audio communications products (which includes microphone products but not premium products) showed an increase to approximately 80% in 2015 from approximately 77% in 2014. This increase was due to an increase in the revenue from microphone products and also due to licensing fees included in professional audio revenue. During 2015, revenue from Asia Pacific including Middle East increased by 4% while Europe and Africa declined by 2% and Americas declined by about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and 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profit during 2016 was approximately $29.5 million or 61% compared to approximately $36.7 million or 64% in 2015. Gross margin declined due to the following reasons: (1) Price reductions made to CONVERGE Pro 1 products to encourage CONVERGE Pro 1 sales while customers were awaiting CONVERGE Pro 2 products (2) Decline in higher margin professional audio conferencing products in the mix (3) Higher inventory obsolescence costs (4) Increased overhead absorption due to sharp declines in inventory (5) Scrap of inventory related to transition of wireless microphones manufacturing.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gross profit during 2015 was approximately $36.7 million or 64% compared to approximately $35.3 million or 61% in 2014. This increase in margin was mainly due to favorable change in product mix and contribution of licensing fees to the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profitability in the near-term continues to depend significantly on our revenues from professional audio conferencing products. We hold long-term inventory and if we are unable to sell our long-term inventory, our profitability might be affected by inventory write-offs and price mark-downs.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Profits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or income from operations, is the surplus after operating expenses are deducted from gross profits. Operating expenses include sales and marketing (“S&amp;M”) expenses, research and product development (“R&amp;D”) expenses and general and administrative (“G&amp;A”) expenses. Total operating expenses were $25.9 million in 2016 compared to $26.5 million in 2015 and $27.3 million in 2014. The following contains a more detailed discussion of expenses related to sales and marketing, research and product development, general and administrative, and other items.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Sales and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S&amp;M expenses include sales, customer service, and marketing expenses such as employee-related costs, allocations of overhead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S&amp;M expenses in 2016 declined by 6% from $10.6 million in 2015 to $10.0 million in 2016 mainly due to reductions in commissions paid to independent agents and reductions in employee-related salaries, benefits and commissions.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S&amp;M expenses were approximately $10.6 million in 2015 compared to $11.2 million in 2014. The decrease in S&amp;M expenses in 2015 was primarily due to a reduction in employee-related costs and commissions paid to employees.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Research and Product Development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R&amp;D expenses include research and development, product line management, engineering services, and test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R&amp;D expenses increased marginally during 2016 to $8.6 million from $8.3 million in 2015. The increase was primarily due to an increase in R&amp;D project costs and employee-related costs partially offset by a reduction in overhead allocated to R&amp;D.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R&amp;D expenses decreased by 7% in 2015 from $9.0 million in 2014 to $8.3 million in 2015. The decrease was primarily due to reductions in R&amp;D project costs, consulting expenses and employee related costs.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General and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G&amp;A expenses include employee-related costs, professional service fees, allocations of overhead expenses, litigation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G&amp;A expenses were approximately $7.3 million in 2016 compared with approximately $7.5 million in 2015. The decrease in G&amp;A expenses was primarily due to a reduction in audit and accounting fees and employee-related costs partially offset by an increase in legal expenses, especially in the fourth quarter.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G&amp;A expenses were approximately $7.5 million in 2015 compared with approximately $7.2 million in 2014. As a percentage of revenue, G&amp;A expenses were 13% in 2015 compared to 12% in 2014 The increase in G&amp;A expenses was primarily due to the increases in various expenses including audit fees incurred on re-audit and reviews of previously filed financial information, information technology costs, legal expenses, stock based compensation and allowance for bad debts. These increases were partially offset by amounts credited for reduced earn-out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expense of $1.4 million during 2016 was primarily the result of tax on current year income. This compared to tax expense of $3.8 million during 2015, also primarily the result of tax on current year income. This decrease of $2.4 million resulted primarily from a decrease in the overall pre-tax income for the period, as well as reduced R&amp;D tax credit utilization.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expense of $3.8 million during 2015 was primarily the result of tax on current year income. This increase compared to a tax expense of $2.6 million during 2014, was also primarily the result of tax on current year income. This increase of $1.2 million resulted from a decrease in the estimated research and development credit, as well as increases in the losses of foreign jurisdictions for which no benefit can be claimed. In addition, overall pre-tax income increased $2.3 million from 2014, resulting in additional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2016, our cash and cash equivalents were approximately $12.1 million compared to $12.5 million as of December 31, 2015. Our working capital was $30.8 million and $36.5 million as of December 31, 2016 and 2015, respectively.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approximately $7.8 million during 2016, an increase of approximately $0.2 million from $7.6 million provided by operating activities in 2015. The increase was primarily due to increase in cash inflows due to change in operating assets and liabilities of $4.8 million mostly offset by a decrease in non-cash charges of $0.2 million and a reduction in net income of $4.3 million. Net cash flows used in investing activities were $0.9 million during 2016 compared to net cash flows used in investing activities of $0.6 million during 2015, an increase of $0.3 million during 2016. The increase was primarily due to an increase of $0.5 million in purchases of property, plant and equipment and intangibles partially offset by a reduction in net purchases of marketable securities. Net cash used in financing activities increased in 2016 by $7.3 million primarily due to payments for stock repurchases and cancellation of stock options of $7.8 million and increased dividend payments of $0.4 million partially offset by increased proceeds from equity-based compensation programs and related tax benefits of $1.0 million.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Net cash flows provided by operating activities were approximately $7.6 million during 2015, an increase of approximately $0.9 million from $6.7 million provided by operating activities in 2014. The increase was primarily due to increased net income of $1.2 million and an increase in non-cash charges of $0.8 million, partially offset by changes in operating assets and liabilities of $1.1 million. Net cash flows used in investing activities were $0.6 million during 2015 compared to net cash flows used in investing activities of $14.4 million during 2014. During 2015, the cash outflows on investing activities consisted of purchases of property, plant and equipment of $0.4 million and net outflow of $0.3 million on account of marketable securities. During 2014, the cash outflows for investing activities consisted of outflows of $13.1 million for the acquisitions of Sabine and Spontania, net outflow of $0.6 million on account of marketable securities and $0.6 million for the purchase of property and equipment and $90 thousand for the purchase of intangibles. Please refer to </w:t>
      </w:r>
      <w:r>
        <w:rPr>
          <w:rFonts w:ascii="Times New Roman" w:cs="Times New Roman" w:eastAsia="Times New Roman" w:hAnsi="Times New Roman"/>
          <w:sz w:val="18"/>
          <w:szCs w:val="18"/>
          <w:u w:val="single" w:color="auto"/>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Combinations, Goodwill and Intangibles</w:t>
      </w:r>
      <w:r>
        <w:rPr>
          <w:rFonts w:ascii="Times New Roman" w:cs="Times New Roman" w:eastAsia="Times New Roman" w:hAnsi="Times New Roman"/>
          <w:sz w:val="18"/>
          <w:szCs w:val="18"/>
          <w:color w:val="auto"/>
        </w:rPr>
        <w:t xml:space="preserve"> in the Notes to Consolidated Financial Statements (Part IV) for details on the Company’s acquisitions.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 2015 consisted of proceeds received from the exercise of stock options amounting to $0.5 million and associated tax benefits of $41 thousand, offset by cash dividends of $1.4 million. Net cash used in financing activities in 2014 consisted of proceeds from the exercise of stock options totaling $1.3 million and associated tax benefits totaling $0.2 million, offset by the acquisition of outstanding stock totaling $2.6 million under the stock repurchase program.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 as well as acquisitions that may strategically fit our business and are accretive to our performance. We also intend to use cash to pay quarterly cash dividends and repurchase stock under our repurchase program.</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2016, we had open purchase orders related to our electronics manufacturing service providers of approximately $13.6 million, primarily related to inventory purchases.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2016, we had inventory totaling $13.0 million, of which non-current inventory accounted for $1.7 million. This compares to total inventories of $15.5 million and non-current inventory of $2.0 million as of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r>
        <w:rPr>
          <w:rFonts w:ascii="Times New Roman" w:cs="Times New Roman" w:eastAsia="Times New Roman" w:hAnsi="Times New Roman"/>
          <w:sz w:val="18"/>
          <w:szCs w:val="18"/>
          <w:u w:val="single" w:color="auto"/>
          <w:color w:val="auto"/>
        </w:rPr>
        <w:t>Note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Description, Basis of Presentation and Significant Accounting Policies</w:t>
      </w:r>
      <w:r>
        <w:rPr>
          <w:rFonts w:ascii="Times New Roman" w:cs="Times New Roman" w:eastAsia="Times New Roman" w:hAnsi="Times New Roman"/>
          <w:sz w:val="18"/>
          <w:szCs w:val="18"/>
          <w:color w:val="auto"/>
        </w:rPr>
        <w:t xml:space="preserve"> 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continuing operations is product revenue, primarily from product sales to distributors, dealers, and end-users. Product revenue is recognized when</w:t>
      </w:r>
    </w:p>
    <w:p>
      <w:pPr>
        <w:spacing w:after="0" w:line="27" w:lineRule="exact"/>
        <w:rPr>
          <w:sz w:val="20"/>
          <w:szCs w:val="20"/>
          <w:color w:val="auto"/>
        </w:rPr>
      </w:pPr>
    </w:p>
    <w:p>
      <w:pPr>
        <w:ind w:right="20" w:firstLine="8"/>
        <w:spacing w:after="0" w:line="261" w:lineRule="auto"/>
        <w:tabs>
          <w:tab w:leader="none" w:pos="2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are shipped and any right of return expires, (ii) persuasive evidence of an arrangement exists, (iii) the price is fixed and determinable, and (iv) collection is reasonably assured.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up-ward or down-ward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 As part of these controls, we sample test the inventory of a limited number of distributors on an annual basis, most recently in the fourth quarter of 2016, to verify inventory levels reported.</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deferred cost of goods sold was included in distributor channel inventories. The following table details the amount of deferred revenue, cost of goods sold, and gross profit: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44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shd w:val="clear" w:color="auto" w:fill="CCEEFF"/>
          </w:tcPr>
          <w:p>
            <w:pPr>
              <w:spacing w:after="0"/>
              <w:rPr>
                <w:sz w:val="18"/>
                <w:szCs w:val="18"/>
                <w:color w:val="auto"/>
              </w:rPr>
            </w:pPr>
          </w:p>
        </w:tc>
      </w:tr>
      <w:tr>
        <w:trPr>
          <w:trHeight w:val="23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2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1,628</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w:t>
            </w:r>
          </w:p>
        </w:tc>
      </w:tr>
      <w:tr>
        <w:trPr>
          <w:trHeight w:val="23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gross profit</w:t>
            </w: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rebates and market development funds to certain of our distributors, dealers/resellers, and end-users based upon volume of product purchased by them. We record rebates quarterly as a reduction of revenue in accordance with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and Intangible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 impairment tests of goodwill and intangible assets with indefinite useful lives on an annual basis in the fourth fiscal quarter, or sooner if a triggering event occurs suggesting possible impairment of the values of these assets. The Company tests goodwill and other intangible assets with indefinite lives for impairment at least annually at the beginning of the fourth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 goodwill to be compared to its carrying value.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related impairments recorded in 2016, 2015 or 2014 as no impairment indicators existed. However, due to uncertainty in the industrial, technological, and competitive environments in which we operate, we might be required to exit or dispose of the assets acquired through the past acquisitions, which could result in an impairment of goodwill and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2016 and determined that based upon available evidence it is more likely than not that certain of our deferred tax assets related to foreign net operating loss carryovers, foreign intangible assets, state R&amp;D tax credit carryovers, and capital loss carryovers will not be realized and, accordingly, we have recorded a valuation allowance against these deferred tax assets in the amount of $1.4 million. Please refer to </w:t>
      </w:r>
      <w:r>
        <w:rPr>
          <w:rFonts w:ascii="Times New Roman" w:cs="Times New Roman" w:eastAsia="Times New Roman" w:hAnsi="Times New Roman"/>
          <w:sz w:val="18"/>
          <w:szCs w:val="18"/>
          <w:u w:val="single" w:color="auto"/>
          <w:color w:val="auto"/>
        </w:rPr>
        <w:t>Note 12 - Income Taxes</w:t>
      </w:r>
      <w:r>
        <w:rPr>
          <w:rFonts w:ascii="Times New Roman" w:cs="Times New Roman" w:eastAsia="Times New Roman" w:hAnsi="Times New Roman"/>
          <w:sz w:val="18"/>
          <w:szCs w:val="18"/>
          <w:color w:val="auto"/>
        </w:rPr>
        <w:t xml:space="preserve"> in the Notes to Consolidated Financial Statements for additional information.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2015,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permitted. The updated standard becomes effective for the Company on January 1, 2018. The Company expects to adopt this accounting standard update on a modified retrospective basis in the first quarter of fiscal 2019, and it is currently evaluating the impact of this accounting standard update on the consolidated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25,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will take effect the Company for fiscal years, and interim periods within those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is effective for the Company on January 1, 2017. This is expected to affect our income statement, balance sheet and cash flow statements for all periods starting January 1, 2017, especially with respect to the tax benefit from the exercise of stock options.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any interest-bearing investments or notes receivable, notes payable, or capital leases.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expose us to concentrations of credit risk primarily consist of cash and cash equivalents, short-term and long-term investments, accounts receivable and unbilled accounts receivable.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fixed-income portfolio consisting primarily of investment-grade securities is managed by professional money managers. Our investment securities also consist of triple-A rated short-term money market funds that typically invest in U.S. Treasury, U.S. government agency, and highly rated corporate securities. Since these funds are managed in a manner designed to preserve capital we do not expect any material changes in market values, as a result of increase or decrease in interest rates.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credit policies reflect normal industry terms and business risk. We do not anticipate non-performance by the counterparties and, accordingly, do not require collateral. Credit losses and write-offs of accounts receivable balances have historically not been material to our financial statements and have not exceeded our expectations.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any notes payable and capital lease obligations as of December 31, 2016. Accordingly, we do not have significant exposure to changing interest rates. We have not undertaken any additional actions to cover market interest rate market risk and are not a party to any other interest rate market risk management activities. We do not purchase or hold any derivative financial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we enter into non-US Dollar transactions, foreign currency exposures arising from these transactions are not 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Financial statements and supplementary data required by this are included herein as a </w:t>
      </w:r>
      <w:r>
        <w:rPr>
          <w:rFonts w:ascii="Times New Roman" w:cs="Times New Roman" w:eastAsia="Times New Roman" w:hAnsi="Times New Roman"/>
          <w:sz w:val="18"/>
          <w:szCs w:val="18"/>
          <w:u w:val="single" w:color="auto"/>
          <w:color w:val="auto"/>
        </w:rPr>
        <w:t>separate section</w:t>
      </w:r>
      <w:r>
        <w:rPr>
          <w:rFonts w:ascii="Times New Roman" w:cs="Times New Roman" w:eastAsia="Times New Roman" w:hAnsi="Times New Roman"/>
          <w:sz w:val="18"/>
          <w:szCs w:val="18"/>
          <w:color w:val="auto"/>
        </w:rPr>
        <w:t xml:space="preserve"> of this Form 10-K, beginning on page F-1, and are incorporated in this Item 8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Principal Financial Officer, of the effectiveness and the design and operation of our disclosure controls and procedures as of December 31, 2016. Our disclosure controls and procedures are designed to provide reasonable assurance of achieving their objectives and, based upon this evaluation, our Chief Executive Officer and Principal Financial Officer concluded that, as of the end of the period covered by this Annual Report, our disclosure controls and procedures are effective at a reasonable assurance level.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our internal control over financial reporting as of December 31, 2016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Based on our assessment using that criteria, management concluded that the design and operation of our internal control over financial reporting were effective as of December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for our 2016 annual meeting of shareholders or an amendment to this Annual Report on Form 10-K, which will be filed with the Securities and Exchange Commission within 120 days after the end of our fiscal year covered by this Annual Report on form 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4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under the Index of exhibits in the next page are filed or incorporated by reference as part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860" w:type="dxa"/>
            <w:vAlign w:val="bottom"/>
            <w:gridSpan w:val="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Incorporated</w:t>
            </w:r>
          </w:p>
        </w:tc>
        <w:tc>
          <w:tcPr>
            <w:tcW w:w="1140" w:type="dxa"/>
            <w:vAlign w:val="bottom"/>
          </w:tcPr>
          <w:p>
            <w:pPr>
              <w:spacing w:after="0"/>
              <w:rPr>
                <w:sz w:val="24"/>
                <w:szCs w:val="24"/>
                <w:color w:val="auto"/>
              </w:rPr>
            </w:pPr>
          </w:p>
        </w:tc>
      </w:tr>
      <w:tr>
        <w:trPr>
          <w:trHeight w:val="245"/>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5580" w:type="dxa"/>
            <w:vAlign w:val="bottom"/>
            <w:gridSpan w:val="4"/>
          </w:tcPr>
          <w:p>
            <w:pPr>
              <w:ind w:left="18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Herein by Reference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98"/>
        </w:trPr>
        <w:tc>
          <w:tcPr>
            <w:tcW w:w="20" w:type="dxa"/>
            <w:vAlign w:val="bottom"/>
          </w:tcPr>
          <w:p>
            <w:pPr>
              <w:spacing w:after="0"/>
              <w:rPr>
                <w:sz w:val="17"/>
                <w:szCs w:val="17"/>
                <w:color w:val="auto"/>
              </w:rPr>
            </w:pPr>
          </w:p>
        </w:tc>
        <w:tc>
          <w:tcPr>
            <w:tcW w:w="9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7"/>
                <w:szCs w:val="17"/>
                <w:color w:val="auto"/>
              </w:rPr>
            </w:pPr>
          </w:p>
        </w:tc>
        <w:tc>
          <w:tcPr>
            <w:tcW w:w="5480" w:type="dxa"/>
            <w:vAlign w:val="bottom"/>
            <w:tcBorders>
              <w:top w:val="single" w:sz="8" w:color="auto"/>
            </w:tcBorders>
            <w:gridSpan w:val="4"/>
          </w:tcPr>
          <w:p>
            <w:pPr>
              <w:spacing w:after="0" w:line="198" w:lineRule="exact"/>
              <w:rPr>
                <w:sz w:val="20"/>
                <w:szCs w:val="20"/>
                <w:color w:val="auto"/>
              </w:rPr>
            </w:pPr>
            <w:r>
              <w:rPr>
                <w:rFonts w:ascii="Times New Roman" w:cs="Times New Roman" w:eastAsia="Times New Roman" w:hAnsi="Times New Roman"/>
                <w:sz w:val="18"/>
                <w:szCs w:val="18"/>
                <w:color w:val="auto"/>
              </w:rPr>
              <w:t>Agreement and Plan of Merger, dated as of November 3, 2009, by and</w:t>
            </w:r>
          </w:p>
        </w:tc>
        <w:tc>
          <w:tcPr>
            <w:tcW w:w="220" w:type="dxa"/>
            <w:vAlign w:val="bottom"/>
          </w:tcPr>
          <w:p>
            <w:pPr>
              <w:spacing w:after="0"/>
              <w:rPr>
                <w:sz w:val="17"/>
                <w:szCs w:val="17"/>
                <w:color w:val="auto"/>
              </w:rPr>
            </w:pPr>
          </w:p>
        </w:tc>
        <w:tc>
          <w:tcPr>
            <w:tcW w:w="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220" w:type="dxa"/>
            <w:vAlign w:val="bottom"/>
          </w:tcPr>
          <w:p>
            <w:pPr>
              <w:spacing w:after="0"/>
              <w:rPr>
                <w:sz w:val="17"/>
                <w:szCs w:val="17"/>
                <w:color w:val="auto"/>
              </w:rPr>
            </w:pPr>
          </w:p>
        </w:tc>
        <w:tc>
          <w:tcPr>
            <w:tcW w:w="2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2.2</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11/09/09</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among  ClearOne  Communications,  Inc.,  Alta-Wasatch  Acquisition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Corporation, NetStreams, Inc., Austin Ventures VIII, L.P., and Kevin 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Reinis.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and Restated Articles of Incorporation of ClearOne, Inc.</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03/25/13</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Bylaws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03/31/11</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1997 Employee Stock Purchase Plan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10/06/06</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1998 Stock Option Plan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10/06/06</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2007 Equity Incentive Plan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01/22/08</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ClearOne, Inc. Equity Incentive Plan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01/26/16</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Amendment No. 1 to the ClearOne, Inc. Equity Incentive Plan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06/30/16</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ClearOne, Inc. Employee Stock Purchase Plan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06/30/15</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Office Lease between Edgewater Corporate Park, LLC and ClearOne</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09/14/06</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Communications, Inc. dated June 5, 2006</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 Purchase Agreement Between ClearOne, Inc. and Doran M. Oster</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03/20/14</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Dated March 4, 2014 for the Sabine Acquisition.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Manufacturing Services Agreement between Flextronics Industrial, Ltd.</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10/13/09</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 ClearOne Communications, Inc. dated November 3, 2008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Framework Agreement between ClearOne, Inc. and Dialcom Networks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04/07/14</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S.L., dated December 20, 2013</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Amendment  to  Framework  Agreement  between  ClearOne,  Inc.  and</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04/07/14</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Dialcom Networks S.L., dated March 31, 2014</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Purchase Agreement between ClearOne, Inc. and Dialcom Networks S.L.,</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05/14/14</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dated March 31, 2014</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Offer to Repurchase Eligible Options for Cash</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05/10/16</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Code of Ethics, approved by the Board of Directors on August 23, 2006</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09/14/06</w:t>
            </w: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21.1†</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23.1†</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Consent of Tanner LLC, Independent Registered Public Accounting Firm</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31.1†</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302 Certification of Chief Executive Officer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31.2†</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302 Certification of Chief Financial Officer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32.1†</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906 Certification of Chief Executive Officer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32.2†</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906 Certification of Chief Financial Officer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18"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management contract or compensatory plan or arrangement.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Information furnished herewith shall not be deemed to be “filed” for the purposes of Section 18 of the 1934 Act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6277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229" w:right="23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591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591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R. Baldwin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Eric 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591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L. Robinson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18415</wp:posOffset>
            </wp:positionV>
            <wp:extent cx="355028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Narsi Narayanan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Senior Vice President of Finance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(principal accounting and principal financial officer)</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March 16, 2017</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 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18415</wp:posOffset>
            </wp:positionV>
            <wp:extent cx="355028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Larry R. Hendricks</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March 16,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780" w:space="720"/>
            <w:col w:w="5920"/>
          </w:cols>
          <w:pgMar w:left="240" w:top="229"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0620" w:type="dxa"/>
            <w:vAlign w:val="bottom"/>
            <w:gridSpan w:val="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0" w:type="dxa"/>
            <w:vAlign w:val="bottom"/>
            <w:gridSpan w:val="5"/>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6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600" w:type="dxa"/>
            <w:vAlign w:val="bottom"/>
            <w:gridSpan w:val="8"/>
            <w:shd w:val="clear" w:color="auto" w:fill="CCEEFF"/>
          </w:tcPr>
          <w:p>
            <w:pPr>
              <w:spacing w:after="0" w:line="136" w:lineRule="exact"/>
              <w:rPr>
                <w:rFonts w:ascii="Times New Roman" w:cs="Times New Roman" w:eastAsia="Times New Roman" w:hAnsi="Times New Roman"/>
                <w:sz w:val="15"/>
                <w:szCs w:val="15"/>
                <w:color w:val="0000EE"/>
              </w:rPr>
            </w:pPr>
            <w:hyperlink w:anchor="page43">
              <w:r>
                <w:rPr>
                  <w:rFonts w:ascii="Times New Roman" w:cs="Times New Roman" w:eastAsia="Times New Roman" w:hAnsi="Times New Roman"/>
                  <w:sz w:val="15"/>
                  <w:szCs w:val="15"/>
                  <w:color w:val="0000EE"/>
                </w:rPr>
                <w:t>Report of Independent Registered Public Accounting Firm</w:t>
              </w:r>
            </w:hyperlink>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Consolidated Balance Sheets as of December 31, 2016 and December 31, 2015</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Consolidated Statements of Income and Comprehensive Income for the years ended December 31, 2016, 2015 and 2014</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Consolidated Statements of Shareholders’ Equity for the years ended December 31, 2016, 2015 and 2014</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Consolidated Statements of Cash Flows for the years ended December 31, 2016, 2015 and 2014</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Notes to Consolidated Financial Statements</w:t>
              </w:r>
            </w:hyperlink>
          </w:p>
        </w:tc>
        <w:tc>
          <w:tcPr>
            <w:tcW w:w="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6400" w:type="dxa"/>
            <w:vAlign w:val="bottom"/>
            <w:tcBorders>
              <w:top w:val="single" w:sz="8" w:color="CCEEFF"/>
              <w:bottom w:val="single" w:sz="8" w:color="auto"/>
            </w:tcBorders>
            <w:gridSpan w:val="5"/>
          </w:tcPr>
          <w:p>
            <w:pPr>
              <w:jc w:val="center"/>
              <w:ind w:right="3400"/>
              <w:spacing w:after="0"/>
              <w:rPr>
                <w:sz w:val="20"/>
                <w:szCs w:val="20"/>
                <w:color w:val="auto"/>
              </w:rPr>
            </w:pPr>
            <w:r>
              <w:rPr>
                <w:rFonts w:ascii="Times New Roman" w:cs="Times New Roman" w:eastAsia="Times New Roman" w:hAnsi="Times New Roman"/>
                <w:sz w:val="18"/>
                <w:szCs w:val="18"/>
                <w:color w:val="auto"/>
              </w:rPr>
              <w:t>│39│</w:t>
            </w:r>
          </w:p>
        </w:tc>
        <w:tc>
          <w:tcPr>
            <w:tcW w:w="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ClearOne, Inc.</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ClearOne, Inc. and subsidiaries (collectively, ClearOne) as of December 31, 2016 and 2015, and the related consolidated statements of income and comprehensive income, shareholders’ equity, and cash flows for each of the years in the three-year period ended December 31, 2016. We also have audited ClearOne’s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ClearOne’s management is responsible for these financial statements, for maintaining effective internal control over financial reporting, and for its assessment of the effectiveness of internal control over financial reporting, included in the accompanying form 10-K. Our responsibility is to express an opinion on these financial statements and an opinion on ClearOne’s internal control over financial reporting based on our audits.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consolidated financial position of ClearOne, Inc. and subsidiaries as of December 31, 2016 and 2015, and the consolidated results of their operations and their cash flows for each of the years in the three-year period ended December 31, 2016 in conformity with accounting principles generally accepted in the United States of America. Also in our opinion, ClearOne Inc. and subsidiaries maintained, in all material respects, effective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TANNER LLC</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570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120" w:type="dxa"/>
            <w:vAlign w:val="bottom"/>
            <w:gridSpan w:val="3"/>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12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4"/>
                <w:szCs w:val="24"/>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280" w:type="dxa"/>
            <w:vAlign w:val="bottom"/>
            <w:tcBorders>
              <w:bottom w:val="single" w:sz="8" w:color="CCEEFF"/>
            </w:tcBorders>
          </w:tcPr>
          <w:p>
            <w:pPr>
              <w:spacing w:after="0"/>
              <w:rPr>
                <w:sz w:val="21"/>
                <w:szCs w:val="21"/>
                <w:color w:val="auto"/>
              </w:rPr>
            </w:pPr>
          </w:p>
        </w:tc>
        <w:tc>
          <w:tcPr>
            <w:tcW w:w="5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5700" w:type="dxa"/>
            <w:vAlign w:val="bottom"/>
            <w:shd w:val="clear" w:color="auto" w:fill="CCEEFF"/>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13,412</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5,030</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doubtful accounts of $187 and $54, as of December 31, 2016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2015 respectively</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7,461</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8,692</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13,447</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channel inventories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1,530</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3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40,140</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21,365</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19,204</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1,664</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1,513</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5,677</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6,638</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12,724</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12,724</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4,654</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3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5700" w:type="dxa"/>
            <w:vAlign w:val="bottom"/>
            <w:vMerge w:val="restart"/>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vMerge w:val="continue"/>
          </w:tcPr>
          <w:p>
            <w:pPr>
              <w:spacing w:after="0"/>
              <w:rPr>
                <w:sz w:val="17"/>
                <w:szCs w:val="17"/>
                <w:color w:val="auto"/>
              </w:rPr>
            </w:pPr>
          </w:p>
        </w:tc>
        <w:tc>
          <w:tcPr>
            <w:tcW w:w="5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3,545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3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3,882</w:t>
            </w: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1,251</w:t>
            </w: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10,675</w:t>
            </w:r>
          </w:p>
        </w:tc>
        <w:tc>
          <w:tcPr>
            <w:tcW w:w="3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10,960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8,812,644 and 9,183,957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and outstanding as of December 31, 2016 and 2015 respectively</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46,669</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46,291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50"/>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30,976</w:t>
            </w: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36,435</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77,449</w:t>
            </w:r>
          </w:p>
        </w:tc>
        <w:tc>
          <w:tcPr>
            <w:tcW w:w="3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82,569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88,124</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21,077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10,646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7,493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6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6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0.71</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9,021,980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9,127,385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9,166,769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9,306,034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9,594,659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9,581,326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Pr>
          <w:p>
            <w:pPr>
              <w:spacing w:after="0"/>
              <w:rPr>
                <w:sz w:val="18"/>
                <w:szCs w:val="18"/>
                <w:color w:val="auto"/>
              </w:rPr>
            </w:pPr>
          </w:p>
        </w:tc>
        <w:tc>
          <w:tcPr>
            <w:tcW w:w="6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6,776</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4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4540" w:type="dxa"/>
            <w:vAlign w:val="bottom"/>
          </w:tcPr>
          <w:p>
            <w:pPr>
              <w:spacing w:after="0"/>
              <w:rPr>
                <w:sz w:val="21"/>
                <w:szCs w:val="21"/>
                <w:color w:val="auto"/>
              </w:rPr>
            </w:pPr>
          </w:p>
        </w:tc>
        <w:tc>
          <w:tcPr>
            <w:tcW w:w="164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0"/>
                <w:szCs w:val="20"/>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320" w:type="dxa"/>
            <w:vAlign w:val="bottom"/>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8,986,080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234,432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repurchased</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(272,767)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$0.10 per share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issued - Sabine acquisition</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benefit - stock option exercises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 on available-for-sale securities, net of</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5,596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at December 31, 2014</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9,097,827</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44,939</w:t>
            </w: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31,076</w:t>
            </w:r>
          </w:p>
        </w:tc>
        <w:tc>
          <w:tcPr>
            <w:tcW w:w="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76,016</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56,143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14,982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$0.155 per share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benefit - stock option exercises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6,776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9,183,957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149,315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repurchased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repurchased</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(542,259)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(6,086)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$0.20 per share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12,491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benefit - stock option exercises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9,140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at December 31, 2016</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8,812,644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tcBorders>
              <w:top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2,444</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6,776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80" w:type="dxa"/>
            <w:vAlign w:val="bottom"/>
          </w:tcPr>
          <w:p>
            <w:pPr>
              <w:spacing w:after="0"/>
              <w:rPr>
                <w:sz w:val="18"/>
                <w:szCs w:val="18"/>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1,873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2,058</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deferred rent</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spacing w:after="0"/>
              <w:rPr>
                <w:sz w:val="18"/>
                <w:szCs w:val="18"/>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848</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(recoveries of) doubtful accounts, net</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Write-down of inventory to net realizable value</w:t>
            </w:r>
          </w:p>
        </w:tc>
        <w:tc>
          <w:tcPr>
            <w:tcW w:w="880" w:type="dxa"/>
            <w:vAlign w:val="bottom"/>
          </w:tcPr>
          <w:p>
            <w:pPr>
              <w:spacing w:after="0"/>
              <w:rPr>
                <w:sz w:val="18"/>
                <w:szCs w:val="18"/>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benefit from exercise of stock options</w:t>
            </w:r>
          </w:p>
        </w:tc>
        <w:tc>
          <w:tcPr>
            <w:tcW w:w="88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tcPr>
          <w:p>
            <w:pPr>
              <w:spacing w:after="0"/>
              <w:rPr>
                <w:sz w:val="18"/>
                <w:szCs w:val="18"/>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1,869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(2,249)</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8"/>
                <w:szCs w:val="18"/>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product revenue</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80" w:type="dxa"/>
            <w:vAlign w:val="bottom"/>
          </w:tcPr>
          <w:p>
            <w:pPr>
              <w:spacing w:after="0"/>
              <w:rPr>
                <w:sz w:val="20"/>
                <w:szCs w:val="20"/>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w:t>
            </w: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towards business acquisitions</w:t>
            </w:r>
          </w:p>
        </w:tc>
        <w:tc>
          <w:tcPr>
            <w:tcW w:w="880" w:type="dxa"/>
            <w:vAlign w:val="bottom"/>
          </w:tcPr>
          <w:p>
            <w:pPr>
              <w:spacing w:after="0"/>
              <w:rPr>
                <w:sz w:val="18"/>
                <w:szCs w:val="18"/>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intangibles</w:t>
            </w:r>
          </w:p>
        </w:tc>
        <w:tc>
          <w:tcPr>
            <w:tcW w:w="88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9,795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7,341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880" w:type="dxa"/>
            <w:vAlign w:val="bottom"/>
          </w:tcPr>
          <w:p>
            <w:pPr>
              <w:spacing w:after="0"/>
              <w:rPr>
                <w:sz w:val="20"/>
                <w:szCs w:val="20"/>
                <w:color w:val="auto"/>
              </w:rPr>
            </w:pP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(9,826)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(7,630)</w:t>
            </w: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Borders>
              <w:top w:val="single" w:sz="8" w:color="CCEEFF"/>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proceeds from equity-based compensation programs</w:t>
            </w:r>
          </w:p>
        </w:tc>
        <w:tc>
          <w:tcPr>
            <w:tcW w:w="880" w:type="dxa"/>
            <w:vAlign w:val="bottom"/>
          </w:tcPr>
          <w:p>
            <w:pPr>
              <w:spacing w:after="0"/>
              <w:rPr>
                <w:sz w:val="18"/>
                <w:szCs w:val="18"/>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 and cancellation of stock options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(1,752)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benefits from equity-based compensation programs</w:t>
            </w:r>
          </w:p>
        </w:tc>
        <w:tc>
          <w:tcPr>
            <w:tcW w:w="880" w:type="dxa"/>
            <w:vAlign w:val="bottom"/>
          </w:tcPr>
          <w:p>
            <w:pPr>
              <w:spacing w:after="0"/>
              <w:rPr>
                <w:sz w:val="18"/>
                <w:szCs w:val="18"/>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registration costs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payments</w:t>
            </w:r>
          </w:p>
        </w:tc>
        <w:tc>
          <w:tcPr>
            <w:tcW w:w="88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for stock repurchases</w:t>
            </w:r>
          </w:p>
        </w:tc>
        <w:tc>
          <w:tcPr>
            <w:tcW w:w="8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(6,086)</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(8,192</w:t>
            </w:r>
          </w:p>
        </w:tc>
        <w:tc>
          <w:tcPr>
            <w:tcW w:w="200" w:type="dxa"/>
            <w:vAlign w:val="bottom"/>
            <w:tcBorders>
              <w:top w:val="single" w:sz="8" w:color="CCEEFF"/>
              <w:bottom w:val="single" w:sz="8" w:color="CCEEFF"/>
            </w:tcBorders>
          </w:tcPr>
          <w:p>
            <w:pPr>
              <w:jc w:val="right"/>
              <w:ind w:right="57"/>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(913</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80" w:type="dxa"/>
            <w:vAlign w:val="bottom"/>
          </w:tcPr>
          <w:p>
            <w:pPr>
              <w:spacing w:after="0"/>
              <w:rPr>
                <w:sz w:val="20"/>
                <w:szCs w:val="20"/>
                <w:color w:val="auto"/>
              </w:rPr>
            </w:pP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(1,312)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880" w:type="dxa"/>
            <w:vAlign w:val="bottom"/>
          </w:tcPr>
          <w:p>
            <w:pPr>
              <w:spacing w:after="0"/>
              <w:rPr>
                <w:sz w:val="20"/>
                <w:szCs w:val="20"/>
                <w:color w:val="auto"/>
              </w:rPr>
            </w:pPr>
          </w:p>
        </w:tc>
        <w:tc>
          <w:tcPr>
            <w:tcW w:w="7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w w:val="96"/>
              </w:rPr>
              <w:t>13,412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7,440</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88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0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7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7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acquisition of Sabine</w:t>
            </w:r>
          </w:p>
        </w:tc>
        <w:tc>
          <w:tcPr>
            <w:tcW w:w="17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Company that designs, develops and sells conferencing, collaboration, network streaming and digital signage solutions for audio and visual communications. The performance and simplicity of our advanced comprehensive solutions offer unprecedented levels of functionality, reliability, and scalability.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 This report on Form 10-K includes consolidated balance sheets for the years ended December 31, 2016 and 2015 and the related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 and comprehensive income, cash flows, and shareholders’ equity for each of the years 2016, 2015 and 2014.</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 These consolidated financial statements include the financial statements of ClearOne, Inc. and its wholly owned subsidiaries. All inter-Company accounts and transactions have been eliminated in consolidation. Certain prior year amounts have been reclassified to conform to the current year presentation.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potential impairment of goodwill and of long-lived assets, and deferred income tax asset valuation allowances. Actual results could differ materially from these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We are exposed to foreign currency exchange risk through our foreign subsidiaries. Other than our Spain subsidiary,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subsidiaries are U.S. dollar functional, for which gains and losses arising from remeasurement are included in earnings. Our Spain subsidiary is Euro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 We depend on an outsourced manufacturing strategy for our products. We outsource the manufacture of all of our products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signage products) to third party 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The Company considers all highly-liquid investments with a maturity of three months or less, when purchased, to be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 </w:t>
      </w:r>
      <w:r>
        <w:rPr>
          <w:rFonts w:ascii="Times New Roman" w:cs="Times New Roman" w:eastAsia="Times New Roman" w:hAnsi="Times New Roman"/>
          <w:sz w:val="18"/>
          <w:szCs w:val="18"/>
          <w:color w:val="auto"/>
        </w:rPr>
        <w:t>The Company has classified its marketable securities as available-for-sale securities. These securities are carried at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with unrealized holding gains and losses included in accumulated other comprehensive income/loss in shareholders’ equity until realized. Gains and losses on marketable security transactions are reported on the specific-identification method. Dividend and interest income are recognized when earned.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2016, 2015 and 2014.</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 Accounts receivable are recorded at the invoiced amount. Generally, credit is granted to customers on a short-term basis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allowance for doubtful accounts activity for the years ended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Allowance increase (decrease)</w:t>
            </w:r>
          </w:p>
        </w:tc>
        <w:tc>
          <w:tcPr>
            <w:tcW w:w="10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offs, net of recoveries</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7"/>
        </w:trPr>
        <w:tc>
          <w:tcPr>
            <w:tcW w:w="6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valued at the lower of cost or market, with cost computed on a first-in, first-out (“FIFO”) basis. In addition to the price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 channel inventories include products that have been delivered to customers for which revenue recognition criteria have not been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inventory also includes advance replacement units (valued at cost) provided by the Company to end-users to service defective products under warranty.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advance replacement units included in the inventory was $21 and $75, as of December 31, 2016 and 2015,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stated at cost less accumulated depreciation and amortization. Expenditures that materially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 </w:t>
      </w:r>
      <w:r>
        <w:rPr>
          <w:rFonts w:ascii="Times New Roman" w:cs="Times New Roman" w:eastAsia="Times New Roman" w:hAnsi="Times New Roman"/>
          <w:sz w:val="18"/>
          <w:szCs w:val="18"/>
          <w:color w:val="auto"/>
        </w:rPr>
        <w:t>Intangible assets acquired in a purchase business combination are amortized over their useful lives unless these lives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determined to be indefinite. Intangible assets are carried at cost, less accumulated amortization. Amortization is computed over the estimated useful lives of the respective assets, which are generally three to ten years. Goodwill represents the excess of costs over the fair value of net assets of businesses acquired. Goodwill and intangible assets acquired in a purchase business combination and determined to have an indefinite useful life are not amortized. In accordance with the provisions of FASB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the Company tests goodwill and other intangible assets with indefinite lives for impairment at least annually at the beginning of the fourth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 goodwill to be compared to its carrying value (See </w:t>
      </w:r>
      <w:r>
        <w:rPr>
          <w:rFonts w:ascii="Times New Roman" w:cs="Times New Roman" w:eastAsia="Times New Roman" w:hAnsi="Times New Roman"/>
          <w:sz w:val="18"/>
          <w:szCs w:val="18"/>
          <w:u w:val="single" w:color="auto"/>
          <w:color w:val="auto"/>
        </w:rPr>
        <w:t>Note 3 – Business Combinations, Goodwill and Intangibles</w:t>
      </w:r>
      <w:r>
        <w:rPr>
          <w:rFonts w:ascii="Times New Roman" w:cs="Times New Roman" w:eastAsia="Times New Roman" w:hAnsi="Times New Roman"/>
          <w:sz w:val="18"/>
          <w:szCs w:val="18"/>
          <w:color w:val="auto"/>
        </w:rPr>
        <w:t>). ClearOne and all of its subsidiaries are considered as one reporting unit for this purpose.</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 </w:t>
      </w:r>
      <w:r>
        <w:rPr>
          <w:rFonts w:ascii="Times New Roman" w:cs="Times New Roman" w:eastAsia="Times New Roman" w:hAnsi="Times New Roman"/>
          <w:sz w:val="18"/>
          <w:szCs w:val="18"/>
          <w:color w:val="auto"/>
        </w:rPr>
        <w:t>Long-lived assets, such as property, equipment, and definite-lived intangibles subject to depreciation and amortization,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Product revenue is recognized when (i) the products are shipped, (ii) persuasive evidence of an arrangement exists, (iii) the price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and determinable, and (iv) collection is reasonably assured.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provides a right of return on product sales to certain distributors and other resellers under a product rotation program. Under this seldom-used program, once a quarter, a distributor or reseller is allowed to return products purchased during the prior 180 days for a total value generally not exceeding 15% of the distributor’s or reseller’s net purchases during the preceding quarter. The distributor or reseller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fulfilled, the revenue, associated cost of goods sold, inventory and accounts receivable are recorded and the product revenue is subject to the deferral analysis described below. In a small number of cases, the distributors are also permitted to return products for other business reasons.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product sales to distributors is not recognized until the return privilege has expired or until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At each quarter-end, the Company evaluates the inventory in the channel through information provided by our distributors. The level of inventory in the channel will fluctuate up-ward or down-ward each quarter, based upon its distributors’ individual operations. Accordingly, at each quarter-end, the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amount of deferred cost of goods sold is included in distributor channel inventories.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details of deferred revenue and associated cost of goods sold and gross profit are as follows: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7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7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Borders>
              <w:bottom w:val="single" w:sz="8" w:color="CCEEFF"/>
            </w:tcBorders>
          </w:tcPr>
          <w:p>
            <w:pPr>
              <w:spacing w:after="0"/>
              <w:rPr>
                <w:sz w:val="20"/>
                <w:szCs w:val="20"/>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shd w:val="clear" w:color="auto" w:fill="CCEEFF"/>
          </w:tcPr>
          <w:p>
            <w:pPr>
              <w:spacing w:after="0"/>
              <w:rPr>
                <w:sz w:val="18"/>
                <w:szCs w:val="18"/>
                <w:color w:val="auto"/>
              </w:rPr>
            </w:pPr>
          </w:p>
        </w:tc>
      </w:tr>
      <w:tr>
        <w:trPr>
          <w:trHeight w:val="237"/>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10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1,530</w:t>
            </w: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w:t>
            </w:r>
          </w:p>
        </w:tc>
      </w:tr>
      <w:tr>
        <w:trPr>
          <w:trHeight w:val="230"/>
        </w:trPr>
        <w:tc>
          <w:tcPr>
            <w:tcW w:w="7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gross profit</w:t>
            </w:r>
          </w:p>
        </w:tc>
        <w:tc>
          <w:tcPr>
            <w:tcW w:w="100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Similar Taxes - </w:t>
      </w:r>
      <w:r>
        <w:rPr>
          <w:rFonts w:ascii="Times New Roman" w:cs="Times New Roman" w:eastAsia="Times New Roman" w:hAnsi="Times New Roman"/>
          <w:sz w:val="18"/>
          <w:szCs w:val="18"/>
          <w:color w:val="auto"/>
        </w:rPr>
        <w:t>Taxes collected from customers and remitted to government authorities are reported on a net basis and thus are excluded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 </w:t>
      </w:r>
      <w:r>
        <w:rPr>
          <w:rFonts w:ascii="Times New Roman" w:cs="Times New Roman" w:eastAsia="Times New Roman" w:hAnsi="Times New Roman"/>
          <w:sz w:val="18"/>
          <w:szCs w:val="18"/>
          <w:color w:val="auto"/>
        </w:rPr>
        <w:t>Shipping and handling billed to customers is recorded as revenue. Shipping and handling costs are included in cost of goods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Warranty Costs </w:t>
      </w:r>
      <w:r>
        <w:rPr>
          <w:rFonts w:ascii="Times New Roman" w:cs="Times New Roman" w:eastAsia="Times New Roman" w:hAnsi="Times New Roman"/>
          <w:sz w:val="18"/>
          <w:szCs w:val="18"/>
          <w:color w:val="auto"/>
        </w:rPr>
        <w:t>– The Company accrues for warranty costs based on estimated warranty return rates and estimated costs to repair. These reserve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The details of changes in the Company’s warranty accrual are as follows:</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1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6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Accruals/additions</w:t>
            </w:r>
          </w:p>
        </w:tc>
        <w:tc>
          <w:tcPr>
            <w:tcW w:w="10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5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Usage/claims</w:t>
            </w:r>
          </w:p>
        </w:tc>
        <w:tc>
          <w:tcPr>
            <w:tcW w:w="10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r>
      <w:tr>
        <w:trPr>
          <w:trHeight w:val="217"/>
        </w:trPr>
        <w:tc>
          <w:tcPr>
            <w:tcW w:w="6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 The Company expenses advertising costs as incurred. Advertising costs consist of trade shows, magazine advertisements, and other forms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media. Advertising expenses for the years ended December 31, 2016, 2015 and 2014 totaled $836, $728, and $768, respectively, and are included under the caption “Sales and Marketing”.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and Product Development Costs </w:t>
      </w:r>
      <w:r>
        <w:rPr>
          <w:rFonts w:ascii="Times New Roman" w:cs="Times New Roman" w:eastAsia="Times New Roman" w:hAnsi="Times New Roman"/>
          <w:sz w:val="18"/>
          <w:szCs w:val="18"/>
          <w:color w:val="auto"/>
        </w:rPr>
        <w:t>– The Company expenses research and product development costs as incurred.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uses the asset and liability method of accounting for income taxes. Under the asset and liability method, deferred tax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As of December 31, 2016 and 2015, the Company had a valuation allowance of $1,404 and $1,071, respectively against foreign net operating losses, foreign intangible assets, capital losses carryforwards, and state research and development credits.</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contained in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The following table sets forth the computation of basic and diluted earnings per common share: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6,776</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9,021,980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9,127,385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9,166,769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 common stock equivalents using treasury stock method</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284,054</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467,274</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414,557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Diluted weighted average shares</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9,306,034</w:t>
            </w:r>
          </w:p>
        </w:tc>
        <w:tc>
          <w:tcPr>
            <w:tcW w:w="40" w:type="dxa"/>
            <w:vAlign w:val="bottom"/>
            <w:tcBorders>
              <w:top w:val="single" w:sz="8" w:color="CCEEFF"/>
              <w:bottom w:val="single" w:sz="8" w:color="CCEEFF"/>
            </w:tcBorders>
          </w:tcPr>
          <w:p>
            <w:pPr>
              <w:spacing w:after="0"/>
              <w:rPr>
                <w:sz w:val="21"/>
                <w:szCs w:val="21"/>
                <w:color w:val="auto"/>
              </w:rPr>
            </w:pPr>
          </w:p>
        </w:tc>
        <w:tc>
          <w:tcPr>
            <w:tcW w:w="320" w:type="dxa"/>
            <w:vAlign w:val="bottom"/>
            <w:tcBorders>
              <w:top w:val="single" w:sz="8" w:color="CCEEFF"/>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9,594,659</w:t>
            </w:r>
          </w:p>
        </w:tc>
        <w:tc>
          <w:tcPr>
            <w:tcW w:w="28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9,581,326</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0.74</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0.71</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options outstanding</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885,163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1,053,785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975,696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options not included in the computation</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323,644</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177,125</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209,751</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 We estimate the fair value of stock options using the Black-Scholes option-pricing model, which requires certain estimates,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 Accounting Pronouncements - In May 2015,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permitted. The updated standard becomes effective for the Company on January 1, 2018. The Company expects to adopt this accounting standard update on a modified retrospective basis in the first quarter of fiscal 2019, and it is currently evaluating the impact of this accounting standard update on the consolidated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25, 2016, FASB released Accounting Standards Update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will take effect the Company for fiscal years, and interim periods within those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is effective for the Company on January 1, 2017 and it is currently evaluating the impact that ASU 2016-09 will have on our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securities are carried at estimated fair value with unrealized holding gains and losses included in accumulated other comprehensive income/loss in shareholders’ equity until realized. Gains and losses on marketable security transactions are reported on the specific-identification method. Dividend and interest income are recognized when earned.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security at December 31, 2016 and 2015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Gross unrealized</w:t>
            </w:r>
          </w:p>
        </w:tc>
        <w:tc>
          <w:tcPr>
            <w:tcW w:w="180" w:type="dxa"/>
            <w:vAlign w:val="bottom"/>
          </w:tcPr>
          <w:p>
            <w:pPr>
              <w:spacing w:after="0"/>
              <w:rPr>
                <w:sz w:val="18"/>
                <w:szCs w:val="18"/>
                <w:color w:val="auto"/>
              </w:rPr>
            </w:pPr>
          </w:p>
        </w:tc>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unrealized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Estimated fair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4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6,463</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5,608</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marketable securities classified as available-for-sale securities were as follows at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45"/>
        </w:trPr>
        <w:tc>
          <w:tcPr>
            <w:tcW w:w="3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r>
      <w:tr>
        <w:trPr>
          <w:trHeight w:val="216"/>
        </w:trPr>
        <w:tc>
          <w:tcPr>
            <w:tcW w:w="3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within one year</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5,029</w:t>
            </w:r>
          </w:p>
        </w:tc>
        <w:tc>
          <w:tcPr>
            <w:tcW w:w="1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5,030</w:t>
            </w:r>
          </w:p>
        </w:tc>
        <w:tc>
          <w:tcPr>
            <w:tcW w:w="4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21,256</w:t>
            </w:r>
          </w:p>
        </w:tc>
        <w:tc>
          <w:tcPr>
            <w:tcW w:w="40" w:type="dxa"/>
            <w:vAlign w:val="bottom"/>
          </w:tcPr>
          <w:p>
            <w:pPr>
              <w:spacing w:after="0"/>
              <w:rPr>
                <w:sz w:val="18"/>
                <w:szCs w:val="18"/>
                <w:color w:val="auto"/>
              </w:rPr>
            </w:pPr>
          </w:p>
        </w:tc>
      </w:tr>
      <w:tr>
        <w:trPr>
          <w:trHeight w:val="23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20"/>
                <w:szCs w:val="20"/>
                <w:color w:val="auto"/>
              </w:rPr>
            </w:pPr>
          </w:p>
        </w:tc>
      </w:tr>
      <w:tr>
        <w:trPr>
          <w:trHeight w:val="203"/>
        </w:trPr>
        <w:tc>
          <w:tcPr>
            <w:tcW w:w="3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available-for-sale securities</w:t>
            </w:r>
          </w:p>
        </w:tc>
        <w:tc>
          <w:tcPr>
            <w:tcW w:w="10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26,491</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26,395</w:t>
            </w:r>
          </w:p>
        </w:tc>
        <w:tc>
          <w:tcPr>
            <w:tcW w:w="20" w:type="dxa"/>
            <w:vAlign w:val="bottom"/>
            <w:tcBorders>
              <w:top w:val="single" w:sz="8" w:color="CCEEFF"/>
              <w:bottom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in an unrealized loss position as of December 31, 2016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December 31, 2016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4"/>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3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gridSpan w:val="2"/>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holding</w:t>
            </w:r>
          </w:p>
        </w:tc>
      </w:tr>
      <w:tr>
        <w:trPr>
          <w:trHeight w:val="245"/>
        </w:trPr>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losses</w:t>
            </w: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3,910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7"/>
        </w:trPr>
        <w:tc>
          <w:tcPr>
            <w:tcW w:w="3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top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 Goodwill and Intangibles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Sabine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7, 2014, the Company completed the acquisition of Sabine, Inc. (“Sabine”) through a stock purchase agreement (“SPA”). Sabine manufactures, designs and sells Sacom professional wireless microphone systems for live and installed audio. It also makes FBX Feedback Exterminator for reliable automatic feedback control. With the addition of Sabine, ClearOne will have reliable and exclusive access to the wireless microphones that are a critical component of ClearOne’s complete microphone portfolio.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SPA, the Company (i) paid initial consideration of $8,141 in cash, (ii) accrued for possible additional earn-out payments over the next two years, estimated to be $657,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consideration paid for the acquisition: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9"/>
        </w:trPr>
        <w:tc>
          <w:tcPr>
            <w:tcW w:w="9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16"/>
        </w:trPr>
        <w:tc>
          <w:tcPr>
            <w:tcW w:w="9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r>
      <w:tr>
        <w:trPr>
          <w:trHeight w:val="23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20"/>
                <w:szCs w:val="20"/>
                <w:color w:val="auto"/>
              </w:rPr>
            </w:pPr>
          </w:p>
        </w:tc>
      </w:tr>
      <w:tr>
        <w:trPr>
          <w:trHeight w:val="203"/>
        </w:trPr>
        <w:tc>
          <w:tcPr>
            <w:tcW w:w="93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10,477</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Sabine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6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718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8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2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6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w:t>
            </w:r>
          </w:p>
        </w:tc>
        <w:tc>
          <w:tcPr>
            <w:tcW w:w="6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6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6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6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5,510</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6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6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registration costs</w:t>
            </w:r>
          </w:p>
        </w:tc>
        <w:tc>
          <w:tcPr>
            <w:tcW w:w="6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goodwill of $5,510 related to the acquisition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$5,510 related to the acquisition of Sabine is expected to be deductible for tax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Spontania business of Spain-based Dialcom Networks, S.L.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2014 ClearOne closed on the acquisition of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purchase price under the terms of the transaction was approximately €3.66 million in cash (approximately US$5.1 million), after certain closing adjustments. ClearOne did not assume any debt or cash. The cash purchase price was paid out of cash on hand. The addition of this technology was an integral part of the Company’s strategy to build an all-inclusive video collaboration portfolio.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identified assets and liabilities acquired from the Spontania acquisition was as follows:</w:t>
            </w: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9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3,741</w:t>
            </w:r>
          </w:p>
        </w:tc>
      </w:tr>
      <w:tr>
        <w:trPr>
          <w:trHeight w:val="237"/>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9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of $3,741 relates to the acquisition of Spontania cloud-based technology and intangible assets including acquired workforce that does not qualify for separate recognition.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$588 in acquisition related expenses for the Sabine and Spontania acquisitions, all of which were categorized under General and administrative expenses in the Consolidated Statement of Income and Comprehensive Income for the year ended December 31, 2014.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the Company’s goodwill for the years ended December 31, 2016, 2015, and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12,724</w:t>
            </w:r>
          </w:p>
        </w:tc>
        <w:tc>
          <w:tcPr>
            <w:tcW w:w="580" w:type="dxa"/>
            <w:vAlign w:val="bottom"/>
            <w:gridSpan w:val="3"/>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12,724</w:t>
            </w:r>
          </w:p>
        </w:tc>
        <w:tc>
          <w:tcPr>
            <w:tcW w:w="46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3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12,724</w:t>
            </w: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12,724</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31,</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12,724</w:t>
            </w:r>
          </w:p>
        </w:tc>
        <w:tc>
          <w:tcPr>
            <w:tcW w:w="0" w:type="dxa"/>
            <w:vAlign w:val="bottom"/>
          </w:tcPr>
          <w:p>
            <w:pPr>
              <w:spacing w:after="0"/>
              <w:rPr>
                <w:sz w:val="1"/>
                <w:szCs w:val="1"/>
                <w:color w:val="auto"/>
              </w:rPr>
            </w:pPr>
          </w:p>
        </w:tc>
      </w:tr>
      <w:tr>
        <w:trPr>
          <w:trHeight w:val="22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as of December 31, 2016, and 2015 consisted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24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to 7 years</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2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software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15 years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4,341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30"/>
        </w:trPr>
        <w:tc>
          <w:tcPr>
            <w:tcW w:w="6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2016, 2015 and 2014, amortization of these intangible assets were $1,121, $1,258, and 1,210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64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6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6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of reserves,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192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37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40" w:type="dxa"/>
            <w:vAlign w:val="bottom"/>
            <w:tcBorders>
              <w:bottom w:val="single" w:sz="8" w:color="CCEEFF"/>
            </w:tcBorders>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40" w:type="dxa"/>
            <w:vAlign w:val="bottom"/>
          </w:tcPr>
          <w:p>
            <w:pPr>
              <w:spacing w:after="0"/>
              <w:rPr>
                <w:sz w:val="18"/>
                <w:szCs w:val="18"/>
                <w:color w:val="auto"/>
              </w:rPr>
            </w:pPr>
          </w:p>
        </w:tc>
      </w:tr>
      <w:tr>
        <w:trPr>
          <w:trHeight w:val="23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9,086</w:t>
            </w:r>
          </w:p>
        </w:tc>
        <w:tc>
          <w:tcPr>
            <w:tcW w:w="2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10,712</w:t>
            </w:r>
          </w:p>
        </w:tc>
      </w:tr>
      <w:tr>
        <w:trPr>
          <w:trHeight w:val="243"/>
        </w:trPr>
        <w:tc>
          <w:tcPr>
            <w:tcW w:w="378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11,377</w:t>
            </w:r>
          </w:p>
        </w:tc>
        <w:tc>
          <w:tcPr>
            <w:tcW w:w="16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13,447</w:t>
            </w:r>
          </w:p>
        </w:tc>
        <w:tc>
          <w:tcPr>
            <w:tcW w:w="40" w:type="dxa"/>
            <w:vAlign w:val="bottom"/>
            <w:tcBorders>
              <w:top w:val="single" w:sz="8" w:color="CCEEFF"/>
              <w:bottom w:val="single" w:sz="8" w:color="CCEEFF"/>
            </w:tcBorders>
          </w:tcPr>
          <w:p>
            <w:pPr>
              <w:spacing w:after="0"/>
              <w:rPr>
                <w:sz w:val="21"/>
                <w:szCs w:val="21"/>
                <w:color w:val="auto"/>
              </w:rPr>
            </w:pPr>
          </w:p>
        </w:tc>
      </w:tr>
      <w:tr>
        <w:trPr>
          <w:trHeight w:val="197"/>
        </w:trPr>
        <w:tc>
          <w:tcPr>
            <w:tcW w:w="3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r>
      <w:tr>
        <w:trPr>
          <w:trHeight w:val="23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40" w:type="dxa"/>
            <w:vAlign w:val="bottom"/>
            <w:shd w:val="clear" w:color="auto" w:fill="CCEEFF"/>
          </w:tcPr>
          <w:p>
            <w:pPr>
              <w:spacing w:after="0"/>
              <w:rPr>
                <w:sz w:val="20"/>
                <w:szCs w:val="20"/>
                <w:color w:val="auto"/>
              </w:rPr>
            </w:pPr>
          </w:p>
        </w:tc>
      </w:tr>
      <w:tr>
        <w:trPr>
          <w:trHeight w:val="203"/>
        </w:trPr>
        <w:tc>
          <w:tcPr>
            <w:tcW w:w="378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1,664</w:t>
            </w: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2,018</w:t>
            </w:r>
          </w:p>
        </w:tc>
        <w:tc>
          <w:tcPr>
            <w:tcW w:w="40" w:type="dxa"/>
            <w:vAlign w:val="bottom"/>
            <w:tcBorders>
              <w:top w:val="single" w:sz="8" w:color="CCEEFF"/>
            </w:tcBorders>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finished goods do not include distributor channel inventories in the amounts of approximately $1,530 and $1,628 as of December 31, 2016 and 2015, respectively. Distributor channel inventories represent inventory at distributors and other customers where revenue recognition criteria have not been achieved.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losses incurred on valuation of inventory at the lower of cost or market value and write-off of obsolete inventory amounted to $653, $496 and $946 during the years ended December 31, 2016, 2015 and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classifications of property and equipment and estimated useful lives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80" w:type="dxa"/>
            <w:vAlign w:val="bottom"/>
          </w:tcPr>
          <w:p>
            <w:pPr>
              <w:spacing w:after="0"/>
              <w:rPr>
                <w:sz w:val="22"/>
                <w:szCs w:val="22"/>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7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r>
      <w:tr>
        <w:trPr>
          <w:trHeight w:val="223"/>
        </w:trPr>
        <w:tc>
          <w:tcPr>
            <w:tcW w:w="558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 to 6 years</w:t>
            </w:r>
          </w:p>
        </w:tc>
        <w:tc>
          <w:tcPr>
            <w:tcW w:w="7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1,495</w:t>
            </w:r>
          </w:p>
        </w:tc>
        <w:tc>
          <w:tcPr>
            <w:tcW w:w="9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18"/>
                <w:szCs w:val="18"/>
                <w:color w:val="auto"/>
              </w:rPr>
            </w:pPr>
          </w:p>
        </w:tc>
      </w:tr>
      <w:tr>
        <w:trPr>
          <w:trHeight w:val="23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test equipment</w:t>
            </w:r>
          </w:p>
        </w:tc>
        <w:tc>
          <w:tcPr>
            <w:tcW w:w="1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 to 10 years</w:t>
            </w:r>
          </w:p>
        </w:tc>
        <w:tc>
          <w:tcPr>
            <w:tcW w:w="7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2,537</w:t>
            </w:r>
          </w:p>
        </w:tc>
        <w:tc>
          <w:tcPr>
            <w:tcW w:w="9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shd w:val="clear" w:color="auto" w:fill="CCEEFF"/>
          </w:tcPr>
          <w:p>
            <w:pPr>
              <w:spacing w:after="0"/>
              <w:rPr>
                <w:sz w:val="20"/>
                <w:szCs w:val="20"/>
                <w:color w:val="auto"/>
              </w:rPr>
            </w:pPr>
          </w:p>
        </w:tc>
      </w:tr>
      <w:tr>
        <w:trPr>
          <w:trHeight w:val="203"/>
        </w:trPr>
        <w:tc>
          <w:tcPr>
            <w:tcW w:w="55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8,867</w:t>
            </w:r>
          </w:p>
        </w:tc>
        <w:tc>
          <w:tcPr>
            <w:tcW w:w="3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(7,354)</w:t>
            </w:r>
          </w:p>
        </w:tc>
        <w:tc>
          <w:tcPr>
            <w:tcW w:w="92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(6,794)</w:t>
            </w:r>
          </w:p>
        </w:tc>
      </w:tr>
      <w:tr>
        <w:trPr>
          <w:trHeight w:val="203"/>
        </w:trPr>
        <w:tc>
          <w:tcPr>
            <w:tcW w:w="55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1,513</w:t>
            </w:r>
          </w:p>
        </w:tc>
        <w:tc>
          <w:tcPr>
            <w:tcW w:w="300" w:type="dxa"/>
            <w:vAlign w:val="bottom"/>
            <w:tcBorders>
              <w:top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property and equipment for the years ended December 31, 2016, 2015 and 2014 was $723, $801, and $761,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and Deferred Rent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taking into account future rent escalation and holiday periods. Rent expense was $1,099, $1,420 and $1,236, including amortization of deferred rent of $73, $95, and $79 for the years ended December 31, 2016, 2015 and 2014,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occupy a 5,000 square-foot facility in Gainsville, Florida under the terms of an operating lease that expires in February 2021 with the possibility of renewing the lease for 10 more years. The Gainesville facility was used primarily to support out research and development activities.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occupy a 31,000 square-foot facility in Salt Lake City, Utah under the terms of an operating lease expiring in May 2019, which supports our principal administrative, sales, marketing, customer support, and research and product development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occupy a 7,070 square-foot facility in Austin, Texas - under the terms of an operating lease expiring in October 2019. This facility support our administrative, sales, marketing, customer support, and research and development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occupy a 40,000 square-foot warehouse in Salt Lake City, Utah under the terms of an operating lease expiring in December 2021, which serves as our primary inventory fulfillment and repair center. This facility also serves as our assembly workshop for digital signage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with initial terms of one year or more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6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Borders>
              <w:bottom w:val="single" w:sz="8" w:color="CCEEFF"/>
            </w:tcBorders>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other compensation</w:t>
            </w:r>
          </w:p>
        </w:tc>
        <w:tc>
          <w:tcPr>
            <w:tcW w:w="10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programs</w:t>
            </w:r>
          </w:p>
        </w:tc>
        <w:tc>
          <w:tcPr>
            <w:tcW w:w="10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319</w:t>
            </w: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w:t>
            </w:r>
          </w:p>
        </w:tc>
        <w:tc>
          <w:tcPr>
            <w:tcW w:w="10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246</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6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Outsource Manufacturers. </w:t>
      </w:r>
      <w:r>
        <w:rPr>
          <w:rFonts w:ascii="Times New Roman" w:cs="Times New Roman" w:eastAsia="Times New Roman" w:hAnsi="Times New Roman"/>
          <w:sz w:val="18"/>
          <w:szCs w:val="18"/>
          <w:color w:val="auto"/>
        </w:rPr>
        <w:t>We have manufacturing agreements with electronics manufacturing service (“EMS”) providers related to the outsourced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$13,563 as of December 31, 2016.</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Positions. </w:t>
      </w:r>
      <w:r>
        <w:rPr>
          <w:rFonts w:ascii="Times New Roman" w:cs="Times New Roman" w:eastAsia="Times New Roman" w:hAnsi="Times New Roman"/>
          <w:sz w:val="18"/>
          <w:szCs w:val="18"/>
          <w:color w:val="auto"/>
        </w:rPr>
        <w:t>As further discussed in Note 12, we had $1,189 of uncertain tax positions as of December 31, 2016. Due to the inherent uncertainty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underlying tax positions, it is not possible to forecast the payment of this liability to any particular year.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or about October 24, 2016, the Company received written notice from the United States Department of Labor, Occupational Health and Safety Administration (“OSHA”) that a complaint had been filed against it by a former employee. Among other things, the former employee’s OSHA complaint alleges harassment, retaliation, and violations of 18 U.S.C.A. Section 1514A,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“Sarbanes-Oxley Act”) arising out of the termination of his employment with the Company on or about August 17, 2016 (the “OSHA Complaint”). The Company denies the allegations in the OSHA complaint, has not discovered any evidence of wrongdoing with respect to the allegations previously made by the former employee, and is vigorously defending the claims. On March 2, 2017, the Company received notice that the same former employee who initiated the OSHA Complaint also has filed a complaint with the Utah Labor Commission, Anti-Discrimination &amp; Labor Division (the “Utah Complaint”) alleging that the employee's termination was discriminatory based upon a disability or, in the alternative, retaliatory for substantially the same reasons alleged in the OSHA Complaint. The Company is in the process of assessing the Utah Complaint and intends to vigorously defend 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2016, the Company recorded $927 of pretax gross expenses related to the defense of the OSHA Complaint and review of the allegations underlying the former employee’s OSHA complaint.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incur additional expenses related to legal and other professional services rendered in connection with the defense of OSHA Complaint and/or related matters in future periods and will recognize these expenses as services are received. Expenses related to the defense of the OSHA Complaint and/or related matters may include additional liabilities from OSHA’s expected investigation; future governmental investigations and/or enforcement proceedings; future civil litigation; and future unspecified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an Employment Practices Liability policy with Chubb/Federal Insurance Company (the “EPL Policy”). Based on the allegations contained in the OSHA Complaint, the Company has tendered a claim for coverage under the EPL Policy.</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Company is also involved from time to time in various claims and legal proceedings which arise in the normal course of our business. Such matters are subject to many uncertainties and outcomes that are not predictable. However, based on the information available to us, we do not believe any such other proceedings will have a material adverse effect on our business, results of operations, financial position, or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Conclusion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there are no other items that will have a material adverse impact on the Company’s financial position or results of operations. Legal proceedings are subject to all of the risks and uncertainties of legal proceedings and there can be no assurance as to the probable result of any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it has adequately accrued for the aforementioned contingent liabilities. If adverse outcomes were to occur, our financial position, results of operations and cash flows could be negatively affected materially for the period in which the adverse outcomes are known.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Option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share-based incentive plans offering stock options primarily consists of two plans. Under both plans, one new share is issued for each stock option exercised. The plans are described below.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1998 Incentive Plan (the “1998 Plan”) was the Company’s primary plan through November 2007. Under this plan shares of common stock was made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2007 Equity Incentive Plan (the “2007 Plan”)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2016 had contractual lives of ten years.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1998 Plan, 2,500,000 shares were authorized for grant. As of December 31, 2016, there were 150,000 options outstanding under the 1998 Plan, which includes the cliff vesting and 3 or 4-year vesting options discussed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2016, there were 700,232 options outstanding under the 2007 Plan. As of December 31, 2016, the 2007 Plan had 826,268 authorized unissued options, while there were no options remaining that could be granted under the 1998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applying the Black-Scholes methodology to the options granted, the Company used the following assumptions:</w:t>
      </w:r>
    </w:p>
    <w:p>
      <w:pPr>
        <w:spacing w:after="0" w:line="22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CCEEFF"/>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80" w:type="dxa"/>
            <w:vAlign w:val="bottom"/>
            <w:tcBorders>
              <w:top w:val="single" w:sz="8" w:color="auto"/>
              <w:bottom w:val="single" w:sz="8" w:color="CCEEFF"/>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average</w:t>
            </w:r>
          </w:p>
        </w:tc>
        <w:tc>
          <w:tcPr>
            <w:tcW w:w="10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option life, average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6.1 years</w:t>
            </w:r>
          </w:p>
        </w:tc>
        <w:tc>
          <w:tcPr>
            <w:tcW w:w="2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 years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 years</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 average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43.75%</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44.30%</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47.60%</w:t>
            </w:r>
          </w:p>
        </w:tc>
      </w:tr>
      <w:tr>
        <w:trPr>
          <w:trHeight w:val="23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price volatility is determined using a weighted average of daily historical volatility of the Company’s stock price over the corresponding expected option life.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guidelines of ASC Topic 718,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stock option activity:</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48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6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2013</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1,111,274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5.15</w:t>
            </w: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193,500</w:t>
            </w:r>
          </w:p>
        </w:tc>
        <w:tc>
          <w:tcPr>
            <w:tcW w:w="220" w:type="dxa"/>
            <w:vAlign w:val="bottom"/>
          </w:tcPr>
          <w:p>
            <w:pPr>
              <w:spacing w:after="0"/>
              <w:rPr>
                <w:sz w:val="21"/>
                <w:szCs w:val="21"/>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8.83</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 and canceled</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(29,532)</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6.87</w:t>
            </w: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Pr>
          <w:p>
            <w:pPr>
              <w:spacing w:after="0"/>
              <w:rPr>
                <w:sz w:val="21"/>
                <w:szCs w:val="21"/>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8.88</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(234,432)</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5.72</w:t>
            </w:r>
          </w:p>
        </w:tc>
        <w:tc>
          <w:tcPr>
            <w:tcW w:w="1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December 31, 2014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1,040,081</w:t>
            </w:r>
          </w:p>
        </w:tc>
        <w:tc>
          <w:tcPr>
            <w:tcW w:w="3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60" w:type="dxa"/>
            <w:vAlign w:val="bottom"/>
            <w:tcBorders>
              <w:top w:val="single" w:sz="8" w:color="CCEEFF"/>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56,666</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13.03</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Reinstated</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4,583</w:t>
            </w:r>
          </w:p>
        </w:tc>
        <w:tc>
          <w:tcPr>
            <w:tcW w:w="220" w:type="dxa"/>
            <w:vAlign w:val="bottom"/>
          </w:tcPr>
          <w:p>
            <w:pPr>
              <w:spacing w:after="0"/>
              <w:rPr>
                <w:sz w:val="21"/>
                <w:szCs w:val="21"/>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4.47</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 and canceled</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3.42</w:t>
            </w: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(15,252)</w:t>
            </w:r>
          </w:p>
        </w:tc>
        <w:tc>
          <w:tcPr>
            <w:tcW w:w="220" w:type="dxa"/>
            <w:vAlign w:val="bottom"/>
          </w:tcPr>
          <w:p>
            <w:pPr>
              <w:spacing w:after="0"/>
              <w:rPr>
                <w:sz w:val="21"/>
                <w:szCs w:val="21"/>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7.85</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(56,143)</w:t>
            </w:r>
          </w:p>
        </w:tc>
        <w:tc>
          <w:tcPr>
            <w:tcW w:w="2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5.51</w:t>
            </w:r>
          </w:p>
        </w:tc>
        <w:tc>
          <w:tcPr>
            <w:tcW w:w="1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December 31, 2015</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1,028,935</w:t>
            </w:r>
          </w:p>
        </w:tc>
        <w:tc>
          <w:tcPr>
            <w:tcW w:w="3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60" w:type="dxa"/>
            <w:vAlign w:val="bottom"/>
            <w:tcBorders>
              <w:top w:val="single" w:sz="8" w:color="CCEEFF"/>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217,700</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11.73</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 and canceled</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(4,186)</w:t>
            </w:r>
          </w:p>
        </w:tc>
        <w:tc>
          <w:tcPr>
            <w:tcW w:w="220" w:type="dxa"/>
            <w:vAlign w:val="bottom"/>
          </w:tcPr>
          <w:p>
            <w:pPr>
              <w:spacing w:after="0"/>
              <w:rPr>
                <w:sz w:val="21"/>
                <w:szCs w:val="21"/>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12.03</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(17,360)</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10.67</w:t>
            </w: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(374,857)</w:t>
            </w:r>
          </w:p>
        </w:tc>
        <w:tc>
          <w:tcPr>
            <w:tcW w:w="220" w:type="dxa"/>
            <w:vAlign w:val="bottom"/>
          </w:tcPr>
          <w:p>
            <w:pPr>
              <w:spacing w:after="0"/>
              <w:rPr>
                <w:sz w:val="22"/>
                <w:szCs w:val="22"/>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4.46</w:t>
            </w: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2016</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850,232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2014</w:t>
            </w: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1,040,081</w:t>
            </w:r>
          </w:p>
        </w:tc>
        <w:tc>
          <w:tcPr>
            <w:tcW w:w="34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5.65</w:t>
            </w:r>
          </w:p>
        </w:tc>
        <w:tc>
          <w:tcPr>
            <w:tcW w:w="3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5.60</w:t>
            </w:r>
          </w:p>
        </w:tc>
        <w:tc>
          <w:tcPr>
            <w:tcW w:w="32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4,286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2014</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730,016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4.67</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2015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1,028,935</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6.03</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2015</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820,022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5.10</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2016</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850,232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8.06</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2016</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552,097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6.33</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years ending December 31, 2016, 2015 and 2014 was $4.27, $5.27, and $ 4.85 respectively. The total intrinsic value of options exercised during the years ended December 31, 2016, 2015 and 2014 was $2,824, $404, and $1,337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pre-tax compensation cost related to stock options recognized during the years ended December 31, 2016, 2015, and 2014 was $628, $552 and $401, respectively. Tax benefit from compensation cost related to stock options during the years ended December 31, 2016, 2015 and 2014 was $107, $41 and $211, respectively. As of December 31, 2016, the total compensation cost related to stock options not yet recognized and before the effect of any forfeitures was $1,127, which is expected to be recognized over approximately the next 2.19 years on a straight-line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2016, the Company issued shares to employees under the Company’s 2015 Employee Stock Purchase Plan (the “ESPP”). The ESPP was approved by the Company’s shareholders on December 12, 2015. As of December 31, 2016, 475,893 of the originally approved 500,000 shares were available for offerings under the ESPP. Offering periods under the ESPP commence on each Jan 1 and July 1, and continue for a duration of six months. The ESPP is available to all employees who do not own, or are deemed to own, shares of stock making up an excess of 5% of the combined voting power of the Company, its parent or subsidiary.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purchased and compensation expense associated Employee Stock Purchase Plans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Borders>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1"/>
                <w:szCs w:val="2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purchased under ESPP plans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Plan compensation expense</w:t>
            </w: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Repurchase Program and Cash Dividends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2012, our Board of Directors authorized a stock repurchase program to purchase the Company’s common stock in the open market. A total of 272,767 shares costing $2,598 were purchased under this program during the year ended December 31, 2014. The cost of shares purchased were recorded as a reduction to shareholders’ equity. On December 2, 2015, the Company announced the discontinuance of the stock repurchase program along with the initiation of a cash dividend plan. On January 31, 2017, the Company declared its most recent dividend under this plan of $0.05 per share of ClearOne common stock, payable on March 1, 2017 to shareholders of record on February 15, 2017. In addition, on March 1, 2017, our Board of Directors authorized an increase in our quarterly dividend from $0.05 per share to $0.07 per share beginning with the second quarter dividend in 2017 expected to be paid on or about June 1, 2017.</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9, 2016, the Board of Directors of the Company authorized the repurchase of up to $10,000 of the Company’s outstanding shares of common stock under a new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2017, the Board of Directors of the Company renewed and extended the repurchase program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twelve months ended December 31, 2016, we acquired the following shares of common stock under the current stock repurchase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 thousands)</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in thousands except per share price</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00" w:type="dxa"/>
            <w:vAlign w:val="bottom"/>
          </w:tcPr>
          <w:p>
            <w:pPr>
              <w:spacing w:after="0"/>
              <w:rPr>
                <w:sz w:val="21"/>
                <w:szCs w:val="21"/>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9 to March 31</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12.02</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to June 30</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330,515</w:t>
            </w:r>
          </w:p>
        </w:tc>
        <w:tc>
          <w:tcPr>
            <w:tcW w:w="10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11.25</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330,515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to September 30</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91,965</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11.16</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91,965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to December 31</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86,179</w:t>
            </w:r>
          </w:p>
        </w:tc>
        <w:tc>
          <w:tcPr>
            <w:tcW w:w="100" w:type="dxa"/>
            <w:vAlign w:val="bottom"/>
          </w:tcPr>
          <w:p>
            <w:pPr>
              <w:spacing w:after="0"/>
              <w:rPr>
                <w:sz w:val="20"/>
                <w:szCs w:val="20"/>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11.00</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86,179</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542,259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542,259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March 11, 2016 to March 17, 2016, the Company offered to repurchase eligible vested options to purchase shares under the 1998 Plan and the 2007 Plan from employees and directors.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and directors at an average purchase price of $7.77.</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Significant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significant customers that represented more than 10 percent of total revenues are as follows:</w:t>
      </w:r>
    </w:p>
    <w:p>
      <w:pPr>
        <w:spacing w:after="0" w:line="2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60" w:type="dxa"/>
            <w:vAlign w:val="bottom"/>
            <w:tcBorders>
              <w:bottom w:val="single" w:sz="8" w:color="CCEEFF"/>
            </w:tcBorders>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16.3%</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14.2%</w:t>
            </w:r>
          </w:p>
        </w:tc>
        <w:tc>
          <w:tcPr>
            <w:tcW w:w="1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9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560" w:type="dxa"/>
            <w:vAlign w:val="bottom"/>
            <w:tcBorders>
              <w:top w:val="single" w:sz="8" w:color="CCEEFF"/>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Sales didn’t exceed 10% of the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percentage of total gross accounts receivable from significant customers:</w:t>
      </w:r>
    </w:p>
    <w:p>
      <w:pPr>
        <w:spacing w:after="0" w:line="23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4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CCEEFF"/>
            </w:tcBorders>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11.70%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 and have a material adverse effect on the Company’s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substantial majority of the Company’s financial instruments are valued using quoted prices in active markets or based on other observable inputs. The following tables set forth the fair value of the financial instruments re-measured by the Company as of December 31, 2016 and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19,970</w:t>
            </w:r>
          </w:p>
        </w:tc>
        <w:tc>
          <w:tcPr>
            <w:tcW w:w="124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19,970</w:t>
            </w:r>
          </w:p>
        </w:tc>
        <w:tc>
          <w:tcPr>
            <w:tcW w:w="80" w:type="dxa"/>
            <w:vAlign w:val="bottom"/>
          </w:tcPr>
          <w:p>
            <w:pPr>
              <w:spacing w:after="0"/>
              <w:rPr>
                <w:sz w:val="18"/>
                <w:szCs w:val="18"/>
                <w:color w:val="auto"/>
              </w:rPr>
            </w:pPr>
          </w:p>
        </w:tc>
      </w:tr>
      <w:tr>
        <w:trPr>
          <w:trHeight w:val="23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0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6,425</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6,425</w:t>
            </w:r>
          </w:p>
        </w:tc>
        <w:tc>
          <w:tcPr>
            <w:tcW w:w="80" w:type="dxa"/>
            <w:vAlign w:val="bottom"/>
            <w:shd w:val="clear" w:color="auto" w:fill="CCEEFF"/>
          </w:tcPr>
          <w:p>
            <w:pPr>
              <w:spacing w:after="0"/>
              <w:rPr>
                <w:sz w:val="20"/>
                <w:szCs w:val="20"/>
                <w:color w:val="auto"/>
              </w:rPr>
            </w:pPr>
          </w:p>
        </w:tc>
      </w:tr>
      <w:tr>
        <w:trPr>
          <w:trHeight w:val="243"/>
        </w:trPr>
        <w:tc>
          <w:tcPr>
            <w:tcW w:w="48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26,395</w:t>
            </w:r>
          </w:p>
        </w:tc>
        <w:tc>
          <w:tcPr>
            <w:tcW w:w="18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CCEEFF"/>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26,395</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197"/>
        </w:trPr>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2015</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20,744</w:t>
            </w:r>
          </w:p>
        </w:tc>
        <w:tc>
          <w:tcPr>
            <w:tcW w:w="124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20,744</w:t>
            </w:r>
          </w:p>
        </w:tc>
        <w:tc>
          <w:tcPr>
            <w:tcW w:w="80" w:type="dxa"/>
            <w:vAlign w:val="bottom"/>
          </w:tcPr>
          <w:p>
            <w:pPr>
              <w:spacing w:after="0"/>
              <w:rPr>
                <w:sz w:val="18"/>
                <w:szCs w:val="18"/>
                <w:color w:val="auto"/>
              </w:rPr>
            </w:pPr>
          </w:p>
        </w:tc>
      </w:tr>
      <w:tr>
        <w:trPr>
          <w:trHeight w:val="23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0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5,621</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5,621</w:t>
            </w:r>
          </w:p>
        </w:tc>
        <w:tc>
          <w:tcPr>
            <w:tcW w:w="80" w:type="dxa"/>
            <w:vAlign w:val="bottom"/>
            <w:shd w:val="clear" w:color="auto" w:fill="CCEEFF"/>
          </w:tcPr>
          <w:p>
            <w:pPr>
              <w:spacing w:after="0"/>
              <w:rPr>
                <w:sz w:val="20"/>
                <w:szCs w:val="20"/>
                <w:color w:val="auto"/>
              </w:rPr>
            </w:pPr>
          </w:p>
        </w:tc>
      </w:tr>
      <w:tr>
        <w:trPr>
          <w:trHeight w:val="203"/>
        </w:trPr>
        <w:tc>
          <w:tcPr>
            <w:tcW w:w="48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26,365</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26,365</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income before taxes for domestic and foreign operations consisted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4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Borders>
              <w:bottom w:val="single" w:sz="8" w:color="CCEEFF"/>
            </w:tcBorders>
          </w:tcPr>
          <w:p>
            <w:pPr>
              <w:spacing w:after="0"/>
              <w:rPr>
                <w:sz w:val="21"/>
                <w:szCs w:val="2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60" w:type="dxa"/>
            <w:vAlign w:val="bottom"/>
            <w:shd w:val="clear" w:color="auto" w:fill="CCEEFF"/>
          </w:tcPr>
          <w:p>
            <w:pPr>
              <w:spacing w:after="0"/>
              <w:rPr>
                <w:sz w:val="18"/>
                <w:szCs w:val="18"/>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(2,744)</w:t>
            </w: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(provision) for income taxes consisted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8"/>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2014</w:t>
            </w:r>
          </w:p>
        </w:tc>
        <w:tc>
          <w:tcPr>
            <w:tcW w:w="80" w:type="dxa"/>
            <w:vAlign w:val="bottom"/>
            <w:tcBorders>
              <w:bottom w:val="single" w:sz="8" w:color="CCEEFF"/>
            </w:tcBorders>
          </w:tcPr>
          <w:p>
            <w:pPr>
              <w:spacing w:after="0"/>
              <w:rPr>
                <w:sz w:val="21"/>
                <w:szCs w:val="21"/>
                <w:color w:val="auto"/>
              </w:rPr>
            </w:pP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7"/>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6"/>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7"/>
        </w:trPr>
        <w:tc>
          <w:tcPr>
            <w:tcW w:w="49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Borders>
              <w:top w:val="single" w:sz="8" w:color="CCEEFF"/>
            </w:tcBorders>
          </w:tcPr>
          <w:p>
            <w:pPr>
              <w:spacing w:after="0"/>
              <w:rPr>
                <w:sz w:val="18"/>
                <w:szCs w:val="18"/>
                <w:color w:val="auto"/>
              </w:rPr>
            </w:pP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0"/>
        </w:trPr>
        <w:tc>
          <w:tcPr>
            <w:tcW w:w="49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w:t>
            </w:r>
          </w:p>
        </w:tc>
        <w:tc>
          <w:tcPr>
            <w:tcW w:w="160" w:type="dxa"/>
            <w:vAlign w:val="bottom"/>
            <w:tcBorders>
              <w:top w:val="single" w:sz="8" w:color="CCEEFF"/>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399</w:t>
            </w:r>
          </w:p>
        </w:tc>
        <w:tc>
          <w:tcPr>
            <w:tcW w:w="80" w:type="dxa"/>
            <w:vAlign w:val="bottom"/>
            <w:tcBorders>
              <w:top w:val="single" w:sz="8" w:color="CCEEFF"/>
              <w:bottom w:val="single" w:sz="8" w:color="CCEEFF"/>
            </w:tcBorders>
          </w:tcPr>
          <w:p>
            <w:pPr>
              <w:spacing w:after="0"/>
              <w:rPr>
                <w:sz w:val="18"/>
                <w:szCs w:val="18"/>
                <w:color w:val="auto"/>
              </w:rPr>
            </w:pPr>
          </w:p>
        </w:tc>
      </w:tr>
      <w:tr>
        <w:trPr>
          <w:trHeight w:val="23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differs from that computed at the federal statutory corporate income tax rate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at Federal statutory rate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(provision), net of federal benefit</w:t>
            </w: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Foreign earnings or losses taxed at different rates</w:t>
            </w: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net deferred tax assets and liabilities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1"/>
                <w:szCs w:val="2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Basis difference in intangible assets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1,347</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property and equipment basis</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r>
      <w:tr>
        <w:trPr>
          <w:trHeight w:val="23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w:t>
            </w:r>
          </w:p>
        </w:tc>
      </w:tr>
      <w:tr>
        <w:trPr>
          <w:trHeight w:val="216"/>
        </w:trPr>
        <w:tc>
          <w:tcPr>
            <w:tcW w:w="4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deferred income tax asset</w:t>
            </w:r>
          </w:p>
        </w:tc>
        <w:tc>
          <w:tcPr>
            <w:tcW w:w="1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4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not provided for U.S. deferred income taxes or foreign withholding taxes on undistributed earnings of its non-U.S. subsidiaries since these earnings are intended to be reinvested indefinitely, in accordance with guidelines contained in ASC Topic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It is not practical to estimate the amount of additional taxes that might be payable on such undistributed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Topic 740, the Company analyzed its valuation allowance at December 31, 2016 and determined that, based upon available evidence, it is more likely than not that certain of its deferred tax assets may not be realized and, as such, has established a valuation allowance against certain deferred tax assets. These deferred tax assets include foreign net operating loss carryforwards, foreign intangible assets, state R&amp;D tax credit carryforwards, and capital loss carryforwards.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federal net operating loss (“NOL”) carryforwards of approximately $755 (pre-tax), Hong Kong NOL carryforwards of approximately $255, and Spain NOL carryforwards of approximately $855. The federal NOL carryforwards will begin to expire in 2029. The Hong Kong and Spain NOL carryforwards do not expire.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at December 31, 2016 and 2015, that would favorably impact our effective tax rate if recognized was $233 and $176, respectively. As of December 31, 2016 and 2015, we accrued $87 and $55, respectively, in interest and penalties related to unrecognized tax benefits. We account for interest expense and penalties for unrecognized tax benefits as part of our income tax provision.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liabilities associated with uncertain tax positions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4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 beginning of year</w:t>
            </w:r>
          </w:p>
        </w:tc>
        <w:tc>
          <w:tcPr>
            <w:tcW w:w="10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Lapse in statutes of limitations</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54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Uncertain tax positions, ending balance</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U.S. federal income tax returns for 2012 through 2015 are subject to examination. The Company also files in various state and foreign jurisdictions. With few exceptions, the Company is no longer subject to federal, state, or non-U.S. income tax examinations by tax authorities for years prior to 2012. The Company completed its audit by the Internal Revenue Service (“IRS”) for its 2006 tax return in 2010. As a result of the audit by the IRS, there were no material adjustments made to the Company’s tax return. The IRS commenced an examination of the Company’s 2012 tax return. We do not anticipate the examination will result in a material change to its financial position.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Inland Revenue Department of Hong Kong, a Special Administrative Region (the “IRD”), commenced an examination of the Company’s Hong Kong profits tax returns for 2009 through 2011 in the fourth quarter of 2012, which was completed subsequent to December 31, 2016. As a result of the audit, there were no material changes to the Company’s financial position. During the next twelve months, it is reasonably possible that the amount of the Company’s unrecognized income tax benefits could change significantly. These changes could be the result of our ongoing tax audits or the settlement of outstanding audit issues. However, due to the issues being examined, at the current time, an estimate of the range of reasonably possible outcomes cannot be made, beyond amounts currently accrued.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 Sales Information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5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39,837</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All other countries</w:t>
            </w:r>
          </w:p>
        </w:tc>
        <w:tc>
          <w:tcPr>
            <w:tcW w:w="1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18,233</w:t>
            </w:r>
          </w:p>
        </w:tc>
        <w:tc>
          <w:tcPr>
            <w:tcW w:w="3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18,072</w:t>
            </w:r>
          </w:p>
        </w:tc>
      </w:tr>
      <w:tr>
        <w:trPr>
          <w:trHeight w:val="216"/>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31, 2017, the Company declared a stock dividend of $0.05 per share of ClearOne common stock payable on March 1, 2017 to shareholders of record on February 15,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2017, the Company renewed and extended its common stock repurchase program of $10,000 to continue through March 9,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8" w:name="page69"/>
    <w:bookmarkEnd w:id="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NetStreams, Inc. (DE)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Communications Limited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Middle East FZE (Dubai)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Spain SL (Spain)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Gentner Communications Limited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Gentner Ventures, Inc. (UT)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E.mergent,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Sabine, Inc.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ind w:left="102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333-205356, 333-209130, 333-148789 and 333-137859) on Form S-8 and Registration Statement (No. 333-195591) on Form S-3 of ClearOne, Inc. of our report dated March 16, 2017 , relating to our audit of the consolidated financial statements, which appears in this Annual Report on Form 10-K of ClearOne, Inc. for the year ended December 31, 2016 .</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Tanner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2" w:name="page73"/>
    <w:bookmarkEnd w:id="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ind w:left="102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Zeynep Hakimoglu,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ClearOne, Inc. on Form 10-K;</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March 16, 2017</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26035</wp:posOffset>
            </wp:positionV>
            <wp:extent cx="34048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4" w:name="page75"/>
    <w:bookmarkEnd w:id="7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ind w:left="102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Narsi Narayanan,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ClearOne, Inc. on Form 10-K;</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March 16, 2017</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26035</wp:posOffset>
            </wp:positionV>
            <wp:extent cx="34048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Narsi Narayanan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of Finance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accounting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ind w:left="10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Zeynep Hakimoglu, certify, to my best knowledge and belief, pursuant to 18 U.S.C. Section 1350, as adopted pursuant to Section 906 of the Sarbanes-Oxley Act of 2002, that the annual report of ClearOne, Inc. (the “Company”) on Form 10-K for the year ended December 31, 2016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80"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March 16, 2017</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26035</wp:posOffset>
            </wp:positionV>
            <wp:extent cx="34048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8" w:name="page79"/>
    <w:bookmarkEnd w:id="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ind w:left="102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Narsi Narayanan, certify, to my best knowledge and belief, pursuant to 18 U.S.C. Section 1350, as adopted pursuant to Section 906 of the Sarbanes-Oxley Act of 2002, that the annual report of ClearOne, Inc. (the “Company”) on Form 10-K for the year ended December 31, 2016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80"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March 16, 2017</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26035</wp:posOffset>
            </wp:positionV>
            <wp:extent cx="34048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Narsi Narayanan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of Finance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accounting and principal financial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2"/>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2019-12-29T06:42:55Z</dcterms:created>
  <dcterms:modified xsi:type="dcterms:W3CDTF">2019-12-29T06:42:55Z</dcterms:modified>
</cp:coreProperties>
</file>