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UNITED STATES</w:t>
      </w:r>
    </w:p>
    <w:p>
      <w:pPr>
        <w:ind w:left="24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FORM 10-QSB</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(Mark One)</w:t>
      </w:r>
    </w:p>
    <w:p>
      <w:pPr>
        <w:spacing w:after="0" w:line="207" w:lineRule="exact"/>
        <w:rPr>
          <w:sz w:val="24"/>
          <w:szCs w:val="24"/>
          <w:color w:val="auto"/>
        </w:rPr>
      </w:pPr>
    </w:p>
    <w:p>
      <w:pPr>
        <w:ind w:left="640" w:right="2619" w:hanging="632"/>
        <w:spacing w:after="0" w:line="235"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PURSUANT TO SECTION 13 OR 15(d) OF THE SECURITIES EXCHANGE ACT OF 1934</w:t>
      </w: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 the quarterly period ended December 31, 1997</w:t>
      </w:r>
    </w:p>
    <w:p>
      <w:pPr>
        <w:spacing w:after="0" w:line="201"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OR</w:t>
      </w:r>
    </w:p>
    <w:p>
      <w:pPr>
        <w:spacing w:after="0" w:line="207" w:lineRule="exact"/>
        <w:rPr>
          <w:sz w:val="24"/>
          <w:szCs w:val="24"/>
          <w:color w:val="auto"/>
        </w:rPr>
      </w:pPr>
    </w:p>
    <w:p>
      <w:pPr>
        <w:ind w:left="640" w:right="2519" w:hanging="632"/>
        <w:spacing w:after="0" w:line="235" w:lineRule="auto"/>
        <w:tabs>
          <w:tab w:leader="none" w:pos="21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PURSUANT TO SECTION 13 OR 15(d) OF THE SECURITIES EXCHANGE ACT OF 1934</w:t>
      </w:r>
    </w:p>
    <w:p>
      <w:pPr>
        <w:spacing w:after="0" w:line="203"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For the transition period from _______________ to _______________</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Commission file number: 0-17219</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GENTNER COMMUNICATIONS CORPORATION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5120" w:type="dxa"/>
            <w:vAlign w:val="bottom"/>
          </w:tcPr>
          <w:p>
            <w:pPr>
              <w:jc w:val="center"/>
              <w:ind w:right="812"/>
              <w:spacing w:after="0"/>
              <w:rPr>
                <w:sz w:val="20"/>
                <w:szCs w:val="20"/>
                <w:color w:val="auto"/>
              </w:rPr>
            </w:pPr>
            <w:r>
              <w:rPr>
                <w:rFonts w:ascii="Courier New" w:cs="Courier New" w:eastAsia="Courier New" w:hAnsi="Courier New"/>
                <w:sz w:val="18"/>
                <w:szCs w:val="18"/>
                <w:color w:val="auto"/>
                <w:w w:val="97"/>
              </w:rPr>
              <w:t>UTAH</w:t>
            </w:r>
          </w:p>
        </w:tc>
        <w:tc>
          <w:tcPr>
            <w:tcW w:w="27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87-0398877</w:t>
            </w:r>
          </w:p>
        </w:tc>
      </w:tr>
      <w:tr>
        <w:trPr>
          <w:trHeight w:val="203"/>
        </w:trPr>
        <w:tc>
          <w:tcPr>
            <w:tcW w:w="5120" w:type="dxa"/>
            <w:vAlign w:val="bottom"/>
          </w:tcPr>
          <w:p>
            <w:pPr>
              <w:jc w:val="center"/>
              <w:ind w:right="812"/>
              <w:spacing w:after="0" w:line="203" w:lineRule="exact"/>
              <w:rPr>
                <w:sz w:val="20"/>
                <w:szCs w:val="20"/>
                <w:color w:val="auto"/>
              </w:rPr>
            </w:pPr>
            <w:r>
              <w:rPr>
                <w:rFonts w:ascii="Courier New" w:cs="Courier New" w:eastAsia="Courier New" w:hAnsi="Courier New"/>
                <w:sz w:val="18"/>
                <w:szCs w:val="18"/>
                <w:color w:val="auto"/>
                <w:w w:val="97"/>
              </w:rPr>
              <w:t>----</w:t>
            </w:r>
          </w:p>
        </w:tc>
        <w:tc>
          <w:tcPr>
            <w:tcW w:w="27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(State or other jurisdiction of</w:t>
            </w:r>
          </w:p>
        </w:tc>
        <w:tc>
          <w:tcPr>
            <w:tcW w:w="27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(IRS Employer</w:t>
            </w:r>
          </w:p>
        </w:tc>
      </w:tr>
      <w:tr>
        <w:trPr>
          <w:trHeight w:val="203"/>
        </w:trPr>
        <w:tc>
          <w:tcPr>
            <w:tcW w:w="512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7"/>
              </w:rPr>
              <w:t>incorporation or organization)</w:t>
            </w:r>
          </w:p>
        </w:tc>
        <w:tc>
          <w:tcPr>
            <w:tcW w:w="2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No.)</w:t>
            </w:r>
          </w:p>
        </w:tc>
      </w:tr>
      <w:tr>
        <w:trPr>
          <w:trHeight w:val="405"/>
        </w:trPr>
        <w:tc>
          <w:tcPr>
            <w:tcW w:w="5120" w:type="dxa"/>
            <w:vAlign w:val="bottom"/>
          </w:tcPr>
          <w:p>
            <w:pPr>
              <w:spacing w:after="0"/>
              <w:rPr>
                <w:sz w:val="20"/>
                <w:szCs w:val="20"/>
                <w:color w:val="auto"/>
              </w:rPr>
            </w:pPr>
            <w:r>
              <w:rPr>
                <w:rFonts w:ascii="Courier New" w:cs="Courier New" w:eastAsia="Courier New" w:hAnsi="Courier New"/>
                <w:sz w:val="18"/>
                <w:szCs w:val="18"/>
                <w:color w:val="auto"/>
              </w:rPr>
              <w:t>1825 RESEARCH WAY, SALT LAKE CITY, UTAH</w:t>
            </w:r>
          </w:p>
        </w:tc>
        <w:tc>
          <w:tcPr>
            <w:tcW w:w="278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84119</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7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jc w:val="center"/>
              <w:ind w:right="812"/>
              <w:spacing w:after="0" w:line="203" w:lineRule="exact"/>
              <w:rPr>
                <w:sz w:val="20"/>
                <w:szCs w:val="20"/>
                <w:color w:val="auto"/>
              </w:rPr>
            </w:pPr>
            <w:r>
              <w:rPr>
                <w:rFonts w:ascii="Courier New" w:cs="Courier New" w:eastAsia="Courier New" w:hAnsi="Courier New"/>
                <w:sz w:val="18"/>
                <w:szCs w:val="18"/>
                <w:color w:val="auto"/>
                <w:w w:val="97"/>
              </w:rPr>
              <w:t>(Address of principal executive offices)</w:t>
            </w:r>
          </w:p>
        </w:tc>
        <w:tc>
          <w:tcPr>
            <w:tcW w:w="27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(Zip Code)</w:t>
            </w:r>
          </w:p>
        </w:tc>
      </w:tr>
    </w:tbl>
    <w:p>
      <w:pPr>
        <w:spacing w:after="0" w:line="200" w:lineRule="exact"/>
        <w:rPr>
          <w:sz w:val="24"/>
          <w:szCs w:val="24"/>
          <w:color w:val="auto"/>
        </w:rPr>
      </w:pPr>
    </w:p>
    <w:p>
      <w:pPr>
        <w:spacing w:after="0" w:line="204" w:lineRule="exact"/>
        <w:rPr>
          <w:sz w:val="24"/>
          <w:szCs w:val="24"/>
          <w:color w:val="auto"/>
        </w:rPr>
      </w:pPr>
    </w:p>
    <w:p>
      <w:pPr>
        <w:ind w:left="640"/>
        <w:spacing w:after="0"/>
        <w:tabs>
          <w:tab w:leader="none" w:pos="6200" w:val="left"/>
        </w:tabs>
        <w:rPr>
          <w:sz w:val="20"/>
          <w:szCs w:val="20"/>
          <w:color w:val="auto"/>
        </w:rPr>
      </w:pPr>
      <w:r>
        <w:rPr>
          <w:rFonts w:ascii="Courier New" w:cs="Courier New" w:eastAsia="Courier New" w:hAnsi="Courier New"/>
          <w:sz w:val="18"/>
          <w:szCs w:val="18"/>
          <w:color w:val="auto"/>
        </w:rPr>
        <w:t>Registrant's telephone number, including area code:</w:t>
      </w:r>
      <w:r>
        <w:rPr>
          <w:sz w:val="20"/>
          <w:szCs w:val="20"/>
          <w:color w:val="auto"/>
        </w:rPr>
        <w:tab/>
      </w:r>
      <w:r>
        <w:rPr>
          <w:rFonts w:ascii="Courier New" w:cs="Courier New" w:eastAsia="Courier New" w:hAnsi="Courier New"/>
          <w:sz w:val="16"/>
          <w:szCs w:val="16"/>
          <w:color w:val="auto"/>
        </w:rPr>
        <w:t>(801) 975-7200</w:t>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(Former name, former address and former fiscal year, if changed since last</w:t>
      </w:r>
    </w:p>
    <w:p>
      <w:pPr>
        <w:jc w:val="center"/>
        <w:ind w:right="1779"/>
        <w:spacing w:after="0" w:line="238" w:lineRule="auto"/>
        <w:rPr>
          <w:sz w:val="20"/>
          <w:szCs w:val="20"/>
          <w:color w:val="auto"/>
        </w:rPr>
      </w:pPr>
      <w:r>
        <w:rPr>
          <w:rFonts w:ascii="Courier New" w:cs="Courier New" w:eastAsia="Courier New" w:hAnsi="Courier New"/>
          <w:sz w:val="18"/>
          <w:szCs w:val="18"/>
          <w:color w:val="auto"/>
        </w:rPr>
        <w:t>report.)</w:t>
      </w:r>
    </w:p>
    <w:p>
      <w:pPr>
        <w:spacing w:after="0" w:line="200" w:lineRule="exact"/>
        <w:rPr>
          <w:sz w:val="24"/>
          <w:szCs w:val="24"/>
          <w:color w:val="auto"/>
        </w:rPr>
      </w:pPr>
    </w:p>
    <w:p>
      <w:pPr>
        <w:spacing w:after="0" w:line="210" w:lineRule="exact"/>
        <w:rPr>
          <w:sz w:val="24"/>
          <w:szCs w:val="24"/>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Check whether the issuer (1) filed all reports required to be filed by Section 13 or 15(d) of the Securities Exchange Act during the preceding 12 months (or for such shorter period that the registrant was required to file such reports), and (2) has been subject to such filing requirements for the past 90 days.</w:t>
      </w:r>
    </w:p>
    <w:p>
      <w:pPr>
        <w:spacing w:after="0" w:line="177" w:lineRule="exact"/>
        <w:rPr>
          <w:sz w:val="24"/>
          <w:szCs w:val="24"/>
          <w:color w:val="auto"/>
        </w:rPr>
      </w:pPr>
    </w:p>
    <w:p>
      <w:pPr>
        <w:ind w:left="2960"/>
        <w:spacing w:after="0"/>
        <w:tabs>
          <w:tab w:leader="none" w:pos="3460" w:val="left"/>
          <w:tab w:leader="none" w:pos="4420" w:val="left"/>
          <w:tab w:leader="none" w:pos="4940" w:val="left"/>
        </w:tabs>
        <w:rPr>
          <w:sz w:val="20"/>
          <w:szCs w:val="20"/>
          <w:color w:val="auto"/>
        </w:rPr>
      </w:pPr>
      <w:r>
        <w:rPr>
          <w:rFonts w:ascii="Courier New" w:cs="Courier New" w:eastAsia="Courier New" w:hAnsi="Courier New"/>
          <w:sz w:val="18"/>
          <w:szCs w:val="18"/>
          <w:color w:val="auto"/>
        </w:rPr>
        <w:t>[X]</w:t>
        <w:tab/>
        <w:t>Yes</w:t>
      </w:r>
      <w:r>
        <w:rPr>
          <w:sz w:val="20"/>
          <w:szCs w:val="20"/>
          <w:color w:val="auto"/>
        </w:rPr>
        <w:tab/>
      </w: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No</w:t>
      </w:r>
    </w:p>
    <w:p>
      <w:pPr>
        <w:spacing w:after="0" w:line="207" w:lineRule="exact"/>
        <w:rPr>
          <w:sz w:val="24"/>
          <w:szCs w:val="24"/>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State the number of shares outstanding of each of the issuer's classes of common stock as of the latest practicable date.</w:t>
      </w:r>
    </w:p>
    <w:p>
      <w:pPr>
        <w:sectPr>
          <w:pgSz w:w="11900" w:h="16838" w:orient="portrait"/>
          <w:cols w:equalWidth="0" w:num="1">
            <w:col w:w="10219"/>
          </w:cols>
          <w:pgMar w:left="240" w:top="244" w:right="1440" w:bottom="1440" w:gutter="0" w:footer="0" w:header="0"/>
        </w:sectPr>
      </w:pPr>
    </w:p>
    <w:p>
      <w:pPr>
        <w:spacing w:after="0" w:line="208"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CLASS OF COMMON STOCK</w:t>
      </w:r>
    </w:p>
    <w:p>
      <w:pPr>
        <w:spacing w:after="0" w:line="21"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$0.001 PAR VALUE</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FEBRUARY 5, 1998</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7,676,868 SHARES</w:t>
      </w:r>
    </w:p>
    <w:p>
      <w:pPr>
        <w:spacing w:after="0" w:line="216" w:lineRule="exact"/>
        <w:rPr>
          <w:sz w:val="24"/>
          <w:szCs w:val="24"/>
          <w:color w:val="auto"/>
        </w:rPr>
      </w:pPr>
    </w:p>
    <w:p>
      <w:pPr>
        <w:sectPr>
          <w:pgSz w:w="11900" w:h="16838" w:orient="portrait"/>
          <w:cols w:equalWidth="0" w:num="2">
            <w:col w:w="4880" w:space="720"/>
            <w:col w:w="4619"/>
          </w:cols>
          <w:pgMar w:left="240" w:top="244" w:right="1440" w:bottom="1440" w:gutter="0" w:footer="0" w:header="0"/>
          <w:type w:val="continuous"/>
        </w:sectPr>
      </w:pPr>
    </w:p>
    <w:p>
      <w:pPr>
        <w:spacing w:after="0" w:line="7" w:lineRule="exact"/>
        <w:rPr>
          <w:sz w:val="24"/>
          <w:szCs w:val="24"/>
          <w:color w:val="auto"/>
        </w:rPr>
      </w:pPr>
    </w:p>
    <w:p>
      <w:pPr>
        <w:ind w:left="1160"/>
        <w:spacing w:after="0"/>
        <w:rPr>
          <w:sz w:val="20"/>
          <w:szCs w:val="20"/>
          <w:color w:val="auto"/>
        </w:rPr>
      </w:pPr>
      <w:r>
        <w:rPr>
          <w:rFonts w:ascii="Courier New" w:cs="Courier New" w:eastAsia="Courier New" w:hAnsi="Courier New"/>
          <w:sz w:val="16"/>
          <w:szCs w:val="16"/>
          <w:color w:val="auto"/>
        </w:rPr>
        <w:t>Transitional Small Business Disclosure Format (check one)</w:t>
      </w:r>
    </w:p>
    <w:p>
      <w:pPr>
        <w:spacing w:after="0" w:line="218" w:lineRule="exact"/>
        <w:rPr>
          <w:sz w:val="24"/>
          <w:szCs w:val="24"/>
          <w:color w:val="auto"/>
        </w:rPr>
      </w:pPr>
    </w:p>
    <w:p>
      <w:pPr>
        <w:ind w:left="2960"/>
        <w:spacing w:after="0"/>
        <w:tabs>
          <w:tab w:leader="none" w:pos="3460" w:val="left"/>
          <w:tab w:leader="none" w:pos="4420" w:val="left"/>
          <w:tab w:leader="none" w:pos="4940" w:val="left"/>
        </w:tabs>
        <w:rPr>
          <w:sz w:val="20"/>
          <w:szCs w:val="20"/>
          <w:color w:val="auto"/>
        </w:rPr>
      </w:pPr>
      <w:r>
        <w:rPr>
          <w:rFonts w:ascii="Courier New" w:cs="Courier New" w:eastAsia="Courier New" w:hAnsi="Courier New"/>
          <w:sz w:val="18"/>
          <w:szCs w:val="18"/>
          <w:color w:val="auto"/>
        </w:rPr>
        <w:t>[ ]</w:t>
        <w:tab/>
        <w:t>Yes</w:t>
      </w:r>
      <w:r>
        <w:rPr>
          <w:sz w:val="20"/>
          <w:szCs w:val="20"/>
          <w:color w:val="auto"/>
        </w:rPr>
        <w:tab/>
      </w: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6"/>
          <w:szCs w:val="16"/>
          <w:color w:val="auto"/>
        </w:rPr>
        <w:t>No</w:t>
      </w:r>
    </w:p>
    <w:p>
      <w:pPr>
        <w:sectPr>
          <w:pgSz w:w="11900" w:h="16838" w:orient="portrait"/>
          <w:cols w:equalWidth="0" w:num="1">
            <w:col w:w="10219"/>
          </w:cols>
          <w:pgMar w:left="240" w:top="244"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jc w:val="center"/>
        <w:ind w:right="1780"/>
        <w:spacing w:after="0" w:line="238" w:lineRule="auto"/>
        <w:rPr>
          <w:sz w:val="20"/>
          <w:szCs w:val="20"/>
          <w:color w:val="auto"/>
        </w:rPr>
      </w:pPr>
      <w:r>
        <w:rPr>
          <w:rFonts w:ascii="Courier New" w:cs="Courier New" w:eastAsia="Courier New" w:hAnsi="Courier New"/>
          <w:sz w:val="18"/>
          <w:szCs w:val="18"/>
          <w:color w:val="auto"/>
        </w:rPr>
        <w:t>GENTNER COMMUNICATIONS CORPORATION</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left="8400"/>
        <w:spacing w:after="0"/>
        <w:rPr>
          <w:sz w:val="20"/>
          <w:szCs w:val="20"/>
          <w:color w:val="auto"/>
        </w:rPr>
      </w:pPr>
      <w:r>
        <w:rPr>
          <w:rFonts w:ascii="Courier New" w:cs="Courier New" w:eastAsia="Courier New" w:hAnsi="Courier New"/>
          <w:sz w:val="18"/>
          <w:szCs w:val="18"/>
          <w:color w:val="auto"/>
        </w:rPr>
        <w:t>PAGE</w:t>
      </w:r>
    </w:p>
    <w:p>
      <w:pPr>
        <w:spacing w:after="0" w:line="4" w:lineRule="exact"/>
        <w:rPr>
          <w:sz w:val="20"/>
          <w:szCs w:val="20"/>
          <w:color w:val="auto"/>
        </w:rPr>
      </w:pPr>
    </w:p>
    <w:p>
      <w:pPr>
        <w:jc w:val="center"/>
        <w:ind w:left="8400"/>
        <w:spacing w:after="0"/>
        <w:rPr>
          <w:sz w:val="20"/>
          <w:szCs w:val="20"/>
          <w:color w:val="auto"/>
        </w:rPr>
      </w:pPr>
      <w:r>
        <w:rPr>
          <w:rFonts w:ascii="Courier New" w:cs="Courier New" w:eastAsia="Courier New" w:hAnsi="Courier New"/>
          <w:sz w:val="16"/>
          <w:szCs w:val="16"/>
          <w:color w:val="auto"/>
        </w:rPr>
        <w:t>NUMBER</w:t>
      </w:r>
    </w:p>
    <w:p>
      <w:pPr>
        <w:spacing w:after="0" w:line="21" w:lineRule="exact"/>
        <w:rPr>
          <w:sz w:val="20"/>
          <w:szCs w:val="20"/>
          <w:color w:val="auto"/>
        </w:rPr>
      </w:pPr>
    </w:p>
    <w:p>
      <w:pPr>
        <w:ind w:left="960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2100" w:val="left"/>
        </w:tabs>
        <w:rPr>
          <w:sz w:val="20"/>
          <w:szCs w:val="20"/>
          <w:color w:val="auto"/>
        </w:rPr>
      </w:pPr>
      <w:r>
        <w:rPr>
          <w:rFonts w:ascii="Courier New" w:cs="Courier New" w:eastAsia="Courier New" w:hAnsi="Courier New"/>
          <w:sz w:val="18"/>
          <w:szCs w:val="18"/>
          <w:color w:val="auto"/>
        </w:rPr>
        <w:t>PART I - FINANCIAL</w:t>
      </w:r>
      <w:r>
        <w:rPr>
          <w:sz w:val="20"/>
          <w:szCs w:val="20"/>
          <w:color w:val="auto"/>
        </w:rPr>
        <w:tab/>
      </w:r>
      <w:r>
        <w:rPr>
          <w:rFonts w:ascii="Courier New" w:cs="Courier New" w:eastAsia="Courier New" w:hAnsi="Courier New"/>
          <w:sz w:val="16"/>
          <w:szCs w:val="16"/>
          <w:color w:val="auto"/>
        </w:rPr>
        <w:t>INFORMATION</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Item 1. Financial Statements</w:t>
      </w:r>
    </w:p>
    <w:p>
      <w:pPr>
        <w:spacing w:after="0" w:line="201"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1540" w:type="dxa"/>
            <w:vAlign w:val="bottom"/>
          </w:tcPr>
          <w:p>
            <w:pPr>
              <w:ind w:left="740"/>
              <w:spacing w:after="0"/>
              <w:rPr>
                <w:sz w:val="20"/>
                <w:szCs w:val="20"/>
                <w:color w:val="auto"/>
              </w:rPr>
            </w:pPr>
            <w:r>
              <w:rPr>
                <w:rFonts w:ascii="Courier New" w:cs="Courier New" w:eastAsia="Courier New" w:hAnsi="Courier New"/>
                <w:sz w:val="18"/>
                <w:szCs w:val="18"/>
                <w:color w:val="auto"/>
              </w:rPr>
              <w:t>Balance</w:t>
            </w:r>
          </w:p>
        </w:tc>
        <w:tc>
          <w:tcPr>
            <w:tcW w:w="680" w:type="dxa"/>
            <w:vAlign w:val="bottom"/>
          </w:tcPr>
          <w:p>
            <w:pPr>
              <w:ind w:left="40"/>
              <w:spacing w:after="0"/>
              <w:rPr>
                <w:sz w:val="20"/>
                <w:szCs w:val="20"/>
                <w:color w:val="auto"/>
              </w:rPr>
            </w:pPr>
            <w:r>
              <w:rPr>
                <w:rFonts w:ascii="Courier New" w:cs="Courier New" w:eastAsia="Courier New" w:hAnsi="Courier New"/>
                <w:sz w:val="18"/>
                <w:szCs w:val="18"/>
                <w:color w:val="auto"/>
                <w:w w:val="95"/>
              </w:rPr>
              <w:t>Sheets</w:t>
            </w:r>
          </w:p>
        </w:tc>
        <w:tc>
          <w:tcPr>
            <w:tcW w:w="71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9380" w:type="dxa"/>
            <w:vAlign w:val="bottom"/>
            <w:gridSpan w:val="3"/>
          </w:tcPr>
          <w:p>
            <w:pPr>
              <w:ind w:left="1060"/>
              <w:spacing w:after="0" w:line="203" w:lineRule="exact"/>
              <w:rPr>
                <w:sz w:val="20"/>
                <w:szCs w:val="20"/>
                <w:color w:val="auto"/>
              </w:rPr>
            </w:pPr>
            <w:r>
              <w:rPr>
                <w:rFonts w:ascii="Courier New" w:cs="Courier New" w:eastAsia="Courier New" w:hAnsi="Courier New"/>
                <w:sz w:val="18"/>
                <w:szCs w:val="18"/>
                <w:color w:val="auto"/>
                <w:w w:val="98"/>
              </w:rPr>
              <w:t>December 31, 1997 (unaudited) and June 30, 1997. . . . . . . . . . . . . . . .</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r>
      <w:tr>
        <w:trPr>
          <w:trHeight w:val="810"/>
        </w:trPr>
        <w:tc>
          <w:tcPr>
            <w:tcW w:w="2220" w:type="dxa"/>
            <w:vAlign w:val="bottom"/>
            <w:gridSpan w:val="2"/>
          </w:tcPr>
          <w:p>
            <w:pPr>
              <w:ind w:left="740"/>
              <w:spacing w:after="0"/>
              <w:rPr>
                <w:sz w:val="20"/>
                <w:szCs w:val="20"/>
                <w:color w:val="auto"/>
              </w:rPr>
            </w:pPr>
            <w:r>
              <w:rPr>
                <w:rFonts w:ascii="Courier New" w:cs="Courier New" w:eastAsia="Courier New" w:hAnsi="Courier New"/>
                <w:sz w:val="18"/>
                <w:szCs w:val="18"/>
                <w:color w:val="auto"/>
              </w:rPr>
              <w:t>Statements of</w:t>
            </w:r>
          </w:p>
        </w:tc>
        <w:tc>
          <w:tcPr>
            <w:tcW w:w="7160" w:type="dxa"/>
            <w:vAlign w:val="bottom"/>
          </w:tcPr>
          <w:p>
            <w:pPr>
              <w:spacing w:after="0"/>
              <w:rPr>
                <w:sz w:val="20"/>
                <w:szCs w:val="20"/>
                <w:color w:val="auto"/>
              </w:rPr>
            </w:pPr>
            <w:r>
              <w:rPr>
                <w:rFonts w:ascii="Courier New" w:cs="Courier New" w:eastAsia="Courier New" w:hAnsi="Courier New"/>
                <w:sz w:val="18"/>
                <w:szCs w:val="18"/>
                <w:color w:val="auto"/>
              </w:rPr>
              <w:t>Operations</w:t>
            </w:r>
          </w:p>
        </w:tc>
        <w:tc>
          <w:tcPr>
            <w:tcW w:w="220" w:type="dxa"/>
            <w:vAlign w:val="bottom"/>
          </w:tcPr>
          <w:p>
            <w:pPr>
              <w:spacing w:after="0"/>
              <w:rPr>
                <w:sz w:val="24"/>
                <w:szCs w:val="24"/>
                <w:color w:val="auto"/>
              </w:rPr>
            </w:pPr>
          </w:p>
        </w:tc>
      </w:tr>
      <w:tr>
        <w:trPr>
          <w:trHeight w:val="203"/>
        </w:trPr>
        <w:tc>
          <w:tcPr>
            <w:tcW w:w="9380" w:type="dxa"/>
            <w:vAlign w:val="bottom"/>
            <w:gridSpan w:val="3"/>
          </w:tcPr>
          <w:p>
            <w:pPr>
              <w:ind w:left="1060"/>
              <w:spacing w:after="0" w:line="203" w:lineRule="exact"/>
              <w:rPr>
                <w:sz w:val="20"/>
                <w:szCs w:val="20"/>
                <w:color w:val="auto"/>
              </w:rPr>
            </w:pPr>
            <w:r>
              <w:rPr>
                <w:rFonts w:ascii="Courier New" w:cs="Courier New" w:eastAsia="Courier New" w:hAnsi="Courier New"/>
                <w:sz w:val="18"/>
                <w:szCs w:val="18"/>
                <w:color w:val="auto"/>
              </w:rPr>
              <w:t>Three Months Ended December 31, 1997 and</w:t>
            </w:r>
          </w:p>
        </w:tc>
        <w:tc>
          <w:tcPr>
            <w:tcW w:w="220" w:type="dxa"/>
            <w:vAlign w:val="bottom"/>
          </w:tcPr>
          <w:p>
            <w:pPr>
              <w:spacing w:after="0"/>
              <w:rPr>
                <w:sz w:val="17"/>
                <w:szCs w:val="17"/>
                <w:color w:val="auto"/>
              </w:rPr>
            </w:pPr>
          </w:p>
        </w:tc>
      </w:tr>
      <w:tr>
        <w:trPr>
          <w:trHeight w:val="203"/>
        </w:trPr>
        <w:tc>
          <w:tcPr>
            <w:tcW w:w="15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1996</w:t>
            </w:r>
          </w:p>
        </w:tc>
        <w:tc>
          <w:tcPr>
            <w:tcW w:w="7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(unaudited) . . . . . . . . . . . . . . . . . . . . . . . . . . . . . . .</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810"/>
        </w:trPr>
        <w:tc>
          <w:tcPr>
            <w:tcW w:w="2220" w:type="dxa"/>
            <w:vAlign w:val="bottom"/>
            <w:gridSpan w:val="2"/>
          </w:tcPr>
          <w:p>
            <w:pPr>
              <w:ind w:left="740"/>
              <w:spacing w:after="0"/>
              <w:rPr>
                <w:sz w:val="20"/>
                <w:szCs w:val="20"/>
                <w:color w:val="auto"/>
              </w:rPr>
            </w:pPr>
            <w:r>
              <w:rPr>
                <w:rFonts w:ascii="Courier New" w:cs="Courier New" w:eastAsia="Courier New" w:hAnsi="Courier New"/>
                <w:sz w:val="18"/>
                <w:szCs w:val="18"/>
                <w:color w:val="auto"/>
              </w:rPr>
              <w:t>Statements of</w:t>
            </w:r>
          </w:p>
        </w:tc>
        <w:tc>
          <w:tcPr>
            <w:tcW w:w="7160" w:type="dxa"/>
            <w:vAlign w:val="bottom"/>
          </w:tcPr>
          <w:p>
            <w:pPr>
              <w:spacing w:after="0"/>
              <w:rPr>
                <w:sz w:val="20"/>
                <w:szCs w:val="20"/>
                <w:color w:val="auto"/>
              </w:rPr>
            </w:pPr>
            <w:r>
              <w:rPr>
                <w:rFonts w:ascii="Courier New" w:cs="Courier New" w:eastAsia="Courier New" w:hAnsi="Courier New"/>
                <w:sz w:val="18"/>
                <w:szCs w:val="18"/>
                <w:color w:val="auto"/>
              </w:rPr>
              <w:t>Operations</w:t>
            </w:r>
          </w:p>
        </w:tc>
        <w:tc>
          <w:tcPr>
            <w:tcW w:w="220" w:type="dxa"/>
            <w:vAlign w:val="bottom"/>
          </w:tcPr>
          <w:p>
            <w:pPr>
              <w:spacing w:after="0"/>
              <w:rPr>
                <w:sz w:val="24"/>
                <w:szCs w:val="24"/>
                <w:color w:val="auto"/>
              </w:rPr>
            </w:pPr>
          </w:p>
        </w:tc>
      </w:tr>
      <w:tr>
        <w:trPr>
          <w:trHeight w:val="203"/>
        </w:trPr>
        <w:tc>
          <w:tcPr>
            <w:tcW w:w="2220" w:type="dxa"/>
            <w:vAlign w:val="bottom"/>
            <w:gridSpan w:val="2"/>
          </w:tcPr>
          <w:p>
            <w:pPr>
              <w:ind w:left="1060"/>
              <w:spacing w:after="0" w:line="203" w:lineRule="exact"/>
              <w:rPr>
                <w:sz w:val="20"/>
                <w:szCs w:val="20"/>
                <w:color w:val="auto"/>
              </w:rPr>
            </w:pPr>
            <w:r>
              <w:rPr>
                <w:rFonts w:ascii="Courier New" w:cs="Courier New" w:eastAsia="Courier New" w:hAnsi="Courier New"/>
                <w:sz w:val="18"/>
                <w:szCs w:val="18"/>
                <w:color w:val="auto"/>
              </w:rPr>
              <w:t>Six Months</w:t>
            </w:r>
          </w:p>
        </w:tc>
        <w:tc>
          <w:tcPr>
            <w:tcW w:w="7160" w:type="dxa"/>
            <w:vAlign w:val="bottom"/>
          </w:tcPr>
          <w:p>
            <w:pPr>
              <w:spacing w:after="0" w:line="203" w:lineRule="exact"/>
              <w:rPr>
                <w:sz w:val="20"/>
                <w:szCs w:val="20"/>
                <w:color w:val="auto"/>
              </w:rPr>
            </w:pPr>
            <w:r>
              <w:rPr>
                <w:rFonts w:ascii="Courier New" w:cs="Courier New" w:eastAsia="Courier New" w:hAnsi="Courier New"/>
                <w:sz w:val="18"/>
                <w:szCs w:val="18"/>
                <w:color w:val="auto"/>
              </w:rPr>
              <w:t>Ended December 31, 1997 and</w:t>
            </w:r>
          </w:p>
        </w:tc>
        <w:tc>
          <w:tcPr>
            <w:tcW w:w="220" w:type="dxa"/>
            <w:vAlign w:val="bottom"/>
          </w:tcPr>
          <w:p>
            <w:pPr>
              <w:spacing w:after="0"/>
              <w:rPr>
                <w:sz w:val="17"/>
                <w:szCs w:val="17"/>
                <w:color w:val="auto"/>
              </w:rPr>
            </w:pPr>
          </w:p>
        </w:tc>
      </w:tr>
      <w:tr>
        <w:trPr>
          <w:trHeight w:val="203"/>
        </w:trPr>
        <w:tc>
          <w:tcPr>
            <w:tcW w:w="15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1996</w:t>
            </w:r>
          </w:p>
        </w:tc>
        <w:tc>
          <w:tcPr>
            <w:tcW w:w="7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(unaudited) . . . . . . . . . . . . . . . . . . . . . . . . . . . . . . .</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r>
      <w:tr>
        <w:trPr>
          <w:trHeight w:val="810"/>
        </w:trPr>
        <w:tc>
          <w:tcPr>
            <w:tcW w:w="9380" w:type="dxa"/>
            <w:vAlign w:val="bottom"/>
            <w:gridSpan w:val="3"/>
          </w:tcPr>
          <w:p>
            <w:pPr>
              <w:ind w:left="740"/>
              <w:spacing w:after="0"/>
              <w:rPr>
                <w:sz w:val="20"/>
                <w:szCs w:val="20"/>
                <w:color w:val="auto"/>
              </w:rPr>
            </w:pPr>
            <w:r>
              <w:rPr>
                <w:rFonts w:ascii="Courier New" w:cs="Courier New" w:eastAsia="Courier New" w:hAnsi="Courier New"/>
                <w:sz w:val="18"/>
                <w:szCs w:val="18"/>
                <w:color w:val="auto"/>
              </w:rPr>
              <w:t>Condensed Statements of Cash Flows</w:t>
            </w:r>
          </w:p>
        </w:tc>
        <w:tc>
          <w:tcPr>
            <w:tcW w:w="220" w:type="dxa"/>
            <w:vAlign w:val="bottom"/>
          </w:tcPr>
          <w:p>
            <w:pPr>
              <w:spacing w:after="0"/>
              <w:rPr>
                <w:sz w:val="24"/>
                <w:szCs w:val="24"/>
                <w:color w:val="auto"/>
              </w:rPr>
            </w:pPr>
          </w:p>
        </w:tc>
      </w:tr>
      <w:tr>
        <w:trPr>
          <w:trHeight w:val="203"/>
        </w:trPr>
        <w:tc>
          <w:tcPr>
            <w:tcW w:w="2220" w:type="dxa"/>
            <w:vAlign w:val="bottom"/>
            <w:gridSpan w:val="2"/>
          </w:tcPr>
          <w:p>
            <w:pPr>
              <w:ind w:left="1060"/>
              <w:spacing w:after="0" w:line="203" w:lineRule="exact"/>
              <w:rPr>
                <w:sz w:val="20"/>
                <w:szCs w:val="20"/>
                <w:color w:val="auto"/>
              </w:rPr>
            </w:pPr>
            <w:r>
              <w:rPr>
                <w:rFonts w:ascii="Courier New" w:cs="Courier New" w:eastAsia="Courier New" w:hAnsi="Courier New"/>
                <w:sz w:val="18"/>
                <w:szCs w:val="18"/>
                <w:color w:val="auto"/>
              </w:rPr>
              <w:t>Six Months</w:t>
            </w:r>
          </w:p>
        </w:tc>
        <w:tc>
          <w:tcPr>
            <w:tcW w:w="7160" w:type="dxa"/>
            <w:vAlign w:val="bottom"/>
          </w:tcPr>
          <w:p>
            <w:pPr>
              <w:spacing w:after="0" w:line="203" w:lineRule="exact"/>
              <w:rPr>
                <w:sz w:val="20"/>
                <w:szCs w:val="20"/>
                <w:color w:val="auto"/>
              </w:rPr>
            </w:pPr>
            <w:r>
              <w:rPr>
                <w:rFonts w:ascii="Courier New" w:cs="Courier New" w:eastAsia="Courier New" w:hAnsi="Courier New"/>
                <w:sz w:val="18"/>
                <w:szCs w:val="18"/>
                <w:color w:val="auto"/>
              </w:rPr>
              <w:t>Ended December 31, 1997 and</w:t>
            </w:r>
          </w:p>
        </w:tc>
        <w:tc>
          <w:tcPr>
            <w:tcW w:w="220" w:type="dxa"/>
            <w:vAlign w:val="bottom"/>
          </w:tcPr>
          <w:p>
            <w:pPr>
              <w:spacing w:after="0"/>
              <w:rPr>
                <w:sz w:val="17"/>
                <w:szCs w:val="17"/>
                <w:color w:val="auto"/>
              </w:rPr>
            </w:pPr>
          </w:p>
        </w:tc>
      </w:tr>
      <w:tr>
        <w:trPr>
          <w:trHeight w:val="203"/>
        </w:trPr>
        <w:tc>
          <w:tcPr>
            <w:tcW w:w="15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1996</w:t>
            </w:r>
          </w:p>
        </w:tc>
        <w:tc>
          <w:tcPr>
            <w:tcW w:w="7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(unaudited) . . . . . . . . . . . . . . . . . . . . . . . . . . . . . . .</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r>
      <w:tr>
        <w:trPr>
          <w:trHeight w:val="810"/>
        </w:trPr>
        <w:tc>
          <w:tcPr>
            <w:tcW w:w="1540" w:type="dxa"/>
            <w:vAlign w:val="bottom"/>
          </w:tcPr>
          <w:p>
            <w:pPr>
              <w:ind w:left="740"/>
              <w:spacing w:after="0"/>
              <w:rPr>
                <w:sz w:val="20"/>
                <w:szCs w:val="20"/>
                <w:color w:val="auto"/>
              </w:rPr>
            </w:pPr>
            <w:r>
              <w:rPr>
                <w:rFonts w:ascii="Courier New" w:cs="Courier New" w:eastAsia="Courier New" w:hAnsi="Courier New"/>
                <w:sz w:val="18"/>
                <w:szCs w:val="18"/>
                <w:color w:val="auto"/>
              </w:rPr>
              <w:t>Note to</w:t>
            </w:r>
          </w:p>
        </w:tc>
        <w:tc>
          <w:tcPr>
            <w:tcW w:w="784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w w:val="97"/>
              </w:rPr>
              <w:t>Financial Statements  . . . . . . . . . . . . . . . . . . . . . . . . . .</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7</w:t>
            </w:r>
          </w:p>
        </w:tc>
      </w:tr>
      <w:tr>
        <w:trPr>
          <w:trHeight w:val="810"/>
        </w:trPr>
        <w:tc>
          <w:tcPr>
            <w:tcW w:w="2220" w:type="dxa"/>
            <w:vAlign w:val="bottom"/>
            <w:gridSpan w:val="2"/>
          </w:tcPr>
          <w:p>
            <w:pPr>
              <w:spacing w:after="0"/>
              <w:rPr>
                <w:sz w:val="20"/>
                <w:szCs w:val="20"/>
                <w:color w:val="auto"/>
              </w:rPr>
            </w:pPr>
            <w:r>
              <w:rPr>
                <w:rFonts w:ascii="Courier New" w:cs="Courier New" w:eastAsia="Courier New" w:hAnsi="Courier New"/>
                <w:sz w:val="18"/>
                <w:szCs w:val="18"/>
                <w:color w:val="auto"/>
              </w:rPr>
              <w:t>Item 2. Management's</w:t>
            </w:r>
          </w:p>
        </w:tc>
        <w:tc>
          <w:tcPr>
            <w:tcW w:w="7160" w:type="dxa"/>
            <w:vAlign w:val="bottom"/>
          </w:tcPr>
          <w:p>
            <w:pPr>
              <w:spacing w:after="0"/>
              <w:rPr>
                <w:sz w:val="20"/>
                <w:szCs w:val="20"/>
                <w:color w:val="auto"/>
              </w:rPr>
            </w:pPr>
            <w:r>
              <w:rPr>
                <w:rFonts w:ascii="Courier New" w:cs="Courier New" w:eastAsia="Courier New" w:hAnsi="Courier New"/>
                <w:sz w:val="18"/>
                <w:szCs w:val="18"/>
                <w:color w:val="auto"/>
              </w:rPr>
              <w:t>Discussion and Analysis of Financial</w:t>
            </w:r>
          </w:p>
        </w:tc>
        <w:tc>
          <w:tcPr>
            <w:tcW w:w="220" w:type="dxa"/>
            <w:vAlign w:val="bottom"/>
          </w:tcPr>
          <w:p>
            <w:pPr>
              <w:spacing w:after="0"/>
              <w:rPr>
                <w:sz w:val="24"/>
                <w:szCs w:val="24"/>
                <w:color w:val="auto"/>
              </w:rPr>
            </w:pPr>
          </w:p>
        </w:tc>
      </w:tr>
      <w:tr>
        <w:trPr>
          <w:trHeight w:val="203"/>
        </w:trPr>
        <w:tc>
          <w:tcPr>
            <w:tcW w:w="938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Condition and Results of Operations  . . . . . . . . . . . . . . . . . . . . . .</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 II - OTHER INFORMATION. . . . . . . . . . . . . . . . . . . . . . . . . . . . . . . . . 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20"/>
          </w:cols>
          <w:pgMar w:left="240" w:top="312" w:right="1439"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jc w:val="center"/>
        <w:ind w:right="2000"/>
        <w:spacing w:after="0" w:line="238" w:lineRule="auto"/>
        <w:rPr>
          <w:sz w:val="20"/>
          <w:szCs w:val="20"/>
          <w:color w:val="auto"/>
        </w:rPr>
      </w:pPr>
      <w:r>
        <w:rPr>
          <w:rFonts w:ascii="Courier New" w:cs="Courier New" w:eastAsia="Courier New" w:hAnsi="Courier New"/>
          <w:sz w:val="18"/>
          <w:szCs w:val="18"/>
          <w:color w:val="auto"/>
        </w:rPr>
        <w:t>GENTNER COMMUNICATIONS CORPORATION</w:t>
      </w:r>
    </w:p>
    <w:p>
      <w:pPr>
        <w:spacing w:after="0" w:line="20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20"/>
                <w:szCs w:val="20"/>
                <w:color w:val="auto"/>
              </w:rPr>
            </w:pPr>
            <w:r>
              <w:rPr>
                <w:rFonts w:ascii="Courier New" w:cs="Courier New" w:eastAsia="Courier New" w:hAnsi="Courier New"/>
                <w:sz w:val="18"/>
                <w:szCs w:val="18"/>
                <w:color w:val="auto"/>
              </w:rPr>
              <w:t>(Unaudited)</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7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line="203" w:lineRule="exact"/>
              <w:rPr>
                <w:sz w:val="20"/>
                <w:szCs w:val="20"/>
                <w:color w:val="auto"/>
              </w:rPr>
            </w:pPr>
            <w:r>
              <w:rPr>
                <w:rFonts w:ascii="Courier New" w:cs="Courier New" w:eastAsia="Courier New" w:hAnsi="Courier New"/>
                <w:sz w:val="18"/>
                <w:szCs w:val="18"/>
                <w:color w:val="auto"/>
              </w:rPr>
              <w:t>December 31,</w:t>
            </w:r>
          </w:p>
        </w:tc>
        <w:tc>
          <w:tcPr>
            <w:tcW w:w="2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June 30,</w:t>
            </w:r>
          </w:p>
        </w:tc>
      </w:tr>
      <w:tr>
        <w:trPr>
          <w:trHeight w:val="203"/>
        </w:trPr>
        <w:tc>
          <w:tcPr>
            <w:tcW w:w="7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1997</w:t>
            </w:r>
          </w:p>
        </w:tc>
        <w:tc>
          <w:tcPr>
            <w:tcW w:w="26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1997</w:t>
            </w:r>
          </w:p>
        </w:tc>
      </w:tr>
      <w:tr>
        <w:trPr>
          <w:trHeight w:val="203"/>
        </w:trPr>
        <w:tc>
          <w:tcPr>
            <w:tcW w:w="7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480" w:type="dxa"/>
            <w:vAlign w:val="bottom"/>
          </w:tcPr>
          <w:p>
            <w:pPr>
              <w:jc w:val="right"/>
              <w:ind w:right="3912"/>
              <w:spacing w:after="0"/>
              <w:rPr>
                <w:sz w:val="20"/>
                <w:szCs w:val="20"/>
                <w:color w:val="auto"/>
              </w:rPr>
            </w:pPr>
            <w:r>
              <w:rPr>
                <w:rFonts w:ascii="Courier New" w:cs="Courier New" w:eastAsia="Courier New" w:hAnsi="Courier New"/>
                <w:sz w:val="18"/>
                <w:szCs w:val="18"/>
                <w:color w:val="auto"/>
              </w:rPr>
              <w:t>ASSETS</w:t>
            </w: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748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7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Cash and cash equivalents  . . . . . . . . . . . . . . . . . . .</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12,409</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63,992</w:t>
            </w:r>
          </w:p>
        </w:tc>
      </w:tr>
      <w:tr>
        <w:trPr>
          <w:trHeight w:val="203"/>
        </w:trPr>
        <w:tc>
          <w:tcPr>
            <w:tcW w:w="7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Accounts receivable  . . . . . . . . . . . . . . . . . . . . . .</w:t>
            </w:r>
          </w:p>
        </w:tc>
        <w:tc>
          <w:tcPr>
            <w:tcW w:w="220" w:type="dxa"/>
            <w:vAlign w:val="bottom"/>
          </w:tcPr>
          <w:p>
            <w:pPr>
              <w:spacing w:after="0"/>
              <w:rPr>
                <w:sz w:val="17"/>
                <w:szCs w:val="17"/>
                <w:color w:val="auto"/>
              </w:rPr>
            </w:pP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4"/>
              </w:rPr>
              <w:t>1,569,133</w:t>
            </w:r>
          </w:p>
        </w:tc>
        <w:tc>
          <w:tcPr>
            <w:tcW w:w="2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1,682,254</w:t>
            </w:r>
          </w:p>
        </w:tc>
      </w:tr>
      <w:tr>
        <w:trPr>
          <w:trHeight w:val="203"/>
        </w:trPr>
        <w:tc>
          <w:tcPr>
            <w:tcW w:w="7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Inventory  . . . . . . . . . . . . . . . . . . . . . . . . . . .</w:t>
            </w:r>
          </w:p>
        </w:tc>
        <w:tc>
          <w:tcPr>
            <w:tcW w:w="220" w:type="dxa"/>
            <w:vAlign w:val="bottom"/>
          </w:tcPr>
          <w:p>
            <w:pPr>
              <w:spacing w:after="0"/>
              <w:rPr>
                <w:sz w:val="17"/>
                <w:szCs w:val="17"/>
                <w:color w:val="auto"/>
              </w:rPr>
            </w:pP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4"/>
              </w:rPr>
              <w:t>3,177,134</w:t>
            </w:r>
          </w:p>
        </w:tc>
        <w:tc>
          <w:tcPr>
            <w:tcW w:w="2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2,668,761</w:t>
            </w:r>
          </w:p>
        </w:tc>
      </w:tr>
      <w:tr>
        <w:trPr>
          <w:trHeight w:val="203"/>
        </w:trPr>
        <w:tc>
          <w:tcPr>
            <w:tcW w:w="7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Other current assets . . . . . . . . . . . . . . . . . . . . . .</w:t>
            </w:r>
          </w:p>
        </w:tc>
        <w:tc>
          <w:tcPr>
            <w:tcW w:w="220" w:type="dxa"/>
            <w:vAlign w:val="bottom"/>
          </w:tcPr>
          <w:p>
            <w:pPr>
              <w:spacing w:after="0"/>
              <w:rPr>
                <w:sz w:val="17"/>
                <w:szCs w:val="17"/>
                <w:color w:val="auto"/>
              </w:rPr>
            </w:pP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251,779</w:t>
            </w:r>
          </w:p>
        </w:tc>
        <w:tc>
          <w:tcPr>
            <w:tcW w:w="2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136,177</w:t>
            </w:r>
          </w:p>
        </w:tc>
      </w:tr>
      <w:tr>
        <w:trPr>
          <w:trHeight w:val="203"/>
        </w:trPr>
        <w:tc>
          <w:tcPr>
            <w:tcW w:w="7480" w:type="dxa"/>
            <w:vAlign w:val="bottom"/>
          </w:tcPr>
          <w:p>
            <w:pPr>
              <w:spacing w:after="0"/>
              <w:rPr>
                <w:sz w:val="17"/>
                <w:szCs w:val="17"/>
                <w:color w:val="auto"/>
              </w:rPr>
            </w:pPr>
          </w:p>
        </w:tc>
        <w:tc>
          <w:tcPr>
            <w:tcW w:w="164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Total current assets . . . . . . . . . . . . . . . . . . .</w:t>
            </w:r>
          </w:p>
        </w:tc>
        <w:tc>
          <w:tcPr>
            <w:tcW w:w="220" w:type="dxa"/>
            <w:vAlign w:val="bottom"/>
          </w:tcPr>
          <w:p>
            <w:pPr>
              <w:spacing w:after="0"/>
              <w:rPr>
                <w:sz w:val="17"/>
                <w:szCs w:val="17"/>
                <w:color w:val="auto"/>
              </w:rPr>
            </w:pP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4"/>
              </w:rPr>
              <w:t>5,010,455</w:t>
            </w:r>
          </w:p>
        </w:tc>
        <w:tc>
          <w:tcPr>
            <w:tcW w:w="2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4,551,184</w:t>
            </w:r>
          </w:p>
        </w:tc>
      </w:tr>
      <w:tr>
        <w:trPr>
          <w:trHeight w:val="405"/>
        </w:trPr>
        <w:tc>
          <w:tcPr>
            <w:tcW w:w="748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7"/>
              </w:rPr>
              <w:t>Property and equipment, net. . . . . . . . . . . . . . . . . . . . . .</w:t>
            </w:r>
          </w:p>
        </w:tc>
        <w:tc>
          <w:tcPr>
            <w:tcW w:w="220" w:type="dxa"/>
            <w:vAlign w:val="bottom"/>
          </w:tcPr>
          <w:p>
            <w:pPr>
              <w:spacing w:after="0"/>
              <w:rPr>
                <w:sz w:val="24"/>
                <w:szCs w:val="24"/>
                <w:color w:val="auto"/>
              </w:rPr>
            </w:pPr>
          </w:p>
        </w:tc>
        <w:tc>
          <w:tcPr>
            <w:tcW w:w="1420" w:type="dxa"/>
            <w:vAlign w:val="bottom"/>
          </w:tcPr>
          <w:p>
            <w:pPr>
              <w:jc w:val="right"/>
              <w:ind w:right="392"/>
              <w:spacing w:after="0"/>
              <w:rPr>
                <w:sz w:val="20"/>
                <w:szCs w:val="20"/>
                <w:color w:val="auto"/>
              </w:rPr>
            </w:pPr>
            <w:r>
              <w:rPr>
                <w:rFonts w:ascii="Courier New" w:cs="Courier New" w:eastAsia="Courier New" w:hAnsi="Courier New"/>
                <w:sz w:val="18"/>
                <w:szCs w:val="18"/>
                <w:color w:val="auto"/>
                <w:w w:val="94"/>
              </w:rPr>
              <w:t>2,319,881</w:t>
            </w:r>
          </w:p>
        </w:tc>
        <w:tc>
          <w:tcPr>
            <w:tcW w:w="260" w:type="dxa"/>
            <w:vAlign w:val="bottom"/>
          </w:tcPr>
          <w:p>
            <w:pPr>
              <w:spacing w:after="0"/>
              <w:rPr>
                <w:sz w:val="24"/>
                <w:szCs w:val="24"/>
                <w:color w:val="auto"/>
              </w:rPr>
            </w:pP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6"/>
              </w:rPr>
              <w:t>2,493,287</w:t>
            </w:r>
          </w:p>
        </w:tc>
      </w:tr>
      <w:tr>
        <w:trPr>
          <w:trHeight w:val="203"/>
        </w:trPr>
        <w:tc>
          <w:tcPr>
            <w:tcW w:w="7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Related party note receivable  . . . . . . . . . . . . . . . . . . . .</w:t>
            </w:r>
          </w:p>
        </w:tc>
        <w:tc>
          <w:tcPr>
            <w:tcW w:w="220" w:type="dxa"/>
            <w:vAlign w:val="bottom"/>
          </w:tcPr>
          <w:p>
            <w:pPr>
              <w:spacing w:after="0"/>
              <w:rPr>
                <w:sz w:val="17"/>
                <w:szCs w:val="17"/>
                <w:color w:val="auto"/>
              </w:rPr>
            </w:pP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136,019</w:t>
            </w:r>
          </w:p>
        </w:tc>
        <w:tc>
          <w:tcPr>
            <w:tcW w:w="2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139,000</w:t>
            </w:r>
          </w:p>
        </w:tc>
      </w:tr>
      <w:tr>
        <w:trPr>
          <w:trHeight w:val="203"/>
        </w:trPr>
        <w:tc>
          <w:tcPr>
            <w:tcW w:w="7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Other assets, net  . . . . . . . . . . . . . . . . . . . . . . . . . .</w:t>
            </w:r>
          </w:p>
        </w:tc>
        <w:tc>
          <w:tcPr>
            <w:tcW w:w="220" w:type="dxa"/>
            <w:vAlign w:val="bottom"/>
          </w:tcPr>
          <w:p>
            <w:pPr>
              <w:spacing w:after="0"/>
              <w:rPr>
                <w:sz w:val="17"/>
                <w:szCs w:val="17"/>
                <w:color w:val="auto"/>
              </w:rPr>
            </w:pP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129,517</w:t>
            </w:r>
          </w:p>
        </w:tc>
        <w:tc>
          <w:tcPr>
            <w:tcW w:w="2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152,383</w:t>
            </w:r>
          </w:p>
        </w:tc>
      </w:tr>
      <w:tr>
        <w:trPr>
          <w:trHeight w:val="203"/>
        </w:trPr>
        <w:tc>
          <w:tcPr>
            <w:tcW w:w="7480" w:type="dxa"/>
            <w:vAlign w:val="bottom"/>
          </w:tcPr>
          <w:p>
            <w:pPr>
              <w:spacing w:after="0"/>
              <w:rPr>
                <w:sz w:val="17"/>
                <w:szCs w:val="17"/>
                <w:color w:val="auto"/>
              </w:rPr>
            </w:pPr>
          </w:p>
        </w:tc>
        <w:tc>
          <w:tcPr>
            <w:tcW w:w="164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Total assets . . . . . . . . . . . . . . . . . . . . . . .</w:t>
            </w:r>
          </w:p>
        </w:tc>
        <w:tc>
          <w:tcPr>
            <w:tcW w:w="1640" w:type="dxa"/>
            <w:vAlign w:val="bottom"/>
            <w:gridSpan w:val="2"/>
          </w:tcPr>
          <w:p>
            <w:pPr>
              <w:jc w:val="right"/>
              <w:ind w:right="392"/>
              <w:spacing w:after="0"/>
              <w:rPr>
                <w:sz w:val="20"/>
                <w:szCs w:val="20"/>
                <w:color w:val="auto"/>
              </w:rPr>
            </w:pPr>
            <w:r>
              <w:rPr>
                <w:rFonts w:ascii="Courier New" w:cs="Courier New" w:eastAsia="Courier New" w:hAnsi="Courier New"/>
                <w:sz w:val="18"/>
                <w:szCs w:val="18"/>
                <w:color w:val="auto"/>
              </w:rPr>
              <w:t>$7,595,872</w:t>
            </w:r>
          </w:p>
        </w:tc>
        <w:tc>
          <w:tcPr>
            <w:tcW w:w="13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$7,335,854</w:t>
            </w:r>
          </w:p>
        </w:tc>
      </w:tr>
      <w:tr>
        <w:trPr>
          <w:trHeight w:val="203"/>
        </w:trPr>
        <w:tc>
          <w:tcPr>
            <w:tcW w:w="7480" w:type="dxa"/>
            <w:vAlign w:val="bottom"/>
          </w:tcPr>
          <w:p>
            <w:pPr>
              <w:spacing w:after="0"/>
              <w:rPr>
                <w:sz w:val="17"/>
                <w:szCs w:val="17"/>
                <w:color w:val="auto"/>
              </w:rPr>
            </w:pPr>
          </w:p>
        </w:tc>
        <w:tc>
          <w:tcPr>
            <w:tcW w:w="164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480" w:type="dxa"/>
            <w:vAlign w:val="bottom"/>
          </w:tcPr>
          <w:p>
            <w:pPr>
              <w:jc w:val="right"/>
              <w:ind w:right="2332"/>
              <w:spacing w:after="0"/>
              <w:rPr>
                <w:sz w:val="20"/>
                <w:szCs w:val="20"/>
                <w:color w:val="auto"/>
              </w:rPr>
            </w:pPr>
            <w:r>
              <w:rPr>
                <w:rFonts w:ascii="Courier New" w:cs="Courier New" w:eastAsia="Courier New" w:hAnsi="Courier New"/>
                <w:sz w:val="18"/>
                <w:szCs w:val="18"/>
                <w:color w:val="auto"/>
              </w:rPr>
              <w:t>LIABILITIES AND SHAREHOLDERS' EQUITY</w:t>
            </w: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748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7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Notes payable. . . . . . . . . . . . . . . . . . . . . . . . . .</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531,365</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722,997</w:t>
            </w:r>
          </w:p>
        </w:tc>
      </w:tr>
      <w:tr>
        <w:trPr>
          <w:trHeight w:val="203"/>
        </w:trPr>
        <w:tc>
          <w:tcPr>
            <w:tcW w:w="7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Accounts payable . . . . . . . . . . . . . . . . . . . . . . . .</w:t>
            </w:r>
          </w:p>
        </w:tc>
        <w:tc>
          <w:tcPr>
            <w:tcW w:w="220" w:type="dxa"/>
            <w:vAlign w:val="bottom"/>
          </w:tcPr>
          <w:p>
            <w:pPr>
              <w:spacing w:after="0"/>
              <w:rPr>
                <w:sz w:val="17"/>
                <w:szCs w:val="17"/>
                <w:color w:val="auto"/>
              </w:rPr>
            </w:pP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315,748</w:t>
            </w:r>
          </w:p>
        </w:tc>
        <w:tc>
          <w:tcPr>
            <w:tcW w:w="2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471,072</w:t>
            </w:r>
          </w:p>
        </w:tc>
      </w:tr>
      <w:tr>
        <w:trPr>
          <w:trHeight w:val="203"/>
        </w:trPr>
        <w:tc>
          <w:tcPr>
            <w:tcW w:w="7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Accrued expenses . . . . . . . . . . . . . . . . . . . . . . . .</w:t>
            </w:r>
          </w:p>
        </w:tc>
        <w:tc>
          <w:tcPr>
            <w:tcW w:w="220" w:type="dxa"/>
            <w:vAlign w:val="bottom"/>
          </w:tcPr>
          <w:p>
            <w:pPr>
              <w:spacing w:after="0"/>
              <w:rPr>
                <w:sz w:val="17"/>
                <w:szCs w:val="17"/>
                <w:color w:val="auto"/>
              </w:rPr>
            </w:pP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705,592</w:t>
            </w:r>
          </w:p>
        </w:tc>
        <w:tc>
          <w:tcPr>
            <w:tcW w:w="2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356,446</w:t>
            </w:r>
          </w:p>
        </w:tc>
      </w:tr>
      <w:tr>
        <w:trPr>
          <w:trHeight w:val="203"/>
        </w:trPr>
        <w:tc>
          <w:tcPr>
            <w:tcW w:w="7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Current portion of long-term debt  . . . . . . . . . . . . . . .</w:t>
            </w:r>
          </w:p>
        </w:tc>
        <w:tc>
          <w:tcPr>
            <w:tcW w:w="220" w:type="dxa"/>
            <w:vAlign w:val="bottom"/>
          </w:tcPr>
          <w:p>
            <w:pPr>
              <w:spacing w:after="0"/>
              <w:rPr>
                <w:sz w:val="17"/>
                <w:szCs w:val="17"/>
                <w:color w:val="auto"/>
              </w:rPr>
            </w:pP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270,949</w:t>
            </w:r>
          </w:p>
        </w:tc>
        <w:tc>
          <w:tcPr>
            <w:tcW w:w="2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257,164</w:t>
            </w:r>
          </w:p>
        </w:tc>
      </w:tr>
      <w:tr>
        <w:trPr>
          <w:trHeight w:val="203"/>
        </w:trPr>
        <w:tc>
          <w:tcPr>
            <w:tcW w:w="7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Current portion of capital lease obligations . . . . . . . . . .</w:t>
            </w:r>
          </w:p>
        </w:tc>
        <w:tc>
          <w:tcPr>
            <w:tcW w:w="220" w:type="dxa"/>
            <w:vAlign w:val="bottom"/>
          </w:tcPr>
          <w:p>
            <w:pPr>
              <w:spacing w:after="0"/>
              <w:rPr>
                <w:sz w:val="17"/>
                <w:szCs w:val="17"/>
                <w:color w:val="auto"/>
              </w:rPr>
            </w:pP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240,071</w:t>
            </w:r>
          </w:p>
        </w:tc>
        <w:tc>
          <w:tcPr>
            <w:tcW w:w="2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254,951</w:t>
            </w:r>
          </w:p>
        </w:tc>
      </w:tr>
      <w:tr>
        <w:trPr>
          <w:trHeight w:val="203"/>
        </w:trPr>
        <w:tc>
          <w:tcPr>
            <w:tcW w:w="7480" w:type="dxa"/>
            <w:vAlign w:val="bottom"/>
          </w:tcPr>
          <w:p>
            <w:pPr>
              <w:spacing w:after="0"/>
              <w:rPr>
                <w:sz w:val="17"/>
                <w:szCs w:val="17"/>
                <w:color w:val="auto"/>
              </w:rPr>
            </w:pPr>
          </w:p>
        </w:tc>
        <w:tc>
          <w:tcPr>
            <w:tcW w:w="164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Total current liabilities  . . . . . . . . . . . . . . . .</w:t>
            </w:r>
          </w:p>
        </w:tc>
        <w:tc>
          <w:tcPr>
            <w:tcW w:w="220" w:type="dxa"/>
            <w:vAlign w:val="bottom"/>
          </w:tcPr>
          <w:p>
            <w:pPr>
              <w:spacing w:after="0"/>
              <w:rPr>
                <w:sz w:val="17"/>
                <w:szCs w:val="17"/>
                <w:color w:val="auto"/>
              </w:rPr>
            </w:pP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4"/>
              </w:rPr>
              <w:t>2,063,725</w:t>
            </w:r>
          </w:p>
        </w:tc>
        <w:tc>
          <w:tcPr>
            <w:tcW w:w="2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2,062,630</w:t>
            </w:r>
          </w:p>
        </w:tc>
      </w:tr>
      <w:tr>
        <w:trPr>
          <w:trHeight w:val="608"/>
        </w:trPr>
        <w:tc>
          <w:tcPr>
            <w:tcW w:w="748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7"/>
              </w:rPr>
              <w:t>Long-term debt . . . . . . . . . . . . . . . . . . . . . . . . . . . .</w:t>
            </w:r>
          </w:p>
        </w:tc>
        <w:tc>
          <w:tcPr>
            <w:tcW w:w="220" w:type="dxa"/>
            <w:vAlign w:val="bottom"/>
          </w:tcPr>
          <w:p>
            <w:pPr>
              <w:spacing w:after="0"/>
              <w:rPr>
                <w:sz w:val="24"/>
                <w:szCs w:val="24"/>
                <w:color w:val="auto"/>
              </w:rPr>
            </w:pPr>
          </w:p>
        </w:tc>
        <w:tc>
          <w:tcPr>
            <w:tcW w:w="14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549,336</w:t>
            </w:r>
          </w:p>
        </w:tc>
        <w:tc>
          <w:tcPr>
            <w:tcW w:w="260" w:type="dxa"/>
            <w:vAlign w:val="bottom"/>
          </w:tcPr>
          <w:p>
            <w:pPr>
              <w:spacing w:after="0"/>
              <w:rPr>
                <w:sz w:val="24"/>
                <w:szCs w:val="24"/>
                <w:color w:val="auto"/>
              </w:rPr>
            </w:pP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687,274</w:t>
            </w:r>
          </w:p>
        </w:tc>
      </w:tr>
      <w:tr>
        <w:trPr>
          <w:trHeight w:val="203"/>
        </w:trPr>
        <w:tc>
          <w:tcPr>
            <w:tcW w:w="7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Capital lease obligations  . . . . . . . . . . . . . . . . . . . . . .</w:t>
            </w:r>
          </w:p>
        </w:tc>
        <w:tc>
          <w:tcPr>
            <w:tcW w:w="220" w:type="dxa"/>
            <w:vAlign w:val="bottom"/>
          </w:tcPr>
          <w:p>
            <w:pPr>
              <w:spacing w:after="0"/>
              <w:rPr>
                <w:sz w:val="17"/>
                <w:szCs w:val="17"/>
                <w:color w:val="auto"/>
              </w:rPr>
            </w:pP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676,984</w:t>
            </w:r>
          </w:p>
        </w:tc>
        <w:tc>
          <w:tcPr>
            <w:tcW w:w="2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784,354</w:t>
            </w:r>
          </w:p>
        </w:tc>
      </w:tr>
      <w:tr>
        <w:trPr>
          <w:trHeight w:val="203"/>
        </w:trPr>
        <w:tc>
          <w:tcPr>
            <w:tcW w:w="7480" w:type="dxa"/>
            <w:vAlign w:val="bottom"/>
          </w:tcPr>
          <w:p>
            <w:pPr>
              <w:spacing w:after="0"/>
              <w:rPr>
                <w:sz w:val="17"/>
                <w:szCs w:val="17"/>
                <w:color w:val="auto"/>
              </w:rPr>
            </w:pPr>
          </w:p>
        </w:tc>
        <w:tc>
          <w:tcPr>
            <w:tcW w:w="164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Total liabilities  . . . . . . . . . . . . . . . . . . . .</w:t>
            </w:r>
          </w:p>
        </w:tc>
        <w:tc>
          <w:tcPr>
            <w:tcW w:w="220" w:type="dxa"/>
            <w:vAlign w:val="bottom"/>
          </w:tcPr>
          <w:p>
            <w:pPr>
              <w:spacing w:after="0"/>
              <w:rPr>
                <w:sz w:val="17"/>
                <w:szCs w:val="17"/>
                <w:color w:val="auto"/>
              </w:rPr>
            </w:pP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4"/>
              </w:rPr>
              <w:t>3,290,045</w:t>
            </w:r>
          </w:p>
        </w:tc>
        <w:tc>
          <w:tcPr>
            <w:tcW w:w="2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3,534,258</w:t>
            </w:r>
          </w:p>
        </w:tc>
      </w:tr>
      <w:tr>
        <w:trPr>
          <w:trHeight w:val="608"/>
        </w:trPr>
        <w:tc>
          <w:tcPr>
            <w:tcW w:w="7480" w:type="dxa"/>
            <w:vAlign w:val="bottom"/>
          </w:tcPr>
          <w:p>
            <w:pPr>
              <w:spacing w:after="0"/>
              <w:rPr>
                <w:sz w:val="20"/>
                <w:szCs w:val="20"/>
                <w:color w:val="auto"/>
              </w:rPr>
            </w:pPr>
            <w:r>
              <w:rPr>
                <w:rFonts w:ascii="Courier New" w:cs="Courier New" w:eastAsia="Courier New" w:hAnsi="Courier New"/>
                <w:sz w:val="18"/>
                <w:szCs w:val="18"/>
                <w:color w:val="auto"/>
              </w:rPr>
              <w:t>Shareholders' equity:</w:t>
            </w: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74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Common stock, 50,000,000 shares authorized, par value $.001,</w:t>
            </w: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748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7,675,443 and 7,663,405 shares issued and outstanding</w:t>
            </w: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7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at December 30, 1997 and June 30, 1997 . . . . . . . . . . . .</w:t>
            </w:r>
          </w:p>
        </w:tc>
        <w:tc>
          <w:tcPr>
            <w:tcW w:w="220" w:type="dxa"/>
            <w:vAlign w:val="bottom"/>
          </w:tcPr>
          <w:p>
            <w:pPr>
              <w:spacing w:after="0"/>
              <w:rPr>
                <w:sz w:val="17"/>
                <w:szCs w:val="17"/>
                <w:color w:val="auto"/>
              </w:rPr>
            </w:pP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7,675</w:t>
            </w:r>
          </w:p>
        </w:tc>
        <w:tc>
          <w:tcPr>
            <w:tcW w:w="2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7,663</w:t>
            </w:r>
          </w:p>
        </w:tc>
      </w:tr>
      <w:tr>
        <w:trPr>
          <w:trHeight w:val="203"/>
        </w:trPr>
        <w:tc>
          <w:tcPr>
            <w:tcW w:w="7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Additional paid-in capital . . . . . . . . . . . . . . . . . . .</w:t>
            </w:r>
          </w:p>
        </w:tc>
        <w:tc>
          <w:tcPr>
            <w:tcW w:w="220" w:type="dxa"/>
            <w:vAlign w:val="bottom"/>
          </w:tcPr>
          <w:p>
            <w:pPr>
              <w:spacing w:after="0"/>
              <w:rPr>
                <w:sz w:val="17"/>
                <w:szCs w:val="17"/>
                <w:color w:val="auto"/>
              </w:rPr>
            </w:pP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4"/>
              </w:rPr>
              <w:t>4,432,000</w:t>
            </w:r>
          </w:p>
        </w:tc>
        <w:tc>
          <w:tcPr>
            <w:tcW w:w="2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4,423,482</w:t>
            </w:r>
          </w:p>
        </w:tc>
      </w:tr>
      <w:tr>
        <w:trPr>
          <w:trHeight w:val="203"/>
        </w:trPr>
        <w:tc>
          <w:tcPr>
            <w:tcW w:w="7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Accumulated deficit  . . . . . . . . . . . . . . . . . . . . . .</w:t>
            </w:r>
          </w:p>
        </w:tc>
        <w:tc>
          <w:tcPr>
            <w:tcW w:w="220" w:type="dxa"/>
            <w:vAlign w:val="bottom"/>
          </w:tcPr>
          <w:p>
            <w:pPr>
              <w:spacing w:after="0"/>
              <w:rPr>
                <w:sz w:val="17"/>
                <w:szCs w:val="17"/>
                <w:color w:val="auto"/>
              </w:rPr>
            </w:pP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(133,848)</w:t>
            </w:r>
          </w:p>
        </w:tc>
        <w:tc>
          <w:tcPr>
            <w:tcW w:w="2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(629,549)</w:t>
            </w:r>
          </w:p>
        </w:tc>
      </w:tr>
      <w:tr>
        <w:trPr>
          <w:trHeight w:val="203"/>
        </w:trPr>
        <w:tc>
          <w:tcPr>
            <w:tcW w:w="7480" w:type="dxa"/>
            <w:vAlign w:val="bottom"/>
          </w:tcPr>
          <w:p>
            <w:pPr>
              <w:spacing w:after="0"/>
              <w:rPr>
                <w:sz w:val="17"/>
                <w:szCs w:val="17"/>
                <w:color w:val="auto"/>
              </w:rPr>
            </w:pPr>
          </w:p>
        </w:tc>
        <w:tc>
          <w:tcPr>
            <w:tcW w:w="164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Total shareholders' equity . . . . . . . . . . . . . . . .</w:t>
            </w:r>
          </w:p>
        </w:tc>
        <w:tc>
          <w:tcPr>
            <w:tcW w:w="220" w:type="dxa"/>
            <w:vAlign w:val="bottom"/>
          </w:tcPr>
          <w:p>
            <w:pPr>
              <w:spacing w:after="0"/>
              <w:rPr>
                <w:sz w:val="17"/>
                <w:szCs w:val="17"/>
                <w:color w:val="auto"/>
              </w:rPr>
            </w:pP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4"/>
              </w:rPr>
              <w:t>4,305,827</w:t>
            </w:r>
          </w:p>
        </w:tc>
        <w:tc>
          <w:tcPr>
            <w:tcW w:w="2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3,801,596</w:t>
            </w:r>
          </w:p>
        </w:tc>
      </w:tr>
      <w:tr>
        <w:trPr>
          <w:trHeight w:val="203"/>
        </w:trPr>
        <w:tc>
          <w:tcPr>
            <w:tcW w:w="7480" w:type="dxa"/>
            <w:vAlign w:val="bottom"/>
          </w:tcPr>
          <w:p>
            <w:pPr>
              <w:spacing w:after="0"/>
              <w:rPr>
                <w:sz w:val="17"/>
                <w:szCs w:val="17"/>
                <w:color w:val="auto"/>
              </w:rPr>
            </w:pPr>
          </w:p>
        </w:tc>
        <w:tc>
          <w:tcPr>
            <w:tcW w:w="164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Total liabilities and shareholders' equity . . . . . . . .</w:t>
            </w:r>
          </w:p>
        </w:tc>
        <w:tc>
          <w:tcPr>
            <w:tcW w:w="1640" w:type="dxa"/>
            <w:vAlign w:val="bottom"/>
            <w:gridSpan w:val="2"/>
          </w:tcPr>
          <w:p>
            <w:pPr>
              <w:jc w:val="right"/>
              <w:ind w:right="392"/>
              <w:spacing w:after="0"/>
              <w:rPr>
                <w:sz w:val="20"/>
                <w:szCs w:val="20"/>
                <w:color w:val="auto"/>
              </w:rPr>
            </w:pPr>
            <w:r>
              <w:rPr>
                <w:rFonts w:ascii="Courier New" w:cs="Courier New" w:eastAsia="Courier New" w:hAnsi="Courier New"/>
                <w:sz w:val="18"/>
                <w:szCs w:val="18"/>
                <w:color w:val="auto"/>
              </w:rPr>
              <w:t>$7,595,872</w:t>
            </w:r>
          </w:p>
        </w:tc>
        <w:tc>
          <w:tcPr>
            <w:tcW w:w="13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$7,335,854</w:t>
            </w:r>
          </w:p>
        </w:tc>
      </w:tr>
      <w:tr>
        <w:trPr>
          <w:trHeight w:val="203"/>
        </w:trPr>
        <w:tc>
          <w:tcPr>
            <w:tcW w:w="7480" w:type="dxa"/>
            <w:vAlign w:val="bottom"/>
          </w:tcPr>
          <w:p>
            <w:pPr>
              <w:spacing w:after="0"/>
              <w:rPr>
                <w:sz w:val="17"/>
                <w:szCs w:val="17"/>
                <w:color w:val="auto"/>
              </w:rPr>
            </w:pPr>
          </w:p>
        </w:tc>
        <w:tc>
          <w:tcPr>
            <w:tcW w:w="164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See accompanying notes</w:t>
      </w:r>
    </w:p>
    <w:p>
      <w:pPr>
        <w:sectPr>
          <w:pgSz w:w="11900" w:h="16838" w:orient="portrait"/>
          <w:cols w:equalWidth="0" w:num="1">
            <w:col w:w="10440"/>
          </w:cols>
          <w:pgMar w:left="240" w:top="312" w:right="1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440"/>
          </w:cols>
          <w:pgMar w:left="240" w:top="312" w:right="1219" w:bottom="1440" w:gutter="0" w:footer="0" w:header="0"/>
          <w:type w:val="continuous"/>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jc w:val="center"/>
        <w:ind w:right="1779"/>
        <w:spacing w:after="0" w:line="238" w:lineRule="auto"/>
        <w:rPr>
          <w:sz w:val="20"/>
          <w:szCs w:val="20"/>
          <w:color w:val="auto"/>
        </w:rPr>
      </w:pPr>
      <w:r>
        <w:rPr>
          <w:rFonts w:ascii="Courier New" w:cs="Courier New" w:eastAsia="Courier New" w:hAnsi="Courier New"/>
          <w:sz w:val="18"/>
          <w:szCs w:val="18"/>
          <w:color w:val="auto"/>
        </w:rPr>
        <w:t>GENTNER COMMUNICATIONS CORPORATION</w:t>
      </w:r>
    </w:p>
    <w:p>
      <w:pPr>
        <w:spacing w:after="0" w:line="20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540" w:type="dxa"/>
            <w:vAlign w:val="bottom"/>
          </w:tcPr>
          <w:p>
            <w:pPr>
              <w:spacing w:after="0"/>
              <w:rPr>
                <w:sz w:val="17"/>
                <w:szCs w:val="17"/>
                <w:color w:val="auto"/>
              </w:rPr>
            </w:pPr>
          </w:p>
        </w:tc>
        <w:tc>
          <w:tcPr>
            <w:tcW w:w="2900" w:type="dxa"/>
            <w:vAlign w:val="bottom"/>
            <w:gridSpan w:val="2"/>
          </w:tcPr>
          <w:p>
            <w:pPr>
              <w:ind w:left="900"/>
              <w:spacing w:after="0"/>
              <w:rPr>
                <w:sz w:val="20"/>
                <w:szCs w:val="20"/>
                <w:color w:val="auto"/>
              </w:rPr>
            </w:pPr>
            <w:r>
              <w:rPr>
                <w:rFonts w:ascii="Courier New" w:cs="Courier New" w:eastAsia="Courier New" w:hAnsi="Courier New"/>
                <w:sz w:val="18"/>
                <w:szCs w:val="18"/>
                <w:color w:val="auto"/>
              </w:rPr>
              <w:t>(Unaudited)</w:t>
            </w:r>
          </w:p>
        </w:tc>
      </w:tr>
      <w:tr>
        <w:trPr>
          <w:trHeight w:val="203"/>
        </w:trPr>
        <w:tc>
          <w:tcPr>
            <w:tcW w:w="5540" w:type="dxa"/>
            <w:vAlign w:val="bottom"/>
          </w:tcPr>
          <w:p>
            <w:pPr>
              <w:spacing w:after="0"/>
              <w:rPr>
                <w:sz w:val="17"/>
                <w:szCs w:val="17"/>
                <w:color w:val="auto"/>
              </w:rPr>
            </w:pPr>
          </w:p>
        </w:tc>
        <w:tc>
          <w:tcPr>
            <w:tcW w:w="290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Three Months Ended</w:t>
            </w:r>
          </w:p>
        </w:tc>
      </w:tr>
      <w:tr>
        <w:trPr>
          <w:trHeight w:val="203"/>
        </w:trPr>
        <w:tc>
          <w:tcPr>
            <w:tcW w:w="5540" w:type="dxa"/>
            <w:vAlign w:val="bottom"/>
          </w:tcPr>
          <w:p>
            <w:pPr>
              <w:spacing w:after="0"/>
              <w:rPr>
                <w:sz w:val="17"/>
                <w:szCs w:val="17"/>
                <w:color w:val="auto"/>
              </w:rPr>
            </w:pPr>
          </w:p>
        </w:tc>
        <w:tc>
          <w:tcPr>
            <w:tcW w:w="2900" w:type="dxa"/>
            <w:vAlign w:val="bottom"/>
            <w:gridSpan w:val="2"/>
          </w:tcPr>
          <w:p>
            <w:pPr>
              <w:ind w:left="900"/>
              <w:spacing w:after="0" w:line="203" w:lineRule="exact"/>
              <w:rPr>
                <w:sz w:val="20"/>
                <w:szCs w:val="20"/>
                <w:color w:val="auto"/>
              </w:rPr>
            </w:pPr>
            <w:r>
              <w:rPr>
                <w:rFonts w:ascii="Courier New" w:cs="Courier New" w:eastAsia="Courier New" w:hAnsi="Courier New"/>
                <w:sz w:val="18"/>
                <w:szCs w:val="18"/>
                <w:color w:val="auto"/>
              </w:rPr>
              <w:t>December 31,</w:t>
            </w:r>
          </w:p>
        </w:tc>
      </w:tr>
      <w:tr>
        <w:trPr>
          <w:trHeight w:val="203"/>
        </w:trPr>
        <w:tc>
          <w:tcPr>
            <w:tcW w:w="5540" w:type="dxa"/>
            <w:vAlign w:val="bottom"/>
          </w:tcPr>
          <w:p>
            <w:pPr>
              <w:spacing w:after="0"/>
              <w:rPr>
                <w:sz w:val="17"/>
                <w:szCs w:val="17"/>
                <w:color w:val="auto"/>
              </w:rPr>
            </w:pPr>
          </w:p>
        </w:tc>
        <w:tc>
          <w:tcPr>
            <w:tcW w:w="29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540" w:type="dxa"/>
            <w:vAlign w:val="bottom"/>
          </w:tcPr>
          <w:p>
            <w:pPr>
              <w:spacing w:after="0"/>
              <w:rPr>
                <w:sz w:val="17"/>
                <w:szCs w:val="17"/>
                <w:color w:val="auto"/>
              </w:rPr>
            </w:pPr>
          </w:p>
        </w:tc>
        <w:tc>
          <w:tcPr>
            <w:tcW w:w="14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1997</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1996</w:t>
            </w:r>
          </w:p>
        </w:tc>
      </w:tr>
      <w:tr>
        <w:trPr>
          <w:trHeight w:val="203"/>
        </w:trPr>
        <w:tc>
          <w:tcPr>
            <w:tcW w:w="5540" w:type="dxa"/>
            <w:vAlign w:val="bottom"/>
          </w:tcPr>
          <w:p>
            <w:pPr>
              <w:spacing w:after="0"/>
              <w:rPr>
                <w:sz w:val="17"/>
                <w:szCs w:val="17"/>
                <w:color w:val="auto"/>
              </w:rPr>
            </w:pPr>
          </w:p>
        </w:tc>
        <w:tc>
          <w:tcPr>
            <w:tcW w:w="14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54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7"/>
              </w:rPr>
              <w:t>Net sales . . . . . . . . . . . . . . . . . . . . .</w:t>
            </w:r>
          </w:p>
        </w:tc>
        <w:tc>
          <w:tcPr>
            <w:tcW w:w="148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$4,000,813</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$ 3,557,674</w:t>
            </w:r>
          </w:p>
        </w:tc>
      </w:tr>
      <w:tr>
        <w:trPr>
          <w:trHeight w:val="203"/>
        </w:trPr>
        <w:tc>
          <w:tcPr>
            <w:tcW w:w="5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Cost of goods sold  . . . . . . . . . . . . . . . .</w:t>
            </w:r>
          </w:p>
        </w:tc>
        <w:tc>
          <w:tcPr>
            <w:tcW w:w="14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1,799,281</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1,888,343</w:t>
            </w:r>
          </w:p>
        </w:tc>
      </w:tr>
      <w:tr>
        <w:trPr>
          <w:trHeight w:val="203"/>
        </w:trPr>
        <w:tc>
          <w:tcPr>
            <w:tcW w:w="5540" w:type="dxa"/>
            <w:vAlign w:val="bottom"/>
          </w:tcPr>
          <w:p>
            <w:pPr>
              <w:spacing w:after="0"/>
              <w:rPr>
                <w:sz w:val="17"/>
                <w:szCs w:val="17"/>
                <w:color w:val="auto"/>
              </w:rPr>
            </w:pPr>
          </w:p>
        </w:tc>
        <w:tc>
          <w:tcPr>
            <w:tcW w:w="14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Gross profit  . . . . . . . . . . . . . . . .</w:t>
            </w:r>
          </w:p>
        </w:tc>
        <w:tc>
          <w:tcPr>
            <w:tcW w:w="14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2,201,532</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1,669,331</w:t>
            </w:r>
          </w:p>
        </w:tc>
      </w:tr>
      <w:tr>
        <w:trPr>
          <w:trHeight w:val="405"/>
        </w:trPr>
        <w:tc>
          <w:tcPr>
            <w:tcW w:w="554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14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5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Marketing and selling . . . . . . . . . . . .</w:t>
            </w:r>
          </w:p>
        </w:tc>
        <w:tc>
          <w:tcPr>
            <w:tcW w:w="14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769,431</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1,034,006</w:t>
            </w:r>
          </w:p>
        </w:tc>
      </w:tr>
      <w:tr>
        <w:trPr>
          <w:trHeight w:val="203"/>
        </w:trPr>
        <w:tc>
          <w:tcPr>
            <w:tcW w:w="5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General and administrative  . . . . . . . . .</w:t>
            </w:r>
          </w:p>
        </w:tc>
        <w:tc>
          <w:tcPr>
            <w:tcW w:w="14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745,780</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461,802</w:t>
            </w:r>
          </w:p>
        </w:tc>
      </w:tr>
      <w:tr>
        <w:trPr>
          <w:trHeight w:val="203"/>
        </w:trPr>
        <w:tc>
          <w:tcPr>
            <w:tcW w:w="5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Product development . . . . . . . . . . . . .</w:t>
            </w:r>
          </w:p>
        </w:tc>
        <w:tc>
          <w:tcPr>
            <w:tcW w:w="14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347,831</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189,566</w:t>
            </w:r>
          </w:p>
        </w:tc>
      </w:tr>
      <w:tr>
        <w:trPr>
          <w:trHeight w:val="203"/>
        </w:trPr>
        <w:tc>
          <w:tcPr>
            <w:tcW w:w="5540" w:type="dxa"/>
            <w:vAlign w:val="bottom"/>
          </w:tcPr>
          <w:p>
            <w:pPr>
              <w:spacing w:after="0"/>
              <w:rPr>
                <w:sz w:val="17"/>
                <w:szCs w:val="17"/>
                <w:color w:val="auto"/>
              </w:rPr>
            </w:pPr>
          </w:p>
        </w:tc>
        <w:tc>
          <w:tcPr>
            <w:tcW w:w="14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Total operating expenses. . . . . . . .</w:t>
            </w:r>
          </w:p>
        </w:tc>
        <w:tc>
          <w:tcPr>
            <w:tcW w:w="14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1,863,042</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1,685,374</w:t>
            </w:r>
          </w:p>
        </w:tc>
      </w:tr>
      <w:tr>
        <w:trPr>
          <w:trHeight w:val="405"/>
        </w:trPr>
        <w:tc>
          <w:tcPr>
            <w:tcW w:w="55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Operating income (loss) . . . . . . . .</w:t>
            </w:r>
          </w:p>
        </w:tc>
        <w:tc>
          <w:tcPr>
            <w:tcW w:w="148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338,490</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(16,043)</w:t>
            </w:r>
          </w:p>
        </w:tc>
      </w:tr>
      <w:tr>
        <w:trPr>
          <w:trHeight w:val="405"/>
        </w:trPr>
        <w:tc>
          <w:tcPr>
            <w:tcW w:w="5540" w:type="dxa"/>
            <w:vAlign w:val="bottom"/>
          </w:tcPr>
          <w:p>
            <w:pPr>
              <w:spacing w:after="0"/>
              <w:rPr>
                <w:sz w:val="20"/>
                <w:szCs w:val="20"/>
                <w:color w:val="auto"/>
              </w:rPr>
            </w:pPr>
            <w:r>
              <w:rPr>
                <w:rFonts w:ascii="Courier New" w:cs="Courier New" w:eastAsia="Courier New" w:hAnsi="Courier New"/>
                <w:sz w:val="18"/>
                <w:szCs w:val="18"/>
                <w:color w:val="auto"/>
              </w:rPr>
              <w:t>Other income (expense):</w:t>
            </w:r>
          </w:p>
        </w:tc>
        <w:tc>
          <w:tcPr>
            <w:tcW w:w="14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5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Interest income . . . . . . . . . . . . . . .</w:t>
            </w:r>
          </w:p>
        </w:tc>
        <w:tc>
          <w:tcPr>
            <w:tcW w:w="14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3,495</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Interest expense  . . . . . . . . . . . . . .</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(59,797)</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(38,176)</w:t>
            </w:r>
          </w:p>
        </w:tc>
      </w:tr>
      <w:tr>
        <w:trPr>
          <w:trHeight w:val="203"/>
        </w:trPr>
        <w:tc>
          <w:tcPr>
            <w:tcW w:w="5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Other, net  . . . . . . . . . . . . . . . . .</w:t>
            </w:r>
          </w:p>
        </w:tc>
        <w:tc>
          <w:tcPr>
            <w:tcW w:w="14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5,334</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(21,302)</w:t>
            </w:r>
          </w:p>
        </w:tc>
      </w:tr>
      <w:tr>
        <w:trPr>
          <w:trHeight w:val="203"/>
        </w:trPr>
        <w:tc>
          <w:tcPr>
            <w:tcW w:w="5540" w:type="dxa"/>
            <w:vAlign w:val="bottom"/>
          </w:tcPr>
          <w:p>
            <w:pPr>
              <w:spacing w:after="0"/>
              <w:rPr>
                <w:sz w:val="17"/>
                <w:szCs w:val="17"/>
                <w:color w:val="auto"/>
              </w:rPr>
            </w:pPr>
          </w:p>
        </w:tc>
        <w:tc>
          <w:tcPr>
            <w:tcW w:w="14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Total other income (expense)  . . . . .</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(50,968)</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(59,478)</w:t>
            </w:r>
          </w:p>
        </w:tc>
      </w:tr>
      <w:tr>
        <w:trPr>
          <w:trHeight w:val="203"/>
        </w:trPr>
        <w:tc>
          <w:tcPr>
            <w:tcW w:w="5540" w:type="dxa"/>
            <w:vAlign w:val="bottom"/>
          </w:tcPr>
          <w:p>
            <w:pPr>
              <w:spacing w:after="0"/>
              <w:rPr>
                <w:sz w:val="17"/>
                <w:szCs w:val="17"/>
                <w:color w:val="auto"/>
              </w:rPr>
            </w:pPr>
          </w:p>
        </w:tc>
        <w:tc>
          <w:tcPr>
            <w:tcW w:w="14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54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7"/>
              </w:rPr>
              <w:t>Income (loss) before income taxes . . . . . . . . .</w:t>
            </w:r>
          </w:p>
        </w:tc>
        <w:tc>
          <w:tcPr>
            <w:tcW w:w="148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287,522</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(75,521)</w:t>
            </w:r>
          </w:p>
        </w:tc>
      </w:tr>
      <w:tr>
        <w:trPr>
          <w:trHeight w:val="405"/>
        </w:trPr>
        <w:tc>
          <w:tcPr>
            <w:tcW w:w="554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7"/>
              </w:rPr>
              <w:t>Provision for income taxes  . . . . . . . . . . . .</w:t>
            </w:r>
          </w:p>
        </w:tc>
        <w:tc>
          <w:tcPr>
            <w:tcW w:w="1480" w:type="dxa"/>
            <w:vAlign w:val="bottom"/>
          </w:tcPr>
          <w:p>
            <w:pPr>
              <w:jc w:val="right"/>
              <w:ind w:right="612"/>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w:t>
            </w:r>
          </w:p>
        </w:tc>
      </w:tr>
      <w:tr>
        <w:trPr>
          <w:trHeight w:val="203"/>
        </w:trPr>
        <w:tc>
          <w:tcPr>
            <w:tcW w:w="5540" w:type="dxa"/>
            <w:vAlign w:val="bottom"/>
          </w:tcPr>
          <w:p>
            <w:pPr>
              <w:spacing w:after="0"/>
              <w:rPr>
                <w:sz w:val="17"/>
                <w:szCs w:val="17"/>
                <w:color w:val="auto"/>
              </w:rPr>
            </w:pPr>
          </w:p>
        </w:tc>
        <w:tc>
          <w:tcPr>
            <w:tcW w:w="14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5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Net income (loss) . . . . . . . . . . .</w:t>
            </w:r>
          </w:p>
        </w:tc>
        <w:tc>
          <w:tcPr>
            <w:tcW w:w="148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  287,522</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   (75,521)</w:t>
            </w:r>
          </w:p>
        </w:tc>
      </w:tr>
      <w:tr>
        <w:trPr>
          <w:trHeight w:val="203"/>
        </w:trPr>
        <w:tc>
          <w:tcPr>
            <w:tcW w:w="5540" w:type="dxa"/>
            <w:vAlign w:val="bottom"/>
          </w:tcPr>
          <w:p>
            <w:pPr>
              <w:spacing w:after="0"/>
              <w:rPr>
                <w:sz w:val="17"/>
                <w:szCs w:val="17"/>
                <w:color w:val="auto"/>
              </w:rPr>
            </w:pPr>
          </w:p>
        </w:tc>
        <w:tc>
          <w:tcPr>
            <w:tcW w:w="14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Basic and fully diluted net earnings (loss) per</w:t>
      </w:r>
    </w:p>
    <w:p>
      <w:pPr>
        <w:sectPr>
          <w:pgSz w:w="11900" w:h="16838" w:orient="portrait"/>
          <w:cols w:equalWidth="0" w:num="1">
            <w:col w:w="10219"/>
          </w:cols>
          <w:pgMar w:left="240" w:top="312" w:right="1440" w:bottom="1440" w:gutter="0" w:footer="0" w:header="0"/>
        </w:sectPr>
      </w:pPr>
    </w:p>
    <w:p>
      <w:pPr>
        <w:spacing w:after="0" w:line="4" w:lineRule="exact"/>
        <w:rPr>
          <w:sz w:val="20"/>
          <w:szCs w:val="20"/>
          <w:color w:val="auto"/>
        </w:rPr>
      </w:pPr>
    </w:p>
    <w:p>
      <w:pPr>
        <w:jc w:val="center"/>
        <w:ind w:left="320"/>
        <w:spacing w:after="0"/>
        <w:rPr>
          <w:sz w:val="20"/>
          <w:szCs w:val="20"/>
          <w:color w:val="auto"/>
        </w:rPr>
      </w:pPr>
      <w:r>
        <w:rPr>
          <w:rFonts w:ascii="Courier New" w:cs="Courier New" w:eastAsia="Courier New" w:hAnsi="Courier New"/>
          <w:sz w:val="16"/>
          <w:szCs w:val="16"/>
          <w:color w:val="auto"/>
        </w:rPr>
        <w:t>common share . . . . . . . . . . . . . . . . . .</w:t>
      </w:r>
    </w:p>
    <w:p>
      <w:pPr>
        <w:spacing w:after="0" w:line="20" w:lineRule="exact"/>
        <w:rPr>
          <w:sz w:val="20"/>
          <w:szCs w:val="20"/>
          <w:color w:val="auto"/>
        </w:rPr>
      </w:pPr>
      <w:r>
        <w:rPr>
          <w:sz w:val="20"/>
          <w:szCs w:val="20"/>
          <w:color w:val="auto"/>
        </w:rPr>
        <w:br w:type="column"/>
      </w:r>
    </w:p>
    <w:p>
      <w:pPr>
        <w:jc w:val="both"/>
        <w:spacing w:after="0" w:line="290" w:lineRule="auto"/>
        <w:rPr>
          <w:sz w:val="20"/>
          <w:szCs w:val="20"/>
          <w:color w:val="auto"/>
        </w:rPr>
      </w:pPr>
      <w:r>
        <w:rPr>
          <w:rFonts w:ascii="Courier New" w:cs="Courier New" w:eastAsia="Courier New" w:hAnsi="Courier New"/>
          <w:sz w:val="16"/>
          <w:szCs w:val="16"/>
          <w:color w:val="auto"/>
        </w:rPr>
        <w:t>$ 0.04 ==========</w:t>
      </w:r>
    </w:p>
    <w:p>
      <w:pPr>
        <w:spacing w:after="0" w:line="20" w:lineRule="exact"/>
        <w:rPr>
          <w:sz w:val="20"/>
          <w:szCs w:val="20"/>
          <w:color w:val="auto"/>
        </w:rPr>
      </w:pPr>
      <w:r>
        <w:rPr>
          <w:sz w:val="20"/>
          <w:szCs w:val="20"/>
          <w:color w:val="auto"/>
        </w:rPr>
        <w:br w:type="column"/>
      </w:r>
    </w:p>
    <w:p>
      <w:pPr>
        <w:spacing w:after="0"/>
        <w:tabs>
          <w:tab w:leader="none" w:pos="6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(0.01)</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7" w:lineRule="exact"/>
        <w:rPr>
          <w:sz w:val="20"/>
          <w:szCs w:val="20"/>
          <w:color w:val="auto"/>
        </w:rPr>
      </w:pPr>
    </w:p>
    <w:p>
      <w:pPr>
        <w:sectPr>
          <w:pgSz w:w="11900" w:h="16838" w:orient="portrait"/>
          <w:cols w:equalWidth="0" w:num="3">
            <w:col w:w="5380" w:space="320"/>
            <w:col w:w="1040" w:space="440"/>
            <w:col w:w="3039"/>
          </w:cols>
          <w:pgMar w:left="240" w:top="312" w:right="1440" w:bottom="1440" w:gutter="0" w:footer="0" w:header="0"/>
          <w:type w:val="continuous"/>
        </w:sectPr>
      </w:pPr>
    </w:p>
    <w:p>
      <w:pPr>
        <w:spacing w:after="0" w:line="37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See accompanying notes</w:t>
      </w:r>
    </w:p>
    <w:p>
      <w:pPr>
        <w:spacing w:after="0" w:line="200" w:lineRule="exact"/>
        <w:rPr>
          <w:sz w:val="20"/>
          <w:szCs w:val="20"/>
          <w:color w:val="auto"/>
        </w:rPr>
      </w:pPr>
    </w:p>
    <w:p>
      <w:pPr>
        <w:spacing w:after="0" w:line="22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type w:val="continuous"/>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p>
      <w:pPr>
        <w:jc w:val="center"/>
        <w:ind w:right="1779"/>
        <w:spacing w:after="0" w:line="238" w:lineRule="auto"/>
        <w:rPr>
          <w:sz w:val="20"/>
          <w:szCs w:val="20"/>
          <w:color w:val="auto"/>
        </w:rPr>
      </w:pPr>
      <w:r>
        <w:rPr>
          <w:rFonts w:ascii="Courier New" w:cs="Courier New" w:eastAsia="Courier New" w:hAnsi="Courier New"/>
          <w:sz w:val="18"/>
          <w:szCs w:val="18"/>
          <w:color w:val="auto"/>
        </w:rPr>
        <w:t>GENTNER COMMUNICATIONS CORPORATION</w:t>
      </w:r>
    </w:p>
    <w:p>
      <w:pPr>
        <w:spacing w:after="0" w:line="20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600" w:type="dxa"/>
            <w:vAlign w:val="bottom"/>
          </w:tcPr>
          <w:p>
            <w:pPr>
              <w:spacing w:after="0"/>
              <w:rPr>
                <w:sz w:val="17"/>
                <w:szCs w:val="17"/>
                <w:color w:val="auto"/>
              </w:rPr>
            </w:pPr>
          </w:p>
        </w:tc>
        <w:tc>
          <w:tcPr>
            <w:tcW w:w="2940" w:type="dxa"/>
            <w:vAlign w:val="bottom"/>
            <w:gridSpan w:val="2"/>
          </w:tcPr>
          <w:p>
            <w:pPr>
              <w:ind w:left="940"/>
              <w:spacing w:after="0"/>
              <w:rPr>
                <w:sz w:val="20"/>
                <w:szCs w:val="20"/>
                <w:color w:val="auto"/>
              </w:rPr>
            </w:pPr>
            <w:r>
              <w:rPr>
                <w:rFonts w:ascii="Courier New" w:cs="Courier New" w:eastAsia="Courier New" w:hAnsi="Courier New"/>
                <w:sz w:val="18"/>
                <w:szCs w:val="18"/>
                <w:color w:val="auto"/>
              </w:rPr>
              <w:t>(Unaudited)</w:t>
            </w:r>
          </w:p>
        </w:tc>
      </w:tr>
      <w:tr>
        <w:trPr>
          <w:trHeight w:val="203"/>
        </w:trPr>
        <w:tc>
          <w:tcPr>
            <w:tcW w:w="5600" w:type="dxa"/>
            <w:vAlign w:val="bottom"/>
          </w:tcPr>
          <w:p>
            <w:pPr>
              <w:spacing w:after="0"/>
              <w:rPr>
                <w:sz w:val="17"/>
                <w:szCs w:val="17"/>
                <w:color w:val="auto"/>
              </w:rPr>
            </w:pPr>
          </w:p>
        </w:tc>
        <w:tc>
          <w:tcPr>
            <w:tcW w:w="294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Six Months Ended</w:t>
            </w:r>
          </w:p>
        </w:tc>
      </w:tr>
      <w:tr>
        <w:trPr>
          <w:trHeight w:val="203"/>
        </w:trPr>
        <w:tc>
          <w:tcPr>
            <w:tcW w:w="5600" w:type="dxa"/>
            <w:vAlign w:val="bottom"/>
          </w:tcPr>
          <w:p>
            <w:pPr>
              <w:spacing w:after="0"/>
              <w:rPr>
                <w:sz w:val="17"/>
                <w:szCs w:val="17"/>
                <w:color w:val="auto"/>
              </w:rPr>
            </w:pPr>
          </w:p>
        </w:tc>
        <w:tc>
          <w:tcPr>
            <w:tcW w:w="2940" w:type="dxa"/>
            <w:vAlign w:val="bottom"/>
            <w:gridSpan w:val="2"/>
          </w:tcPr>
          <w:p>
            <w:pPr>
              <w:ind w:left="940"/>
              <w:spacing w:after="0" w:line="203" w:lineRule="exact"/>
              <w:rPr>
                <w:sz w:val="20"/>
                <w:szCs w:val="20"/>
                <w:color w:val="auto"/>
              </w:rPr>
            </w:pPr>
            <w:r>
              <w:rPr>
                <w:rFonts w:ascii="Courier New" w:cs="Courier New" w:eastAsia="Courier New" w:hAnsi="Courier New"/>
                <w:sz w:val="18"/>
                <w:szCs w:val="18"/>
                <w:color w:val="auto"/>
              </w:rPr>
              <w:t>December 31,</w:t>
            </w:r>
          </w:p>
        </w:tc>
      </w:tr>
      <w:tr>
        <w:trPr>
          <w:trHeight w:val="203"/>
        </w:trPr>
        <w:tc>
          <w:tcPr>
            <w:tcW w:w="5600" w:type="dxa"/>
            <w:vAlign w:val="bottom"/>
          </w:tcPr>
          <w:p>
            <w:pPr>
              <w:spacing w:after="0"/>
              <w:rPr>
                <w:sz w:val="17"/>
                <w:szCs w:val="17"/>
                <w:color w:val="auto"/>
              </w:rPr>
            </w:pPr>
          </w:p>
        </w:tc>
        <w:tc>
          <w:tcPr>
            <w:tcW w:w="2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00" w:type="dxa"/>
            <w:vAlign w:val="bottom"/>
          </w:tcPr>
          <w:p>
            <w:pPr>
              <w:spacing w:after="0"/>
              <w:rPr>
                <w:sz w:val="17"/>
                <w:szCs w:val="17"/>
                <w:color w:val="auto"/>
              </w:rPr>
            </w:pPr>
          </w:p>
        </w:tc>
        <w:tc>
          <w:tcPr>
            <w:tcW w:w="15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1997</w:t>
            </w:r>
          </w:p>
        </w:tc>
        <w:tc>
          <w:tcPr>
            <w:tcW w:w="14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1996</w:t>
            </w:r>
          </w:p>
        </w:tc>
      </w:tr>
      <w:tr>
        <w:trPr>
          <w:trHeight w:val="203"/>
        </w:trPr>
        <w:tc>
          <w:tcPr>
            <w:tcW w:w="5600" w:type="dxa"/>
            <w:vAlign w:val="bottom"/>
          </w:tcPr>
          <w:p>
            <w:pPr>
              <w:spacing w:after="0"/>
              <w:rPr>
                <w:sz w:val="17"/>
                <w:szCs w:val="17"/>
                <w:color w:val="auto"/>
              </w:rPr>
            </w:pPr>
          </w:p>
        </w:tc>
        <w:tc>
          <w:tcPr>
            <w:tcW w:w="15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0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7"/>
              </w:rPr>
              <w:t>Net sales  . . . . . . . . . . . . . . . . . . . . .</w:t>
            </w:r>
          </w:p>
        </w:tc>
        <w:tc>
          <w:tcPr>
            <w:tcW w:w="15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$7,725,793</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$ 6,497,879</w:t>
            </w:r>
          </w:p>
        </w:tc>
      </w:tr>
      <w:tr>
        <w:trPr>
          <w:trHeight w:val="203"/>
        </w:trPr>
        <w:tc>
          <w:tcPr>
            <w:tcW w:w="56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Cost of goods sold . . . . . . . . . . . . . . . . .</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3,626,281</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3,470,328</w:t>
            </w:r>
          </w:p>
        </w:tc>
      </w:tr>
      <w:tr>
        <w:trPr>
          <w:trHeight w:val="203"/>
        </w:trPr>
        <w:tc>
          <w:tcPr>
            <w:tcW w:w="5600" w:type="dxa"/>
            <w:vAlign w:val="bottom"/>
          </w:tcPr>
          <w:p>
            <w:pPr>
              <w:spacing w:after="0"/>
              <w:rPr>
                <w:sz w:val="17"/>
                <w:szCs w:val="17"/>
                <w:color w:val="auto"/>
              </w:rPr>
            </w:pP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Gross profit . . . . . . . . . . . . . . . . .</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4,099,512</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3,027,551</w:t>
            </w:r>
          </w:p>
        </w:tc>
      </w:tr>
      <w:tr>
        <w:trPr>
          <w:trHeight w:val="405"/>
        </w:trPr>
        <w:tc>
          <w:tcPr>
            <w:tcW w:w="560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15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56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Marketing and selling  . . . . . . . . . . . .</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1,506,211</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1,811,178</w:t>
            </w:r>
          </w:p>
        </w:tc>
      </w:tr>
      <w:tr>
        <w:trPr>
          <w:trHeight w:val="203"/>
        </w:trPr>
        <w:tc>
          <w:tcPr>
            <w:tcW w:w="56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General and administrative . . . . . . . . . .</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1,345,493</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897,954</w:t>
            </w:r>
          </w:p>
        </w:tc>
      </w:tr>
      <w:tr>
        <w:trPr>
          <w:trHeight w:val="203"/>
        </w:trPr>
        <w:tc>
          <w:tcPr>
            <w:tcW w:w="56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Product development  . . . . . . . . . . . . .</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644,321</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427,140</w:t>
            </w:r>
          </w:p>
        </w:tc>
      </w:tr>
      <w:tr>
        <w:trPr>
          <w:trHeight w:val="203"/>
        </w:trPr>
        <w:tc>
          <w:tcPr>
            <w:tcW w:w="5600" w:type="dxa"/>
            <w:vAlign w:val="bottom"/>
          </w:tcPr>
          <w:p>
            <w:pPr>
              <w:spacing w:after="0"/>
              <w:rPr>
                <w:sz w:val="17"/>
                <w:szCs w:val="17"/>
                <w:color w:val="auto"/>
              </w:rPr>
            </w:pPr>
          </w:p>
        </w:tc>
        <w:tc>
          <w:tcPr>
            <w:tcW w:w="15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Total operating expenses . . . . . . . .</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3,496,025</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3,136,272</w:t>
            </w:r>
          </w:p>
        </w:tc>
      </w:tr>
      <w:tr>
        <w:trPr>
          <w:trHeight w:val="405"/>
        </w:trPr>
        <w:tc>
          <w:tcPr>
            <w:tcW w:w="56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Operating income (loss)  . . . . . . . .</w:t>
            </w:r>
          </w:p>
        </w:tc>
        <w:tc>
          <w:tcPr>
            <w:tcW w:w="15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603,487</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(108,721)</w:t>
            </w:r>
          </w:p>
        </w:tc>
      </w:tr>
      <w:tr>
        <w:trPr>
          <w:trHeight w:val="405"/>
        </w:trPr>
        <w:tc>
          <w:tcPr>
            <w:tcW w:w="5600" w:type="dxa"/>
            <w:vAlign w:val="bottom"/>
          </w:tcPr>
          <w:p>
            <w:pPr>
              <w:spacing w:after="0"/>
              <w:rPr>
                <w:sz w:val="20"/>
                <w:szCs w:val="20"/>
                <w:color w:val="auto"/>
              </w:rPr>
            </w:pPr>
            <w:r>
              <w:rPr>
                <w:rFonts w:ascii="Courier New" w:cs="Courier New" w:eastAsia="Courier New" w:hAnsi="Courier New"/>
                <w:sz w:val="18"/>
                <w:szCs w:val="18"/>
                <w:color w:val="auto"/>
              </w:rPr>
              <w:t>Other income (expense):</w:t>
            </w:r>
          </w:p>
        </w:tc>
        <w:tc>
          <w:tcPr>
            <w:tcW w:w="15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56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Interest income  . . . . . . . . . . . . . . .</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7,212</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56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Interest expense . . . . . . . . . . . . . . .</w:t>
            </w: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(124,350)</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(73,987)</w:t>
            </w:r>
          </w:p>
        </w:tc>
      </w:tr>
      <w:tr>
        <w:trPr>
          <w:trHeight w:val="203"/>
        </w:trPr>
        <w:tc>
          <w:tcPr>
            <w:tcW w:w="56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Other, net . . . . . . . . . . . . . . . . . .</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9,352</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(21,190)</w:t>
            </w:r>
          </w:p>
        </w:tc>
      </w:tr>
      <w:tr>
        <w:trPr>
          <w:trHeight w:val="203"/>
        </w:trPr>
        <w:tc>
          <w:tcPr>
            <w:tcW w:w="5600" w:type="dxa"/>
            <w:vAlign w:val="bottom"/>
          </w:tcPr>
          <w:p>
            <w:pPr>
              <w:spacing w:after="0"/>
              <w:rPr>
                <w:sz w:val="17"/>
                <w:szCs w:val="17"/>
                <w:color w:val="auto"/>
              </w:rPr>
            </w:pP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Total other income (expense) . . . . . .</w:t>
            </w: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(107,786)</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(95,177)</w:t>
            </w:r>
          </w:p>
        </w:tc>
      </w:tr>
      <w:tr>
        <w:trPr>
          <w:trHeight w:val="203"/>
        </w:trPr>
        <w:tc>
          <w:tcPr>
            <w:tcW w:w="5600" w:type="dxa"/>
            <w:vAlign w:val="bottom"/>
          </w:tcPr>
          <w:p>
            <w:pPr>
              <w:spacing w:after="0"/>
              <w:rPr>
                <w:sz w:val="17"/>
                <w:szCs w:val="17"/>
                <w:color w:val="auto"/>
              </w:rPr>
            </w:pP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Income (loss) before income taxes  . . . . . . . . .</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495,701</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(203,898)</w:t>
            </w:r>
          </w:p>
        </w:tc>
      </w:tr>
      <w:tr>
        <w:trPr>
          <w:trHeight w:val="405"/>
        </w:trPr>
        <w:tc>
          <w:tcPr>
            <w:tcW w:w="560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7"/>
              </w:rPr>
              <w:t>Provision for income taxes . . . . . . . . . . . . .</w:t>
            </w:r>
          </w:p>
        </w:tc>
        <w:tc>
          <w:tcPr>
            <w:tcW w:w="152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w:t>
            </w:r>
          </w:p>
        </w:tc>
      </w:tr>
      <w:tr>
        <w:trPr>
          <w:trHeight w:val="203"/>
        </w:trPr>
        <w:tc>
          <w:tcPr>
            <w:tcW w:w="5600" w:type="dxa"/>
            <w:vAlign w:val="bottom"/>
          </w:tcPr>
          <w:p>
            <w:pPr>
              <w:spacing w:after="0"/>
              <w:rPr>
                <w:sz w:val="17"/>
                <w:szCs w:val="17"/>
                <w:color w:val="auto"/>
              </w:rPr>
            </w:pP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Net income (loss)  . . . . . . . . . . .</w:t>
            </w:r>
          </w:p>
        </w:tc>
        <w:tc>
          <w:tcPr>
            <w:tcW w:w="15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495,701</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  (203,898)</w:t>
            </w:r>
          </w:p>
        </w:tc>
      </w:tr>
      <w:tr>
        <w:trPr>
          <w:trHeight w:val="203"/>
        </w:trPr>
        <w:tc>
          <w:tcPr>
            <w:tcW w:w="5600" w:type="dxa"/>
            <w:vAlign w:val="bottom"/>
          </w:tcPr>
          <w:p>
            <w:pPr>
              <w:spacing w:after="0"/>
              <w:rPr>
                <w:sz w:val="17"/>
                <w:szCs w:val="17"/>
                <w:color w:val="auto"/>
              </w:rPr>
            </w:pP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Basic and fully diluted net earnings (loss) per</w:t>
      </w:r>
    </w:p>
    <w:p>
      <w:pPr>
        <w:sectPr>
          <w:pgSz w:w="11900" w:h="16838" w:orient="portrait"/>
          <w:cols w:equalWidth="0" w:num="1">
            <w:col w:w="10219"/>
          </w:cols>
          <w:pgMar w:left="240" w:top="312" w:right="1440" w:bottom="1440" w:gutter="0" w:footer="0" w:header="0"/>
        </w:sectPr>
      </w:pP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common share . . . . . . . . . . . . . . . . . .</w:t>
      </w:r>
    </w:p>
    <w:p>
      <w:pPr>
        <w:spacing w:after="0" w:line="20" w:lineRule="exact"/>
        <w:rPr>
          <w:sz w:val="20"/>
          <w:szCs w:val="20"/>
          <w:color w:val="auto"/>
        </w:rPr>
      </w:pPr>
      <w:r>
        <w:rPr>
          <w:sz w:val="20"/>
          <w:szCs w:val="20"/>
          <w:color w:val="auto"/>
        </w:rPr>
        <w:br w:type="column"/>
      </w:r>
    </w:p>
    <w:p>
      <w:pPr>
        <w:jc w:val="both"/>
        <w:spacing w:after="0" w:line="290" w:lineRule="auto"/>
        <w:rPr>
          <w:sz w:val="20"/>
          <w:szCs w:val="20"/>
          <w:color w:val="auto"/>
        </w:rPr>
      </w:pPr>
      <w:r>
        <w:rPr>
          <w:rFonts w:ascii="Courier New" w:cs="Courier New" w:eastAsia="Courier New" w:hAnsi="Courier New"/>
          <w:sz w:val="16"/>
          <w:szCs w:val="16"/>
          <w:color w:val="auto"/>
        </w:rPr>
        <w:t>$ 0.06 ==========</w:t>
      </w:r>
    </w:p>
    <w:p>
      <w:pPr>
        <w:spacing w:after="0" w:line="20" w:lineRule="exact"/>
        <w:rPr>
          <w:sz w:val="20"/>
          <w:szCs w:val="20"/>
          <w:color w:val="auto"/>
        </w:rPr>
      </w:pPr>
      <w:r>
        <w:rPr>
          <w:sz w:val="20"/>
          <w:szCs w:val="20"/>
          <w:color w:val="auto"/>
        </w:rPr>
        <w:br w:type="column"/>
      </w:r>
    </w:p>
    <w:p>
      <w:pPr>
        <w:spacing w:after="0"/>
        <w:tabs>
          <w:tab w:leader="none" w:pos="6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(0.03)</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7" w:lineRule="exact"/>
        <w:rPr>
          <w:sz w:val="20"/>
          <w:szCs w:val="20"/>
          <w:color w:val="auto"/>
        </w:rPr>
      </w:pPr>
    </w:p>
    <w:p>
      <w:pPr>
        <w:sectPr>
          <w:pgSz w:w="11900" w:h="16838" w:orient="portrait"/>
          <w:cols w:equalWidth="0" w:num="3">
            <w:col w:w="5480" w:space="320"/>
            <w:col w:w="1060" w:space="420"/>
            <w:col w:w="2939"/>
          </w:cols>
          <w:pgMar w:left="240" w:top="312" w:right="1440" w:bottom="1440" w:gutter="0" w:footer="0" w:header="0"/>
          <w:type w:val="continuous"/>
        </w:sectPr>
      </w:pPr>
    </w:p>
    <w:p>
      <w:pPr>
        <w:spacing w:after="0" w:line="200" w:lineRule="exact"/>
        <w:rPr>
          <w:sz w:val="20"/>
          <w:szCs w:val="20"/>
          <w:color w:val="auto"/>
        </w:rPr>
      </w:pPr>
    </w:p>
    <w:p>
      <w:pPr>
        <w:spacing w:after="0" w:line="377"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See accompanying notes</w:t>
      </w:r>
    </w:p>
    <w:p>
      <w:pPr>
        <w:spacing w:after="0" w:line="200" w:lineRule="exact"/>
        <w:rPr>
          <w:sz w:val="20"/>
          <w:szCs w:val="20"/>
          <w:color w:val="auto"/>
        </w:rPr>
      </w:pPr>
    </w:p>
    <w:p>
      <w:pPr>
        <w:spacing w:after="0" w:line="22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312" w:right="1440" w:bottom="1440" w:gutter="0" w:footer="0" w:header="0"/>
          <w:type w:val="continuous"/>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6</w:t>
      </w:r>
    </w:p>
    <w:p>
      <w:pPr>
        <w:ind w:left="2440"/>
        <w:spacing w:after="0" w:line="238" w:lineRule="auto"/>
        <w:rPr>
          <w:sz w:val="20"/>
          <w:szCs w:val="20"/>
          <w:color w:val="auto"/>
        </w:rPr>
      </w:pPr>
      <w:r>
        <w:rPr>
          <w:rFonts w:ascii="Courier New" w:cs="Courier New" w:eastAsia="Courier New" w:hAnsi="Courier New"/>
          <w:sz w:val="18"/>
          <w:szCs w:val="18"/>
          <w:color w:val="auto"/>
        </w:rPr>
        <w:t>GENTNER COMMUNICATIONS CORPORATION</w:t>
      </w:r>
    </w:p>
    <w:p>
      <w:pPr>
        <w:spacing w:after="0" w:line="202"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CONDENSED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40" w:type="dxa"/>
            <w:vAlign w:val="bottom"/>
            <w:gridSpan w:val="3"/>
          </w:tcPr>
          <w:p>
            <w:pPr>
              <w:ind w:left="620"/>
              <w:spacing w:after="0"/>
              <w:rPr>
                <w:sz w:val="20"/>
                <w:szCs w:val="20"/>
                <w:color w:val="auto"/>
              </w:rPr>
            </w:pPr>
            <w:r>
              <w:rPr>
                <w:rFonts w:ascii="Courier New" w:cs="Courier New" w:eastAsia="Courier New" w:hAnsi="Courier New"/>
                <w:sz w:val="18"/>
                <w:szCs w:val="18"/>
                <w:color w:val="auto"/>
              </w:rPr>
              <w:t>(Unaudited)</w:t>
            </w:r>
          </w:p>
        </w:tc>
      </w:tr>
      <w:tr>
        <w:trPr>
          <w:trHeight w:val="203"/>
        </w:trPr>
        <w:tc>
          <w:tcPr>
            <w:tcW w:w="7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4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Six Months Ended</w:t>
            </w:r>
          </w:p>
        </w:tc>
      </w:tr>
      <w:tr>
        <w:trPr>
          <w:trHeight w:val="203"/>
        </w:trPr>
        <w:tc>
          <w:tcPr>
            <w:tcW w:w="7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40" w:type="dxa"/>
            <w:vAlign w:val="bottom"/>
            <w:gridSpan w:val="3"/>
          </w:tcPr>
          <w:p>
            <w:pPr>
              <w:ind w:left="620"/>
              <w:spacing w:after="0" w:line="203" w:lineRule="exact"/>
              <w:rPr>
                <w:sz w:val="20"/>
                <w:szCs w:val="20"/>
                <w:color w:val="auto"/>
              </w:rPr>
            </w:pPr>
            <w:r>
              <w:rPr>
                <w:rFonts w:ascii="Courier New" w:cs="Courier New" w:eastAsia="Courier New" w:hAnsi="Courier New"/>
                <w:sz w:val="18"/>
                <w:szCs w:val="18"/>
                <w:color w:val="auto"/>
              </w:rPr>
              <w:t>December 31,</w:t>
            </w:r>
          </w:p>
        </w:tc>
      </w:tr>
      <w:tr>
        <w:trPr>
          <w:trHeight w:val="203"/>
        </w:trPr>
        <w:tc>
          <w:tcPr>
            <w:tcW w:w="7060" w:type="dxa"/>
            <w:vAlign w:val="bottom"/>
          </w:tcPr>
          <w:p>
            <w:pPr>
              <w:spacing w:after="0"/>
              <w:rPr>
                <w:sz w:val="17"/>
                <w:szCs w:val="17"/>
                <w:color w:val="auto"/>
              </w:rPr>
            </w:pPr>
          </w:p>
        </w:tc>
        <w:tc>
          <w:tcPr>
            <w:tcW w:w="2860" w:type="dxa"/>
            <w:vAlign w:val="bottom"/>
            <w:gridSpan w:val="4"/>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1997</w:t>
            </w:r>
          </w:p>
        </w:tc>
        <w:tc>
          <w:tcPr>
            <w:tcW w:w="220" w:type="dxa"/>
            <w:vAlign w:val="bottom"/>
          </w:tcPr>
          <w:p>
            <w:pPr>
              <w:spacing w:after="0"/>
              <w:rPr>
                <w:sz w:val="17"/>
                <w:szCs w:val="17"/>
                <w:color w:val="auto"/>
              </w:rPr>
            </w:pPr>
          </w:p>
        </w:tc>
        <w:tc>
          <w:tcPr>
            <w:tcW w:w="1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1996</w:t>
            </w:r>
          </w:p>
        </w:tc>
      </w:tr>
      <w:tr>
        <w:trPr>
          <w:trHeight w:val="203"/>
        </w:trPr>
        <w:tc>
          <w:tcPr>
            <w:tcW w:w="7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C&gt;</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706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operating activities:</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7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Cash received from customers . . . . . . . . . . . . . . . .</w:t>
            </w:r>
          </w:p>
        </w:tc>
        <w:tc>
          <w:tcPr>
            <w:tcW w:w="14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$ 7,825,724</w:t>
            </w:r>
          </w:p>
        </w:tc>
        <w:tc>
          <w:tcPr>
            <w:tcW w:w="13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$ 6,265,022</w:t>
            </w:r>
          </w:p>
        </w:tc>
      </w:tr>
      <w:tr>
        <w:trPr>
          <w:trHeight w:val="203"/>
        </w:trPr>
        <w:tc>
          <w:tcPr>
            <w:tcW w:w="7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Cash paid to suppliers and employees . . . . . . . . . . . .</w:t>
            </w:r>
          </w:p>
        </w:tc>
        <w:tc>
          <w:tcPr>
            <w:tcW w:w="22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(7,163,714)</w:t>
            </w:r>
          </w:p>
        </w:tc>
        <w:tc>
          <w:tcPr>
            <w:tcW w:w="2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(5,352,098)</w:t>
            </w:r>
          </w:p>
        </w:tc>
      </w:tr>
      <w:tr>
        <w:trPr>
          <w:trHeight w:val="203"/>
        </w:trPr>
        <w:tc>
          <w:tcPr>
            <w:tcW w:w="7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Interest received  . . . . . . . . . . . . . . . . . . . . .</w:t>
            </w:r>
          </w:p>
        </w:tc>
        <w:tc>
          <w:tcPr>
            <w:tcW w:w="22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7,212</w:t>
            </w:r>
          </w:p>
        </w:tc>
        <w:tc>
          <w:tcPr>
            <w:tcW w:w="22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Interest paid  . . . . . . . . . . . . . . . . . . . . . . .</w:t>
            </w:r>
          </w:p>
        </w:tc>
        <w:tc>
          <w:tcPr>
            <w:tcW w:w="22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(127,654)</w:t>
            </w:r>
          </w:p>
        </w:tc>
        <w:tc>
          <w:tcPr>
            <w:tcW w:w="2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(71,427)</w:t>
            </w:r>
          </w:p>
        </w:tc>
      </w:tr>
      <w:tr>
        <w:trPr>
          <w:trHeight w:val="203"/>
        </w:trPr>
        <w:tc>
          <w:tcPr>
            <w:tcW w:w="7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Income taxes refunded (paid) . . . . . . . . . . . . . . . .</w:t>
            </w:r>
          </w:p>
        </w:tc>
        <w:tc>
          <w:tcPr>
            <w:tcW w:w="22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(900)</w:t>
            </w:r>
          </w:p>
        </w:tc>
        <w:tc>
          <w:tcPr>
            <w:tcW w:w="22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19,100</w:t>
            </w:r>
          </w:p>
        </w:tc>
      </w:tr>
      <w:tr>
        <w:trPr>
          <w:trHeight w:val="203"/>
        </w:trPr>
        <w:tc>
          <w:tcPr>
            <w:tcW w:w="7060" w:type="dxa"/>
            <w:vAlign w:val="bottom"/>
          </w:tcPr>
          <w:p>
            <w:pPr>
              <w:spacing w:after="0"/>
              <w:rPr>
                <w:sz w:val="17"/>
                <w:szCs w:val="17"/>
                <w:color w:val="auto"/>
              </w:rPr>
            </w:pPr>
          </w:p>
        </w:tc>
        <w:tc>
          <w:tcPr>
            <w:tcW w:w="14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Net cash provided by operating activities  . . . . . .</w:t>
            </w:r>
          </w:p>
        </w:tc>
        <w:tc>
          <w:tcPr>
            <w:tcW w:w="220" w:type="dxa"/>
            <w:vAlign w:val="bottom"/>
          </w:tcPr>
          <w:p>
            <w:pPr>
              <w:spacing w:after="0"/>
              <w:rPr>
                <w:sz w:val="24"/>
                <w:szCs w:val="24"/>
                <w:color w:val="auto"/>
              </w:rPr>
            </w:pPr>
          </w:p>
        </w:tc>
        <w:tc>
          <w:tcPr>
            <w:tcW w:w="12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540,668</w:t>
            </w:r>
          </w:p>
        </w:tc>
        <w:tc>
          <w:tcPr>
            <w:tcW w:w="220" w:type="dxa"/>
            <w:vAlign w:val="bottom"/>
          </w:tcPr>
          <w:p>
            <w:pPr>
              <w:spacing w:after="0"/>
              <w:rPr>
                <w:sz w:val="24"/>
                <w:szCs w:val="24"/>
                <w:color w:val="auto"/>
              </w:rPr>
            </w:pP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860,597</w:t>
            </w:r>
          </w:p>
        </w:tc>
      </w:tr>
      <w:tr>
        <w:trPr>
          <w:trHeight w:val="203"/>
        </w:trPr>
        <w:tc>
          <w:tcPr>
            <w:tcW w:w="7060" w:type="dxa"/>
            <w:vAlign w:val="bottom"/>
          </w:tcPr>
          <w:p>
            <w:pPr>
              <w:spacing w:after="0"/>
              <w:rPr>
                <w:sz w:val="17"/>
                <w:szCs w:val="17"/>
                <w:color w:val="auto"/>
              </w:rPr>
            </w:pPr>
          </w:p>
        </w:tc>
        <w:tc>
          <w:tcPr>
            <w:tcW w:w="14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060" w:type="dxa"/>
            <w:vAlign w:val="bottom"/>
          </w:tcPr>
          <w:p>
            <w:pPr>
              <w:spacing w:after="0"/>
              <w:rPr>
                <w:sz w:val="20"/>
                <w:szCs w:val="20"/>
                <w:color w:val="auto"/>
              </w:rPr>
            </w:pPr>
            <w:r>
              <w:rPr>
                <w:rFonts w:ascii="Courier New" w:cs="Courier New" w:eastAsia="Courier New" w:hAnsi="Courier New"/>
                <w:sz w:val="18"/>
                <w:szCs w:val="18"/>
                <w:color w:val="auto"/>
              </w:rPr>
              <w:t>Cash flows from investing activities:</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7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Purchases of property and equipment  . . . . . . . . . . . .</w:t>
            </w:r>
          </w:p>
        </w:tc>
        <w:tc>
          <w:tcPr>
            <w:tcW w:w="22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(149,102)</w:t>
            </w:r>
          </w:p>
        </w:tc>
        <w:tc>
          <w:tcPr>
            <w:tcW w:w="2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(607,769)</w:t>
            </w:r>
          </w:p>
        </w:tc>
      </w:tr>
      <w:tr>
        <w:trPr>
          <w:trHeight w:val="203"/>
        </w:trPr>
        <w:tc>
          <w:tcPr>
            <w:tcW w:w="7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Issuance of note receivable  . . . . . . . . . . . . . . . .</w:t>
            </w:r>
          </w:p>
        </w:tc>
        <w:tc>
          <w:tcPr>
            <w:tcW w:w="220" w:type="dxa"/>
            <w:vAlign w:val="bottom"/>
          </w:tcPr>
          <w:p>
            <w:pPr>
              <w:spacing w:after="0"/>
              <w:rPr>
                <w:sz w:val="17"/>
                <w:szCs w:val="17"/>
                <w:color w:val="auto"/>
              </w:rPr>
            </w:pPr>
          </w:p>
        </w:tc>
        <w:tc>
          <w:tcPr>
            <w:tcW w:w="12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(147,327)</w:t>
            </w:r>
          </w:p>
        </w:tc>
      </w:tr>
      <w:tr>
        <w:trPr>
          <w:trHeight w:val="203"/>
        </w:trPr>
        <w:tc>
          <w:tcPr>
            <w:tcW w:w="7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Increase in other assets . . . . . . . . . . . . . . . . . .</w:t>
            </w:r>
          </w:p>
        </w:tc>
        <w:tc>
          <w:tcPr>
            <w:tcW w:w="22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(2,099)</w:t>
            </w:r>
          </w:p>
        </w:tc>
        <w:tc>
          <w:tcPr>
            <w:tcW w:w="2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(69,047)</w:t>
            </w:r>
          </w:p>
        </w:tc>
      </w:tr>
      <w:tr>
        <w:trPr>
          <w:trHeight w:val="203"/>
        </w:trPr>
        <w:tc>
          <w:tcPr>
            <w:tcW w:w="7060" w:type="dxa"/>
            <w:vAlign w:val="bottom"/>
          </w:tcPr>
          <w:p>
            <w:pPr>
              <w:spacing w:after="0"/>
              <w:rPr>
                <w:sz w:val="17"/>
                <w:szCs w:val="17"/>
                <w:color w:val="auto"/>
              </w:rPr>
            </w:pPr>
          </w:p>
        </w:tc>
        <w:tc>
          <w:tcPr>
            <w:tcW w:w="14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Net cash used in investing activities  . . . . . . . .</w:t>
            </w:r>
          </w:p>
        </w:tc>
        <w:tc>
          <w:tcPr>
            <w:tcW w:w="22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(151,201)</w:t>
            </w: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(824,143)</w:t>
            </w:r>
          </w:p>
        </w:tc>
      </w:tr>
      <w:tr>
        <w:trPr>
          <w:trHeight w:val="203"/>
        </w:trPr>
        <w:tc>
          <w:tcPr>
            <w:tcW w:w="7060" w:type="dxa"/>
            <w:vAlign w:val="bottom"/>
          </w:tcPr>
          <w:p>
            <w:pPr>
              <w:spacing w:after="0"/>
              <w:rPr>
                <w:sz w:val="17"/>
                <w:szCs w:val="17"/>
                <w:color w:val="auto"/>
              </w:rPr>
            </w:pPr>
          </w:p>
        </w:tc>
        <w:tc>
          <w:tcPr>
            <w:tcW w:w="14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060" w:type="dxa"/>
            <w:vAlign w:val="bottom"/>
          </w:tcPr>
          <w:p>
            <w:pPr>
              <w:spacing w:after="0"/>
              <w:rPr>
                <w:sz w:val="20"/>
                <w:szCs w:val="20"/>
                <w:color w:val="auto"/>
              </w:rPr>
            </w:pPr>
            <w:r>
              <w:rPr>
                <w:rFonts w:ascii="Courier New" w:cs="Courier New" w:eastAsia="Courier New" w:hAnsi="Courier New"/>
                <w:sz w:val="18"/>
                <w:szCs w:val="18"/>
                <w:color w:val="auto"/>
              </w:rPr>
              <w:t>Cash flows from financing activities:</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7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Proceeds from employee stock option exercises  . . . . . . .</w:t>
            </w:r>
          </w:p>
        </w:tc>
        <w:tc>
          <w:tcPr>
            <w:tcW w:w="22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8,530</w:t>
            </w:r>
          </w:p>
        </w:tc>
        <w:tc>
          <w:tcPr>
            <w:tcW w:w="22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Net repayments under line of credit  . . . . . . . . . . . .</w:t>
            </w:r>
          </w:p>
        </w:tc>
        <w:tc>
          <w:tcPr>
            <w:tcW w:w="22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(191,632)</w:t>
            </w:r>
          </w:p>
        </w:tc>
        <w:tc>
          <w:tcPr>
            <w:tcW w:w="2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(21,264)</w:t>
            </w:r>
          </w:p>
        </w:tc>
      </w:tr>
      <w:tr>
        <w:trPr>
          <w:trHeight w:val="203"/>
        </w:trPr>
        <w:tc>
          <w:tcPr>
            <w:tcW w:w="7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Proceeds from issuance of long-term debt . . . . . . . . . .</w:t>
            </w:r>
          </w:p>
        </w:tc>
        <w:tc>
          <w:tcPr>
            <w:tcW w:w="220" w:type="dxa"/>
            <w:vAlign w:val="bottom"/>
          </w:tcPr>
          <w:p>
            <w:pPr>
              <w:spacing w:after="0"/>
              <w:rPr>
                <w:sz w:val="17"/>
                <w:szCs w:val="17"/>
                <w:color w:val="auto"/>
              </w:rPr>
            </w:pPr>
          </w:p>
        </w:tc>
        <w:tc>
          <w:tcPr>
            <w:tcW w:w="12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319,669</w:t>
            </w:r>
          </w:p>
        </w:tc>
      </w:tr>
      <w:tr>
        <w:trPr>
          <w:trHeight w:val="203"/>
        </w:trPr>
        <w:tc>
          <w:tcPr>
            <w:tcW w:w="7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Principal payments of capital lease obligations  . . . . . .</w:t>
            </w:r>
          </w:p>
        </w:tc>
        <w:tc>
          <w:tcPr>
            <w:tcW w:w="22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(133,794)</w:t>
            </w:r>
          </w:p>
        </w:tc>
        <w:tc>
          <w:tcPr>
            <w:tcW w:w="2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(90,873)</w:t>
            </w:r>
          </w:p>
        </w:tc>
      </w:tr>
      <w:tr>
        <w:trPr>
          <w:trHeight w:val="203"/>
        </w:trPr>
        <w:tc>
          <w:tcPr>
            <w:tcW w:w="7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Principal payments of long-term debt . . . . . . . . . . . .</w:t>
            </w:r>
          </w:p>
        </w:tc>
        <w:tc>
          <w:tcPr>
            <w:tcW w:w="22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(124,154)</w:t>
            </w:r>
          </w:p>
        </w:tc>
        <w:tc>
          <w:tcPr>
            <w:tcW w:w="2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(94,101)</w:t>
            </w:r>
          </w:p>
        </w:tc>
      </w:tr>
      <w:tr>
        <w:trPr>
          <w:trHeight w:val="203"/>
        </w:trPr>
        <w:tc>
          <w:tcPr>
            <w:tcW w:w="7060" w:type="dxa"/>
            <w:vAlign w:val="bottom"/>
          </w:tcPr>
          <w:p>
            <w:pPr>
              <w:spacing w:after="0"/>
              <w:rPr>
                <w:sz w:val="17"/>
                <w:szCs w:val="17"/>
                <w:color w:val="auto"/>
              </w:rPr>
            </w:pPr>
          </w:p>
        </w:tc>
        <w:tc>
          <w:tcPr>
            <w:tcW w:w="14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Net cash (used in) provided by financing activities. .</w:t>
            </w:r>
          </w:p>
        </w:tc>
        <w:tc>
          <w:tcPr>
            <w:tcW w:w="22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(441,050)</w:t>
            </w:r>
          </w:p>
        </w:tc>
        <w:tc>
          <w:tcPr>
            <w:tcW w:w="220" w:type="dxa"/>
            <w:vAlign w:val="bottom"/>
          </w:tcPr>
          <w:p>
            <w:pPr>
              <w:spacing w:after="0"/>
              <w:rPr>
                <w:sz w:val="24"/>
                <w:szCs w:val="24"/>
                <w:color w:val="auto"/>
              </w:rPr>
            </w:pP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113,431</w:t>
            </w:r>
          </w:p>
        </w:tc>
      </w:tr>
      <w:tr>
        <w:trPr>
          <w:trHeight w:val="203"/>
        </w:trPr>
        <w:tc>
          <w:tcPr>
            <w:tcW w:w="7060" w:type="dxa"/>
            <w:vAlign w:val="bottom"/>
          </w:tcPr>
          <w:p>
            <w:pPr>
              <w:spacing w:after="0"/>
              <w:rPr>
                <w:sz w:val="17"/>
                <w:szCs w:val="17"/>
                <w:color w:val="auto"/>
              </w:rPr>
            </w:pPr>
          </w:p>
        </w:tc>
        <w:tc>
          <w:tcPr>
            <w:tcW w:w="14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06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7"/>
              </w:rPr>
              <w:t>Net (decrease) increase in cash  . . . . . . . . . . . . . . . . .</w:t>
            </w:r>
          </w:p>
        </w:tc>
        <w:tc>
          <w:tcPr>
            <w:tcW w:w="22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(51,583)</w:t>
            </w:r>
          </w:p>
        </w:tc>
        <w:tc>
          <w:tcPr>
            <w:tcW w:w="220" w:type="dxa"/>
            <w:vAlign w:val="bottom"/>
          </w:tcPr>
          <w:p>
            <w:pPr>
              <w:spacing w:after="0"/>
              <w:rPr>
                <w:sz w:val="24"/>
                <w:szCs w:val="24"/>
                <w:color w:val="auto"/>
              </w:rPr>
            </w:pP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149,885</w:t>
            </w:r>
          </w:p>
        </w:tc>
      </w:tr>
      <w:tr>
        <w:trPr>
          <w:trHeight w:val="203"/>
        </w:trPr>
        <w:tc>
          <w:tcPr>
            <w:tcW w:w="7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Cash at the beginning of the year  . . . . . . . . . . . . . . . .</w:t>
            </w:r>
          </w:p>
        </w:tc>
        <w:tc>
          <w:tcPr>
            <w:tcW w:w="22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63,992</w:t>
            </w:r>
          </w:p>
        </w:tc>
        <w:tc>
          <w:tcPr>
            <w:tcW w:w="22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213,763</w:t>
            </w:r>
          </w:p>
        </w:tc>
      </w:tr>
      <w:tr>
        <w:trPr>
          <w:trHeight w:val="203"/>
        </w:trPr>
        <w:tc>
          <w:tcPr>
            <w:tcW w:w="7060" w:type="dxa"/>
            <w:vAlign w:val="bottom"/>
          </w:tcPr>
          <w:p>
            <w:pPr>
              <w:spacing w:after="0"/>
              <w:rPr>
                <w:sz w:val="17"/>
                <w:szCs w:val="17"/>
                <w:color w:val="auto"/>
              </w:rPr>
            </w:pPr>
          </w:p>
        </w:tc>
        <w:tc>
          <w:tcPr>
            <w:tcW w:w="14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06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7"/>
              </w:rPr>
              <w:t>Cash at the end of the period  . . . . . . . . . . . . . . . . . .</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12,409</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363,648</w:t>
            </w:r>
          </w:p>
        </w:tc>
      </w:tr>
      <w:tr>
        <w:trPr>
          <w:trHeight w:val="203"/>
        </w:trPr>
        <w:tc>
          <w:tcPr>
            <w:tcW w:w="7060" w:type="dxa"/>
            <w:vAlign w:val="bottom"/>
          </w:tcPr>
          <w:p>
            <w:pPr>
              <w:spacing w:after="0"/>
              <w:rPr>
                <w:sz w:val="17"/>
                <w:szCs w:val="17"/>
                <w:color w:val="auto"/>
              </w:rPr>
            </w:pPr>
          </w:p>
        </w:tc>
        <w:tc>
          <w:tcPr>
            <w:tcW w:w="14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7060" w:type="dxa"/>
            <w:vAlign w:val="bottom"/>
          </w:tcPr>
          <w:p>
            <w:pPr>
              <w:spacing w:after="0"/>
              <w:rPr>
                <w:sz w:val="20"/>
                <w:szCs w:val="20"/>
                <w:color w:val="auto"/>
              </w:rPr>
            </w:pPr>
            <w:r>
              <w:rPr>
                <w:rFonts w:ascii="Courier New" w:cs="Courier New" w:eastAsia="Courier New" w:hAnsi="Courier New"/>
                <w:sz w:val="18"/>
                <w:szCs w:val="18"/>
                <w:color w:val="auto"/>
              </w:rPr>
              <w:t>Supplemental disclosure of cash flow information:</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7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Property and equipment financed by capital leases  . . . . .</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11,545</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293,701</w:t>
            </w:r>
          </w:p>
        </w:tc>
      </w:tr>
      <w:tr>
        <w:trPr>
          <w:trHeight w:val="203"/>
        </w:trPr>
        <w:tc>
          <w:tcPr>
            <w:tcW w:w="7060" w:type="dxa"/>
            <w:vAlign w:val="bottom"/>
          </w:tcPr>
          <w:p>
            <w:pPr>
              <w:spacing w:after="0"/>
              <w:rPr>
                <w:sz w:val="17"/>
                <w:szCs w:val="17"/>
                <w:color w:val="auto"/>
              </w:rPr>
            </w:pPr>
          </w:p>
        </w:tc>
        <w:tc>
          <w:tcPr>
            <w:tcW w:w="14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See accompanying notes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312" w:right="1440"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7</w:t>
      </w:r>
    </w:p>
    <w:p>
      <w:pPr>
        <w:ind w:left="2440"/>
        <w:spacing w:after="0" w:line="238" w:lineRule="auto"/>
        <w:rPr>
          <w:sz w:val="20"/>
          <w:szCs w:val="20"/>
          <w:color w:val="auto"/>
        </w:rPr>
      </w:pPr>
      <w:r>
        <w:rPr>
          <w:rFonts w:ascii="Courier New" w:cs="Courier New" w:eastAsia="Courier New" w:hAnsi="Courier New"/>
          <w:sz w:val="18"/>
          <w:szCs w:val="18"/>
          <w:color w:val="auto"/>
        </w:rPr>
        <w:t>GENTNER COMMUNICATIONS CORPORATION</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FINANCIAL STATEMENTS</w:t>
      </w:r>
    </w:p>
    <w:p>
      <w:pPr>
        <w:jc w:val="center"/>
        <w:ind w:right="1879"/>
        <w:spacing w:after="0" w:line="238" w:lineRule="auto"/>
        <w:rPr>
          <w:sz w:val="20"/>
          <w:szCs w:val="20"/>
          <w:color w:val="auto"/>
        </w:rPr>
      </w:pPr>
      <w:r>
        <w:rPr>
          <w:rFonts w:ascii="Courier New" w:cs="Courier New" w:eastAsia="Courier New" w:hAnsi="Courier New"/>
          <w:sz w:val="18"/>
          <w:szCs w:val="18"/>
          <w:color w:val="auto"/>
        </w:rPr>
        <w:t>DECEMBER 31, 1997</w:t>
      </w:r>
    </w:p>
    <w:p>
      <w:pPr>
        <w:jc w:val="center"/>
        <w:ind w:right="1879"/>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3" w:lineRule="exact"/>
        <w:rPr>
          <w:sz w:val="20"/>
          <w:szCs w:val="20"/>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BASIS OF PRESENTATION</w:t>
      </w:r>
    </w:p>
    <w:p>
      <w:pPr>
        <w:spacing w:after="0" w:line="207" w:lineRule="exact"/>
        <w:rPr>
          <w:sz w:val="20"/>
          <w:szCs w:val="20"/>
          <w:color w:val="auto"/>
        </w:rPr>
      </w:pPr>
    </w:p>
    <w:p>
      <w:pPr>
        <w:jc w:val="both"/>
        <w:ind w:right="1999" w:firstLine="948"/>
        <w:spacing w:after="0" w:line="268" w:lineRule="auto"/>
        <w:rPr>
          <w:sz w:val="20"/>
          <w:szCs w:val="20"/>
          <w:color w:val="auto"/>
        </w:rPr>
      </w:pPr>
      <w:r>
        <w:rPr>
          <w:rFonts w:ascii="Courier New" w:cs="Courier New" w:eastAsia="Courier New" w:hAnsi="Courier New"/>
          <w:sz w:val="16"/>
          <w:szCs w:val="16"/>
          <w:color w:val="auto"/>
        </w:rPr>
        <w:t>The accompanying unaudited financial statements have been prepared in accordance with generally accepted accounting principles for interim financial information and with the instructions to Form 10-QSB of Regulation S-B.</w:t>
      </w:r>
    </w:p>
    <w:p>
      <w:pPr>
        <w:spacing w:after="0" w:line="1"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Accordingly, certain information and footnote disclosures normally included in complete financial statements have been condensed or omitted. These financial statements should be read in conjunction with the financial statements and footnotes thereto included in the Company's 1997 Annual Report and Form 10-KSB.</w:t>
      </w:r>
    </w:p>
    <w:p>
      <w:pPr>
        <w:spacing w:after="0" w:line="182" w:lineRule="exact"/>
        <w:rPr>
          <w:sz w:val="20"/>
          <w:szCs w:val="20"/>
          <w:color w:val="auto"/>
        </w:rPr>
      </w:pPr>
    </w:p>
    <w:p>
      <w:pPr>
        <w:jc w:val="both"/>
        <w:ind w:right="2099" w:firstLine="948"/>
        <w:spacing w:after="0" w:line="275" w:lineRule="auto"/>
        <w:rPr>
          <w:sz w:val="20"/>
          <w:szCs w:val="20"/>
          <w:color w:val="auto"/>
        </w:rPr>
      </w:pPr>
      <w:r>
        <w:rPr>
          <w:rFonts w:ascii="Courier New" w:cs="Courier New" w:eastAsia="Courier New" w:hAnsi="Courier New"/>
          <w:sz w:val="16"/>
          <w:szCs w:val="16"/>
          <w:color w:val="auto"/>
        </w:rPr>
        <w:t>In the opinion of management, all adjustments (consisting of normal recurring adjustments) considered necessary for a fair presentation have been included. The results of operations for interim periods are not necessarily indicative of the results of operations to be expected for the full year.</w:t>
      </w:r>
    </w:p>
    <w:p>
      <w:pPr>
        <w:spacing w:after="0" w:line="177"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EARNINGS (LOSS) PER COMMON SHARE</w:t>
      </w:r>
    </w:p>
    <w:p>
      <w:pPr>
        <w:spacing w:after="0" w:line="207" w:lineRule="exact"/>
        <w:rPr>
          <w:sz w:val="20"/>
          <w:szCs w:val="20"/>
          <w:color w:val="auto"/>
        </w:rPr>
      </w:pPr>
    </w:p>
    <w:p>
      <w:pPr>
        <w:ind w:right="2199" w:firstLine="948"/>
        <w:spacing w:after="0" w:line="237" w:lineRule="auto"/>
        <w:rPr>
          <w:sz w:val="20"/>
          <w:szCs w:val="20"/>
          <w:color w:val="auto"/>
        </w:rPr>
      </w:pPr>
      <w:r>
        <w:rPr>
          <w:rFonts w:ascii="Courier New" w:cs="Courier New" w:eastAsia="Courier New" w:hAnsi="Courier New"/>
          <w:sz w:val="18"/>
          <w:szCs w:val="18"/>
          <w:color w:val="auto"/>
        </w:rPr>
        <w:t>Earnings (loss) per common share was calculated using the modified treasury stock method. The weighted average number of common shares outstanding was 8,076,408 and 7,662,375 respectively, for the three months ended December 31, 1997 and 1996. For the six-month periods then ended, the amounts were 7,916,486 and 7,662,375, respectively. For the year ended June 30, 1997, stock options and warrants to purchase common stock have been excluded from the presented computation of per share amounts inasmuch as the effects are either immaterial or antidilutive.</w:t>
      </w:r>
    </w:p>
    <w:p>
      <w:pPr>
        <w:spacing w:after="0" w:line="212" w:lineRule="exact"/>
        <w:rPr>
          <w:sz w:val="20"/>
          <w:szCs w:val="20"/>
          <w:color w:val="auto"/>
        </w:rPr>
      </w:pPr>
    </w:p>
    <w:p>
      <w:pPr>
        <w:ind w:right="1999" w:firstLine="948"/>
        <w:spacing w:after="0" w:line="271" w:lineRule="auto"/>
        <w:rPr>
          <w:sz w:val="20"/>
          <w:szCs w:val="20"/>
          <w:color w:val="auto"/>
        </w:rPr>
      </w:pPr>
      <w:r>
        <w:rPr>
          <w:rFonts w:ascii="Courier New" w:cs="Courier New" w:eastAsia="Courier New" w:hAnsi="Courier New"/>
          <w:sz w:val="16"/>
          <w:szCs w:val="16"/>
          <w:color w:val="auto"/>
        </w:rPr>
        <w:t>In 1997, the Financial Accounting Standards Board issued Statement of Financial Accountings Standards No. 128, Earnings per Share. Statement 128 replaced the previously reported primary and fully diluted earnings per share with basic and diluted earnings per share. Unlike primary earnings per share, basic earnings per share excludes any dilutive effects of options, warrants, and convertible securities. Diluted earnings per share is very similar to the previously reported fully diluted earnings per share. The Company has adopted FAS 128. All earnings per share amounts for all periods have been presented, and where necessary, restated to conform to the Statement 128 requirements.</w:t>
      </w:r>
    </w:p>
    <w:p>
      <w:pPr>
        <w:spacing w:after="0" w:line="178" w:lineRule="exact"/>
        <w:rPr>
          <w:sz w:val="20"/>
          <w:szCs w:val="20"/>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INVENTORY</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Inventory is summarized as follows: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3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700" w:type="dxa"/>
            <w:vAlign w:val="bottom"/>
          </w:tcPr>
          <w:p>
            <w:pPr>
              <w:spacing w:after="0"/>
              <w:rPr>
                <w:sz w:val="20"/>
                <w:szCs w:val="20"/>
                <w:color w:val="auto"/>
              </w:rPr>
            </w:pPr>
            <w:r>
              <w:rPr>
                <w:rFonts w:ascii="Courier New" w:cs="Courier New" w:eastAsia="Courier New" w:hAnsi="Courier New"/>
                <w:sz w:val="18"/>
                <w:szCs w:val="18"/>
                <w:color w:val="auto"/>
              </w:rPr>
              <w:t>(Unaudited)</w:t>
            </w:r>
          </w:p>
        </w:tc>
        <w:tc>
          <w:tcPr>
            <w:tcW w:w="6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December 30,</w:t>
            </w:r>
          </w:p>
        </w:tc>
        <w:tc>
          <w:tcPr>
            <w:tcW w:w="62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June 30,</w:t>
            </w:r>
          </w:p>
        </w:tc>
      </w:tr>
      <w:tr>
        <w:trPr>
          <w:trHeight w:val="203"/>
        </w:trPr>
        <w:tc>
          <w:tcPr>
            <w:tcW w:w="3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7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1997</w:t>
            </w:r>
          </w:p>
        </w:tc>
        <w:tc>
          <w:tcPr>
            <w:tcW w:w="6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1997</w:t>
            </w:r>
          </w:p>
        </w:tc>
      </w:tr>
      <w:tr>
        <w:trPr>
          <w:trHeight w:val="203"/>
        </w:trPr>
        <w:tc>
          <w:tcPr>
            <w:tcW w:w="3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7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320" w:type="dxa"/>
            <w:vAlign w:val="bottom"/>
          </w:tcPr>
          <w:p>
            <w:pPr>
              <w:spacing w:after="0"/>
              <w:rPr>
                <w:sz w:val="20"/>
                <w:szCs w:val="20"/>
                <w:color w:val="auto"/>
              </w:rPr>
            </w:pPr>
            <w:r>
              <w:rPr>
                <w:rFonts w:ascii="Courier New" w:cs="Courier New" w:eastAsia="Courier New" w:hAnsi="Courier New"/>
                <w:sz w:val="18"/>
                <w:szCs w:val="18"/>
                <w:color w:val="auto"/>
              </w:rPr>
              <w:t>Raw Materials</w:t>
            </w:r>
          </w:p>
        </w:tc>
        <w:tc>
          <w:tcPr>
            <w:tcW w:w="8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928,238</w:t>
            </w:r>
          </w:p>
        </w:tc>
        <w:tc>
          <w:tcPr>
            <w:tcW w:w="6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897,481</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Work in progress</w:t>
            </w:r>
          </w:p>
        </w:tc>
        <w:tc>
          <w:tcPr>
            <w:tcW w:w="880" w:type="dxa"/>
            <w:vAlign w:val="bottom"/>
          </w:tcPr>
          <w:p>
            <w:pPr>
              <w:spacing w:after="0"/>
              <w:rPr>
                <w:sz w:val="17"/>
                <w:szCs w:val="17"/>
                <w:color w:val="auto"/>
              </w:rPr>
            </w:pPr>
          </w:p>
        </w:tc>
        <w:tc>
          <w:tcPr>
            <w:tcW w:w="17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959,837</w:t>
            </w:r>
          </w:p>
        </w:tc>
        <w:tc>
          <w:tcPr>
            <w:tcW w:w="6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648,712</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Finished Goods</w:t>
            </w:r>
          </w:p>
        </w:tc>
        <w:tc>
          <w:tcPr>
            <w:tcW w:w="880" w:type="dxa"/>
            <w:vAlign w:val="bottom"/>
          </w:tcPr>
          <w:p>
            <w:pPr>
              <w:spacing w:after="0"/>
              <w:rPr>
                <w:sz w:val="17"/>
                <w:szCs w:val="17"/>
                <w:color w:val="auto"/>
              </w:rPr>
            </w:pPr>
          </w:p>
        </w:tc>
        <w:tc>
          <w:tcPr>
            <w:tcW w:w="17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1,289,059</w:t>
            </w:r>
          </w:p>
        </w:tc>
        <w:tc>
          <w:tcPr>
            <w:tcW w:w="6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1,122,568</w:t>
            </w:r>
          </w:p>
        </w:tc>
      </w:tr>
      <w:tr>
        <w:trPr>
          <w:trHeight w:val="203"/>
        </w:trPr>
        <w:tc>
          <w:tcPr>
            <w:tcW w:w="3320" w:type="dxa"/>
            <w:vAlign w:val="bottom"/>
          </w:tcPr>
          <w:p>
            <w:pPr>
              <w:spacing w:after="0"/>
              <w:rPr>
                <w:sz w:val="17"/>
                <w:szCs w:val="17"/>
                <w:color w:val="auto"/>
              </w:rPr>
            </w:pPr>
          </w:p>
        </w:tc>
        <w:tc>
          <w:tcPr>
            <w:tcW w:w="25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Total inventory</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3,177,134</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2,668,761</w:t>
            </w:r>
          </w:p>
        </w:tc>
      </w:tr>
      <w:tr>
        <w:trPr>
          <w:trHeight w:val="203"/>
        </w:trPr>
        <w:tc>
          <w:tcPr>
            <w:tcW w:w="3320" w:type="dxa"/>
            <w:vAlign w:val="bottom"/>
          </w:tcPr>
          <w:p>
            <w:pPr>
              <w:spacing w:after="0"/>
              <w:rPr>
                <w:sz w:val="17"/>
                <w:szCs w:val="17"/>
                <w:color w:val="auto"/>
              </w:rPr>
            </w:pPr>
          </w:p>
        </w:tc>
        <w:tc>
          <w:tcPr>
            <w:tcW w:w="25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312" w:right="1440" w:bottom="1440" w:gutter="0" w:footer="0" w:header="0"/>
          <w:type w:val="continuous"/>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8</w:t>
      </w:r>
    </w:p>
    <w:p>
      <w:pPr>
        <w:jc w:val="center"/>
        <w:ind w:right="1879"/>
        <w:spacing w:after="0" w:line="238" w:lineRule="auto"/>
        <w:rPr>
          <w:sz w:val="20"/>
          <w:szCs w:val="20"/>
          <w:color w:val="auto"/>
        </w:rPr>
      </w:pPr>
      <w:r>
        <w:rPr>
          <w:rFonts w:ascii="Courier New" w:cs="Courier New" w:eastAsia="Courier New" w:hAnsi="Courier New"/>
          <w:sz w:val="18"/>
          <w:szCs w:val="18"/>
          <w:color w:val="auto"/>
        </w:rPr>
        <w:t>MANAGEMENT'S DISCUSSION AND ANALYSIS OF FINANCIAL</w:t>
      </w:r>
    </w:p>
    <w:p>
      <w:pPr>
        <w:jc w:val="center"/>
        <w:ind w:right="1879"/>
        <w:spacing w:after="0"/>
        <w:rPr>
          <w:sz w:val="20"/>
          <w:szCs w:val="20"/>
          <w:color w:val="auto"/>
        </w:rPr>
      </w:pPr>
      <w:r>
        <w:rPr>
          <w:rFonts w:ascii="Courier New" w:cs="Courier New" w:eastAsia="Courier New" w:hAnsi="Courier New"/>
          <w:sz w:val="18"/>
          <w:szCs w:val="18"/>
          <w:color w:val="auto"/>
        </w:rPr>
        <w:t>CONDITION AND RESULTS OF OPERATIONS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7"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Sales for the three months ended December 31, 1997 increased 12% compared to the same three-month period last year. This growth is primarily due to a 46% increase in the Teleconferencing segment (including both product and service). Year-to-date sales increased 19% as compared to the same six-month period in the previous year. Year-to-date growth is also due to sales increases in the Teleconferencing segment.</w:t>
      </w:r>
    </w:p>
    <w:p>
      <w:pPr>
        <w:spacing w:after="0" w:line="210" w:lineRule="exact"/>
        <w:rPr>
          <w:sz w:val="20"/>
          <w:szCs w:val="20"/>
          <w:color w:val="auto"/>
        </w:rPr>
      </w:pPr>
    </w:p>
    <w:p>
      <w:pPr>
        <w:ind w:right="1999" w:firstLine="948"/>
        <w:spacing w:after="0" w:line="270" w:lineRule="auto"/>
        <w:rPr>
          <w:sz w:val="20"/>
          <w:szCs w:val="20"/>
          <w:color w:val="auto"/>
        </w:rPr>
      </w:pPr>
      <w:r>
        <w:rPr>
          <w:rFonts w:ascii="Courier New" w:cs="Courier New" w:eastAsia="Courier New" w:hAnsi="Courier New"/>
          <w:sz w:val="16"/>
          <w:szCs w:val="16"/>
          <w:color w:val="auto"/>
        </w:rPr>
        <w:t>Sales in the Teleconferencing segment increased 46% comparing second quarter of this fiscal year to the same quarter last year. This increase is primarily due to increased sales in the Company's Teleconferencing Service, which experienced a 167% sales growth over the same quarter last fiscal year. This increase in sales is a result of the Company hiring a dedicated sales staff who aggressively markets its conference calling service. During the second quarter, sales of the GT724 installed Teleconferencing System also increased, contributing to the Teleconferencing segment growth. The Company began shipping this product June 1996. The GT724 is used in many different teleconferencing applications, particularly courtrooms, distance learning facilities, and corporate boardrooms. The Teleconferencing segment increased 54% comparing the six-month period ending December 31, 1997 to the same period last year. The Teleconferencing Service sales increased 176% year- to-date as compared to the same period of the prior year. This year-to-date increase is also due to the increase in sales for the Teleconferencing Service and the growth in GT724 sales.</w:t>
      </w:r>
    </w:p>
    <w:p>
      <w:pPr>
        <w:spacing w:after="0" w:line="200" w:lineRule="exact"/>
        <w:rPr>
          <w:sz w:val="20"/>
          <w:szCs w:val="20"/>
          <w:color w:val="auto"/>
        </w:rPr>
      </w:pPr>
    </w:p>
    <w:p>
      <w:pPr>
        <w:spacing w:after="0" w:line="389" w:lineRule="exact"/>
        <w:rPr>
          <w:sz w:val="20"/>
          <w:szCs w:val="20"/>
          <w:color w:val="auto"/>
        </w:rPr>
      </w:pPr>
    </w:p>
    <w:p>
      <w:pPr>
        <w:ind w:right="1879" w:firstLine="948"/>
        <w:spacing w:after="0" w:line="238" w:lineRule="auto"/>
        <w:rPr>
          <w:sz w:val="20"/>
          <w:szCs w:val="20"/>
          <w:color w:val="auto"/>
        </w:rPr>
      </w:pPr>
      <w:r>
        <w:rPr>
          <w:rFonts w:ascii="Courier New" w:cs="Courier New" w:eastAsia="Courier New" w:hAnsi="Courier New"/>
          <w:sz w:val="18"/>
          <w:szCs w:val="18"/>
          <w:color w:val="auto"/>
        </w:rPr>
        <w:t>Broadcast sales decreased 3% in the second quarter of this year as compared to the second quarter of last year. While the domestic market for telephone interface products may be shrinking due to radio and television station consolidation, the Company has experienced significant sales growth internationally for its telephone interface products. In Remote Site Control, the Company saw GSC3000 sales increase significantly when comparing second quarters, year over year. The GSC3000 monitors and adjusts the settings at one or more remote transmitter sites using one networked system. Using the GSC3000 an engineer can manually adjust the settings at the remote site via a personal computer. The growth in the Remote Site Control product line can be attributed to ongoing software improvements, as well as the new voice interface module for the GSC3000. The voice interface allows an engineer to call the broadcast equipment from any telephone, check on its status, and make adjustments. Sales in the Broadcast segment decreased 1% year-to-date as compared to the same period in 1996.</w:t>
      </w:r>
    </w:p>
    <w:p>
      <w:pPr>
        <w:spacing w:after="0" w:line="208"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Assistive Listening Systems products continue to show sales growth. ALS sales grew 19% for the three-month period ended December 31, 1997 as compared to the same period in 1996. This increase is a result of product enhancements and additional OEM agreements with companies that want the Company to produce their private label ALS products. ALS sales grew 37% for the six-month period ended December 31, 1997 as compared to the same period in 1996. The reasons for year-to-date growth are also due to product enhancements and additional OEM agreements.</w:t>
      </w:r>
    </w:p>
    <w:p>
      <w:pPr>
        <w:spacing w:after="0" w:line="212" w:lineRule="exact"/>
        <w:rPr>
          <w:sz w:val="20"/>
          <w:szCs w:val="20"/>
          <w:color w:val="auto"/>
        </w:rPr>
      </w:pPr>
    </w:p>
    <w:p>
      <w:pPr>
        <w:ind w:right="1879" w:firstLine="948"/>
        <w:spacing w:after="0" w:line="238" w:lineRule="auto"/>
        <w:rPr>
          <w:sz w:val="20"/>
          <w:szCs w:val="20"/>
          <w:color w:val="auto"/>
        </w:rPr>
      </w:pPr>
      <w:r>
        <w:rPr>
          <w:rFonts w:ascii="Courier New" w:cs="Courier New" w:eastAsia="Courier New" w:hAnsi="Courier New"/>
          <w:sz w:val="18"/>
          <w:szCs w:val="18"/>
          <w:color w:val="auto"/>
        </w:rPr>
        <w:t>The Company's gross profit margin percentage was 55% for the first quarter of this year, compared to 47% for the same quarter last year. This increase is primarily due to price increases the beginning of this fiscal year, aggressive vendor pricing, new products with a higher gross profit margin, a different product mix, and a critical focus on improving manufacturing processes. The Company's conference calling service has a lower gross profit margin than its manufacturing operations, which, as conference calling becomes a higher percentage of total sales, could negatively impact the Company's overall gross profit margin. Year-to-date gross profit margin is 53% as compared to 47% for the same period last year. The increase in the year-to-date gross profit margin is also due to price increases the beginning of this fiscal year, aggressive vendor pricing, new products with a higher gross profit margin, a different product mix, and a critical focus on improving manufacturing processes.</w:t>
      </w:r>
    </w:p>
    <w:p>
      <w:pPr>
        <w:spacing w:after="0" w:line="208"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Operating expenses for the quarter grew 11% when comparing the same periods of this year to last year. One of the most significant portions of the increase came in general and administrative expenses which grew 61%</w:t>
      </w:r>
    </w:p>
    <w:p>
      <w:pPr>
        <w:sectPr>
          <w:pgSz w:w="11900" w:h="16838" w:orient="portrait"/>
          <w:cols w:equalWidth="0" w:num="1">
            <w:col w:w="10219"/>
          </w:cols>
          <w:pgMar w:left="240" w:top="31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312" w:right="1440" w:bottom="0" w:gutter="0" w:footer="0" w:header="0"/>
          <w:type w:val="continuous"/>
        </w:sectPr>
      </w:pPr>
    </w:p>
    <w:bookmarkStart w:id="8" w:name="page9"/>
    <w:bookmarkEnd w:id="8"/>
    <w:p>
      <w:pPr>
        <w:ind w:left="320"/>
        <w:spacing w:after="0"/>
        <w:rPr>
          <w:sz w:val="20"/>
          <w:szCs w:val="20"/>
          <w:color w:val="auto"/>
        </w:rPr>
      </w:pPr>
      <w:r>
        <w:rPr>
          <w:rFonts w:ascii="Courier New" w:cs="Courier New" w:eastAsia="Courier New" w:hAnsi="Courier New"/>
          <w:sz w:val="18"/>
          <w:szCs w:val="18"/>
          <w:color w:val="auto"/>
        </w:rPr>
        <w:t>9</w:t>
      </w:r>
    </w:p>
    <w:p>
      <w:pPr>
        <w:jc w:val="center"/>
        <w:ind w:right="1879"/>
        <w:spacing w:after="0" w:line="238" w:lineRule="auto"/>
        <w:rPr>
          <w:sz w:val="20"/>
          <w:szCs w:val="20"/>
          <w:color w:val="auto"/>
        </w:rPr>
      </w:pPr>
      <w:r>
        <w:rPr>
          <w:rFonts w:ascii="Courier New" w:cs="Courier New" w:eastAsia="Courier New" w:hAnsi="Courier New"/>
          <w:sz w:val="18"/>
          <w:szCs w:val="18"/>
          <w:color w:val="auto"/>
        </w:rPr>
        <w:t>MANAGEMENT'S DISCUSSION AND ANALYSIS OF FINANCIAL</w:t>
      </w:r>
    </w:p>
    <w:p>
      <w:pPr>
        <w:jc w:val="center"/>
        <w:ind w:right="1879"/>
        <w:spacing w:after="0"/>
        <w:rPr>
          <w:sz w:val="20"/>
          <w:szCs w:val="20"/>
          <w:color w:val="auto"/>
        </w:rPr>
      </w:pPr>
      <w:r>
        <w:rPr>
          <w:rFonts w:ascii="Courier New" w:cs="Courier New" w:eastAsia="Courier New" w:hAnsi="Courier New"/>
          <w:sz w:val="18"/>
          <w:szCs w:val="18"/>
          <w:color w:val="auto"/>
        </w:rPr>
        <w:t>CONDITION AND RESULTS OF OPERATIONS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 (continued)</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comparing second quarter this year to second quarter last year. This is mainly due to the CEO Severance package (as described below). Additionally, the Company has increased expenses in its Product Development area, which grew 83% when comparing the second quarter of this year to the same quarter last year. Year-to-date operating expenses grew 11% when comparing the same periods of this year to last year. Growth in year-to-date operating expenses resulted from the same reasons that the quarter grew.</w:t>
      </w:r>
    </w:p>
    <w:p>
      <w:pPr>
        <w:spacing w:after="0" w:line="211"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Second quarter General and Administrative expenses are up 61% compared to the same period last year. This second quarter increase is primarily due to the CEO Severance package. The year-to-date expenses are up 50% when comparing 1997 to the same period in 1996. The year-to- date increase is due to the severance package and the Company's move to an expanded facility in November 1996. This facility is about twice the size of the old building, which has resulted in an increase in occupancy costs. The increase is also due to the Company writing off certain deferred expenses associated with the Company's warrants that expired in September of 1997.</w:t>
      </w:r>
    </w:p>
    <w:p>
      <w:pPr>
        <w:spacing w:after="0" w:line="214" w:lineRule="exact"/>
        <w:rPr>
          <w:sz w:val="20"/>
          <w:szCs w:val="20"/>
          <w:color w:val="auto"/>
        </w:rPr>
      </w:pPr>
    </w:p>
    <w:p>
      <w:pPr>
        <w:ind w:right="1879" w:firstLine="948"/>
        <w:spacing w:after="0" w:line="273" w:lineRule="auto"/>
        <w:rPr>
          <w:sz w:val="20"/>
          <w:szCs w:val="20"/>
          <w:color w:val="auto"/>
        </w:rPr>
      </w:pPr>
      <w:r>
        <w:rPr>
          <w:rFonts w:ascii="Courier New" w:cs="Courier New" w:eastAsia="Courier New" w:hAnsi="Courier New"/>
          <w:sz w:val="16"/>
          <w:szCs w:val="16"/>
          <w:color w:val="auto"/>
        </w:rPr>
        <w:t>Product development expenses increased 83% in the second quarter of this fiscal year compared to the second quarter last year. This is because of expanded product development and product compliance activities. It also increased 51% year-to-date 1997 compared to 1996. This increase is essentially due to hiring additional engineers to facilitate product development.</w:t>
      </w:r>
    </w:p>
    <w:p>
      <w:pPr>
        <w:spacing w:after="0" w:line="185"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Sales and Marketing second quarter expenses decreased 26% over the prior year's second quarter. This decrease is primarily due to the Company bringing all advertising development and expenditures in house. Additionally, last year, the Company had significant advertising expenses associated with a national campaign for its conference calling service. There was also a decrease of 17% when comparing year-to-date expenses for this year to the same period last year. This decrease is also due to the reduction of advertising expenses, as well as the closing of the Company's California and New Jersey offices.</w:t>
      </w:r>
    </w:p>
    <w:p>
      <w:pPr>
        <w:spacing w:after="0" w:line="214"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Interest expense for the quarter is up 57% compared to the same quarter last year. This increase is due to increased debt balances. The facility expansion was financed through leases and notes that were established in the third quarter of last fiscal year. Interest expense increased 68% for the six-month period ending December 31, 1997 as compared to the same period last year. This increase was also due to increased debt balances to finance the facility expansion.</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Condition and Liquidity</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The Company's current ratio increased from 2.20:1 on June 30, 1997 to 2.43:1 on December 31, 1997. This increase in current ratio was caused primarily by an increase in inventory. This increase in inventory is because of raw material purchases and elevated levels of work-in- process for a new product line that the Company expects to begin shipping in the near future. Other factors affecting the current ratio are a decrease in the outstanding balance on the Company's line-of-credit account, and a reduction in accounts payable.</w:t>
      </w:r>
    </w:p>
    <w:p>
      <w:pPr>
        <w:spacing w:after="0" w:line="212"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Company has an outstanding line of credit of $2.0 million, which is secured by the Company's accounts receivable. The interest rate on the line is a variable interest rate (anywhere from three to five basis points over the London Interbank Offered Rate (LIBOR)). As of December 31, 1997 the outstanding balance was $531,000 and the interest rate was 9.96%. This line has a one year term, expiring in December of 1998.</w:t>
      </w:r>
    </w:p>
    <w:p>
      <w:pPr>
        <w:spacing w:after="0" w:line="210" w:lineRule="exact"/>
        <w:rPr>
          <w:sz w:val="20"/>
          <w:szCs w:val="20"/>
          <w:color w:val="auto"/>
        </w:rPr>
      </w:pPr>
    </w:p>
    <w:p>
      <w:pPr>
        <w:ind w:right="1999" w:firstLine="948"/>
        <w:spacing w:after="0" w:line="279" w:lineRule="auto"/>
        <w:rPr>
          <w:sz w:val="20"/>
          <w:szCs w:val="20"/>
          <w:color w:val="auto"/>
        </w:rPr>
      </w:pPr>
      <w:r>
        <w:rPr>
          <w:rFonts w:ascii="Courier New" w:cs="Courier New" w:eastAsia="Courier New" w:hAnsi="Courier New"/>
          <w:sz w:val="16"/>
          <w:szCs w:val="16"/>
          <w:color w:val="auto"/>
        </w:rPr>
        <w:t>The Company continues to experience strong operating cash flows. Increasing sales and profitability have contributed to positive operating cash flows. As sales continue to increase, the Company expects to achieve its</w:t>
      </w:r>
    </w:p>
    <w:p>
      <w:pPr>
        <w:sectPr>
          <w:pgSz w:w="11900" w:h="16838" w:orient="portrait"/>
          <w:cols w:equalWidth="0" w:num="1">
            <w:col w:w="10219"/>
          </w:cols>
          <w:pgMar w:left="240" w:top="312" w:right="1440" w:bottom="3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312" w:right="1440" w:bottom="379" w:gutter="0" w:footer="0" w:header="0"/>
          <w:type w:val="continuous"/>
        </w:sectPr>
      </w:pPr>
    </w:p>
    <w:bookmarkStart w:id="9" w:name="page10"/>
    <w:bookmarkEnd w:id="9"/>
    <w:p>
      <w:pPr>
        <w:ind w:left="320"/>
        <w:spacing w:after="0"/>
        <w:rPr>
          <w:sz w:val="20"/>
          <w:szCs w:val="20"/>
          <w:color w:val="auto"/>
        </w:rPr>
      </w:pPr>
      <w:r>
        <w:rPr>
          <w:rFonts w:ascii="Courier New" w:cs="Courier New" w:eastAsia="Courier New" w:hAnsi="Courier New"/>
          <w:sz w:val="18"/>
          <w:szCs w:val="18"/>
          <w:color w:val="auto"/>
        </w:rPr>
        <w:t>10</w:t>
      </w:r>
    </w:p>
    <w:p>
      <w:pPr>
        <w:jc w:val="center"/>
        <w:ind w:right="1879"/>
        <w:spacing w:after="0" w:line="238" w:lineRule="auto"/>
        <w:rPr>
          <w:sz w:val="20"/>
          <w:szCs w:val="20"/>
          <w:color w:val="auto"/>
        </w:rPr>
      </w:pPr>
      <w:r>
        <w:rPr>
          <w:rFonts w:ascii="Courier New" w:cs="Courier New" w:eastAsia="Courier New" w:hAnsi="Courier New"/>
          <w:sz w:val="18"/>
          <w:szCs w:val="18"/>
          <w:color w:val="auto"/>
        </w:rPr>
        <w:t>MANAGEMENT'S DISCUSSION AND ANALYSIS OF FINANCIAL</w:t>
      </w:r>
    </w:p>
    <w:p>
      <w:pPr>
        <w:jc w:val="center"/>
        <w:ind w:right="1879"/>
        <w:spacing w:after="0"/>
        <w:rPr>
          <w:sz w:val="20"/>
          <w:szCs w:val="20"/>
          <w:color w:val="auto"/>
        </w:rPr>
      </w:pPr>
      <w:r>
        <w:rPr>
          <w:rFonts w:ascii="Courier New" w:cs="Courier New" w:eastAsia="Courier New" w:hAnsi="Courier New"/>
          <w:sz w:val="18"/>
          <w:szCs w:val="18"/>
          <w:color w:val="auto"/>
        </w:rPr>
        <w:t>CONDITION AND RESULTS OF OPERATIONS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Condition and Liquidity (continued)</w:t>
      </w:r>
    </w:p>
    <w:p>
      <w:pPr>
        <w:spacing w:after="0" w:line="207"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business plan through a combination of internally generated funds and short-term or long-term borrowings, if necessary.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CEO Severance Package</w:t>
      </w:r>
    </w:p>
    <w:p>
      <w:pPr>
        <w:spacing w:after="0" w:line="207" w:lineRule="exact"/>
        <w:rPr>
          <w:sz w:val="20"/>
          <w:szCs w:val="20"/>
          <w:color w:val="auto"/>
        </w:rPr>
      </w:pPr>
    </w:p>
    <w:p>
      <w:pPr>
        <w:ind w:right="1879"/>
        <w:spacing w:after="0" w:line="272" w:lineRule="auto"/>
        <w:rPr>
          <w:sz w:val="20"/>
          <w:szCs w:val="20"/>
          <w:color w:val="auto"/>
        </w:rPr>
      </w:pPr>
      <w:r>
        <w:rPr>
          <w:rFonts w:ascii="Courier New" w:cs="Courier New" w:eastAsia="Courier New" w:hAnsi="Courier New"/>
          <w:sz w:val="16"/>
          <w:szCs w:val="16"/>
          <w:color w:val="auto"/>
        </w:rPr>
        <w:t>The Board of Directors of the Company has approved the material terms of a Severance Agreement providing for the departure of Russell D. Gentner from the offices of President and Chief Executive Officer of the Company (though he will continue as a Director and Chairman of the Board of the Company). Until the Severance Agreement is executed by the Company and Mr. Gentner, there can be no assurance that the material terms of the Agreement will remain unchanged.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Forward Looking Statements and Risk Factors</w:t>
      </w:r>
    </w:p>
    <w:p>
      <w:pPr>
        <w:spacing w:after="0" w:line="207"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To the extent any statement presented herein deals with information that is not historical, such statement is necessarily forward looking. As such, it is subject to occurrence of many events outside of the Company's control. Please see a detailed list of the risk factors that are outlined in the Company's 1997 annual report and form 10-KSB.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312" w:right="1440" w:bottom="1440" w:gutter="0" w:footer="0" w:header="0"/>
        </w:sectPr>
      </w:pPr>
    </w:p>
    <w:bookmarkStart w:id="10" w:name="page11"/>
    <w:bookmarkEnd w:id="10"/>
    <w:p>
      <w:pPr>
        <w:ind w:left="320"/>
        <w:spacing w:after="0"/>
        <w:rPr>
          <w:sz w:val="20"/>
          <w:szCs w:val="20"/>
          <w:color w:val="auto"/>
        </w:rPr>
      </w:pPr>
      <w:r>
        <w:rPr>
          <w:rFonts w:ascii="Courier New" w:cs="Courier New" w:eastAsia="Courier New" w:hAnsi="Courier New"/>
          <w:sz w:val="18"/>
          <w:szCs w:val="18"/>
          <w:color w:val="auto"/>
        </w:rPr>
        <w:t>11</w:t>
      </w:r>
    </w:p>
    <w:p>
      <w:pPr>
        <w:ind w:left="2740"/>
        <w:spacing w:after="0" w:line="238" w:lineRule="auto"/>
        <w:rPr>
          <w:sz w:val="20"/>
          <w:szCs w:val="20"/>
          <w:color w:val="auto"/>
        </w:rPr>
      </w:pPr>
      <w:r>
        <w:rPr>
          <w:rFonts w:ascii="Courier New" w:cs="Courier New" w:eastAsia="Courier New" w:hAnsi="Courier New"/>
          <w:sz w:val="18"/>
          <w:szCs w:val="18"/>
          <w:color w:val="auto"/>
        </w:rPr>
        <w:t>PART II - OTHER INFORMATION</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 Exhibits</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Exhibits Required by Item 601 of Regulation S-B</w:t>
      </w:r>
    </w:p>
    <w:p>
      <w:pPr>
        <w:spacing w:after="0" w:line="207" w:lineRule="exact"/>
        <w:rPr>
          <w:sz w:val="20"/>
          <w:szCs w:val="20"/>
          <w:color w:val="auto"/>
        </w:rPr>
      </w:pPr>
    </w:p>
    <w:p>
      <w:pPr>
        <w:ind w:right="2199"/>
        <w:spacing w:after="0" w:line="279" w:lineRule="auto"/>
        <w:rPr>
          <w:sz w:val="20"/>
          <w:szCs w:val="20"/>
          <w:color w:val="auto"/>
        </w:rPr>
      </w:pPr>
      <w:r>
        <w:rPr>
          <w:rFonts w:ascii="Courier New" w:cs="Courier New" w:eastAsia="Courier New" w:hAnsi="Courier New"/>
          <w:sz w:val="16"/>
          <w:szCs w:val="16"/>
          <w:color w:val="auto"/>
        </w:rPr>
        <w:t>The following exhibit is hereby incorporated by reference from the Company's Annual Report on Form 10-K for the fiscal year ended June 30, 1989. The exhibit number shown as appeared in the 1989 Form 10-K as originally filed.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38" w:lineRule="auto"/>
        <w:tabs>
          <w:tab w:leader="none" w:pos="1780" w:val="left"/>
        </w:tabs>
        <w:rPr>
          <w:sz w:val="20"/>
          <w:szCs w:val="20"/>
          <w:color w:val="auto"/>
        </w:rPr>
      </w:pPr>
      <w:r>
        <w:rPr>
          <w:rFonts w:ascii="Courier New" w:cs="Courier New" w:eastAsia="Courier New" w:hAnsi="Courier New"/>
          <w:sz w:val="18"/>
          <w:szCs w:val="18"/>
          <w:color w:val="auto"/>
        </w:rPr>
        <w:t>NUMBER</w:t>
      </w:r>
      <w:r>
        <w:rPr>
          <w:sz w:val="20"/>
          <w:szCs w:val="20"/>
          <w:color w:val="auto"/>
        </w:rPr>
        <w:tab/>
      </w:r>
      <w:r>
        <w:rPr>
          <w:rFonts w:ascii="Courier New" w:cs="Courier New" w:eastAsia="Courier New" w:hAnsi="Courier New"/>
          <w:sz w:val="18"/>
          <w:szCs w:val="18"/>
          <w:color w:val="auto"/>
        </w:rPr>
        <w:t>DESCRIPTION</w:t>
      </w:r>
    </w:p>
    <w:p>
      <w:pPr>
        <w:spacing w:after="0" w:line="207" w:lineRule="exact"/>
        <w:rPr>
          <w:sz w:val="20"/>
          <w:szCs w:val="20"/>
          <w:color w:val="auto"/>
        </w:rPr>
      </w:pPr>
    </w:p>
    <w:p>
      <w:pPr>
        <w:ind w:left="1280" w:right="2619" w:hanging="1263"/>
        <w:spacing w:after="0" w:line="235" w:lineRule="auto"/>
        <w:tabs>
          <w:tab w:leader="none" w:pos="1260" w:val="left"/>
        </w:tabs>
        <w:rPr>
          <w:sz w:val="20"/>
          <w:szCs w:val="20"/>
          <w:color w:val="auto"/>
        </w:rPr>
      </w:pPr>
      <w:r>
        <w:rPr>
          <w:rFonts w:ascii="Courier New" w:cs="Courier New" w:eastAsia="Courier New" w:hAnsi="Courier New"/>
          <w:sz w:val="18"/>
          <w:szCs w:val="18"/>
          <w:color w:val="auto"/>
        </w:rPr>
        <w:t>3.1*+</w:t>
      </w:r>
      <w:r>
        <w:rPr>
          <w:sz w:val="20"/>
          <w:szCs w:val="20"/>
          <w:color w:val="auto"/>
        </w:rPr>
        <w:tab/>
      </w:r>
      <w:r>
        <w:rPr>
          <w:rFonts w:ascii="Courier New" w:cs="Courier New" w:eastAsia="Courier New" w:hAnsi="Courier New"/>
          <w:sz w:val="18"/>
          <w:szCs w:val="18"/>
          <w:color w:val="auto"/>
        </w:rPr>
        <w:t>Articles of Incorporation and all amendments thereto through March 1, 1998. (Page 10)</w:t>
      </w:r>
    </w:p>
    <w:p>
      <w:pPr>
        <w:spacing w:after="0" w:line="208" w:lineRule="exact"/>
        <w:rPr>
          <w:sz w:val="20"/>
          <w:szCs w:val="20"/>
          <w:color w:val="auto"/>
        </w:rPr>
      </w:pPr>
    </w:p>
    <w:p>
      <w:pPr>
        <w:ind w:right="2199"/>
        <w:spacing w:after="0" w:line="279" w:lineRule="auto"/>
        <w:rPr>
          <w:sz w:val="20"/>
          <w:szCs w:val="20"/>
          <w:color w:val="auto"/>
        </w:rPr>
      </w:pPr>
      <w:r>
        <w:rPr>
          <w:rFonts w:ascii="Courier New" w:cs="Courier New" w:eastAsia="Courier New" w:hAnsi="Courier New"/>
          <w:sz w:val="16"/>
          <w:szCs w:val="16"/>
          <w:color w:val="auto"/>
        </w:rPr>
        <w:t>The following exhibit is hereby incorporated by reference from the Company's Annual Report on Form 10-K for the fiscal year ended June 30, 1989. The exhibit number shown as appeared in the 1989 Form 10-K as originally filed.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38" w:lineRule="auto"/>
        <w:tabs>
          <w:tab w:leader="none" w:pos="1780" w:val="left"/>
        </w:tabs>
        <w:rPr>
          <w:sz w:val="20"/>
          <w:szCs w:val="20"/>
          <w:color w:val="auto"/>
        </w:rPr>
      </w:pPr>
      <w:r>
        <w:rPr>
          <w:rFonts w:ascii="Courier New" w:cs="Courier New" w:eastAsia="Courier New" w:hAnsi="Courier New"/>
          <w:sz w:val="18"/>
          <w:szCs w:val="18"/>
          <w:color w:val="auto"/>
        </w:rPr>
        <w:t>NUMBER</w:t>
      </w:r>
      <w:r>
        <w:rPr>
          <w:sz w:val="20"/>
          <w:szCs w:val="20"/>
          <w:color w:val="auto"/>
        </w:rPr>
        <w:tab/>
      </w:r>
      <w:r>
        <w:rPr>
          <w:rFonts w:ascii="Courier New" w:cs="Courier New" w:eastAsia="Courier New" w:hAnsi="Courier New"/>
          <w:sz w:val="18"/>
          <w:szCs w:val="18"/>
          <w:color w:val="auto"/>
        </w:rPr>
        <w:t>DESCRIPTION</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3.1*+</w:t>
      </w:r>
      <w:r>
        <w:rPr>
          <w:sz w:val="20"/>
          <w:szCs w:val="20"/>
          <w:color w:val="auto"/>
        </w:rPr>
        <w:tab/>
      </w:r>
      <w:r>
        <w:rPr>
          <w:rFonts w:ascii="Courier New" w:cs="Courier New" w:eastAsia="Courier New" w:hAnsi="Courier New"/>
          <w:sz w:val="16"/>
          <w:szCs w:val="16"/>
          <w:color w:val="auto"/>
        </w:rPr>
        <w:t>Amendment to Articles of Incorporation, dated July 1, 1991.</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The following exhibit is hereby incorporated by reference from the Company's Form 10-KSB for the fiscal year ended June 30, 1993. The exhibit number shown as appeared in the 1993 Form 10-KSB as originally filed.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38" w:lineRule="auto"/>
        <w:tabs>
          <w:tab w:leader="none" w:pos="1780" w:val="left"/>
        </w:tabs>
        <w:rPr>
          <w:sz w:val="20"/>
          <w:szCs w:val="20"/>
          <w:color w:val="auto"/>
        </w:rPr>
      </w:pPr>
      <w:r>
        <w:rPr>
          <w:rFonts w:ascii="Courier New" w:cs="Courier New" w:eastAsia="Courier New" w:hAnsi="Courier New"/>
          <w:sz w:val="18"/>
          <w:szCs w:val="18"/>
          <w:color w:val="auto"/>
        </w:rPr>
        <w:t>NUMBER</w:t>
      </w:r>
      <w:r>
        <w:rPr>
          <w:sz w:val="20"/>
          <w:szCs w:val="20"/>
          <w:color w:val="auto"/>
        </w:rPr>
        <w:tab/>
      </w:r>
      <w:r>
        <w:rPr>
          <w:rFonts w:ascii="Courier New" w:cs="Courier New" w:eastAsia="Courier New" w:hAnsi="Courier New"/>
          <w:sz w:val="18"/>
          <w:szCs w:val="18"/>
          <w:color w:val="auto"/>
        </w:rPr>
        <w:t>DESCRIPTION</w:t>
      </w:r>
    </w:p>
    <w:p>
      <w:pPr>
        <w:spacing w:after="0" w:line="202" w:lineRule="exact"/>
        <w:rPr>
          <w:sz w:val="20"/>
          <w:szCs w:val="20"/>
          <w:color w:val="auto"/>
        </w:rPr>
      </w:pPr>
    </w:p>
    <w:p>
      <w:pPr>
        <w:spacing w:after="0"/>
        <w:tabs>
          <w:tab w:leader="none" w:pos="1260" w:val="left"/>
          <w:tab w:leader="none" w:pos="546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Bylaws, as amended on August 24, 1993.</w:t>
      </w:r>
      <w:r>
        <w:rPr>
          <w:sz w:val="20"/>
          <w:szCs w:val="20"/>
          <w:color w:val="auto"/>
        </w:rPr>
        <w:tab/>
      </w:r>
      <w:r>
        <w:rPr>
          <w:rFonts w:ascii="Courier New" w:cs="Courier New" w:eastAsia="Courier New" w:hAnsi="Courier New"/>
          <w:sz w:val="16"/>
          <w:szCs w:val="16"/>
          <w:color w:val="auto"/>
        </w:rPr>
        <w:t>(Page 16)</w:t>
      </w:r>
    </w:p>
    <w:p>
      <w:pPr>
        <w:spacing w:after="0" w:line="200" w:lineRule="exact"/>
        <w:rPr>
          <w:sz w:val="20"/>
          <w:szCs w:val="20"/>
          <w:color w:val="auto"/>
        </w:rPr>
      </w:pPr>
    </w:p>
    <w:p>
      <w:pPr>
        <w:spacing w:after="0" w:line="209" w:lineRule="exact"/>
        <w:rPr>
          <w:sz w:val="20"/>
          <w:szCs w:val="20"/>
          <w:color w:val="auto"/>
        </w:rPr>
      </w:pPr>
    </w:p>
    <w:p>
      <w:pPr>
        <w:ind w:right="1999" w:firstLine="8"/>
        <w:spacing w:after="0" w:line="236" w:lineRule="auto"/>
        <w:tabs>
          <w:tab w:leader="none" w:pos="632"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Denotes exhibits specifically incorporated in this Form 10-KSB by reference to other filings pursuant to the provisions of Rule 12B-32 under the Securities Exchange Act of 1934.</w:t>
      </w:r>
    </w:p>
    <w:p>
      <w:pPr>
        <w:spacing w:after="0" w:line="203" w:lineRule="exact"/>
        <w:rPr>
          <w:sz w:val="20"/>
          <w:szCs w:val="20"/>
          <w:color w:val="auto"/>
        </w:rPr>
      </w:pPr>
    </w:p>
    <w:p>
      <w:pPr>
        <w:ind w:left="640" w:hanging="632"/>
        <w:spacing w:after="0"/>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Denotes exhibits specifically incorporated into this Form 10-KSB by</w:t>
      </w:r>
    </w:p>
    <w:p>
      <w:pPr>
        <w:spacing w:after="0" w:line="4" w:lineRule="exact"/>
        <w:rPr>
          <w:rFonts w:ascii="Courier New" w:cs="Courier New" w:eastAsia="Courier New" w:hAnsi="Courier New"/>
          <w:sz w:val="18"/>
          <w:szCs w:val="18"/>
          <w:color w:val="auto"/>
        </w:rPr>
      </w:pPr>
    </w:p>
    <w:p>
      <w:pPr>
        <w:ind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reference (and their page location in such filing), pursuant to Regulation S B, Section 228. These documents are located under File No. 0-17219 and are located at the Securities and Exchange Commission, Public Reference Branch, 450 5th St., N.W., Washington, DC 20549.</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w:t>
      </w:r>
    </w:p>
    <w:p>
      <w:pPr>
        <w:spacing w:after="0" w:line="200" w:lineRule="exact"/>
        <w:rPr>
          <w:sz w:val="20"/>
          <w:szCs w:val="20"/>
          <w:color w:val="auto"/>
        </w:rPr>
      </w:pPr>
    </w:p>
    <w:p>
      <w:pPr>
        <w:spacing w:after="0" w:line="204"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312" w:right="1440" w:bottom="1440" w:gutter="0" w:footer="0" w:header="0"/>
        </w:sectPr>
      </w:pPr>
    </w:p>
    <w:bookmarkStart w:id="11" w:name="page12"/>
    <w:bookmarkEnd w:id="11"/>
    <w:p>
      <w:pPr>
        <w:ind w:left="320"/>
        <w:spacing w:after="0"/>
        <w:rPr>
          <w:sz w:val="20"/>
          <w:szCs w:val="20"/>
          <w:color w:val="auto"/>
        </w:rPr>
      </w:pPr>
      <w:r>
        <w:rPr>
          <w:rFonts w:ascii="Courier New" w:cs="Courier New" w:eastAsia="Courier New" w:hAnsi="Courier New"/>
          <w:sz w:val="18"/>
          <w:szCs w:val="18"/>
          <w:color w:val="auto"/>
        </w:rPr>
        <w:t>12</w:t>
      </w:r>
    </w:p>
    <w:p>
      <w:pPr>
        <w:ind w:left="3700"/>
        <w:spacing w:after="0" w:line="238" w:lineRule="auto"/>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and Exchange Act of 1934, the registrant has duly caused this report to be signed on its behalf by the undersigned thereunto duly authorized.</w:t>
      </w:r>
    </w:p>
    <w:p>
      <w:pPr>
        <w:spacing w:after="0" w:line="203"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GENTNER COMMUNICATIONS CORPORATION</w:t>
      </w:r>
    </w:p>
    <w:p>
      <w:pPr>
        <w:spacing w:after="0" w:line="200" w:lineRule="exact"/>
        <w:rPr>
          <w:sz w:val="20"/>
          <w:szCs w:val="20"/>
          <w:color w:val="auto"/>
        </w:rPr>
      </w:pPr>
    </w:p>
    <w:p>
      <w:pPr>
        <w:spacing w:after="0" w:line="204"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/s/ Susie Strohm</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Susie Strohm</w:t>
      </w:r>
    </w:p>
    <w:p>
      <w:pPr>
        <w:ind w:left="4640"/>
        <w:spacing w:after="0" w:line="238" w:lineRule="auto"/>
        <w:rPr>
          <w:sz w:val="20"/>
          <w:szCs w:val="20"/>
          <w:color w:val="auto"/>
        </w:rPr>
      </w:pPr>
      <w:r>
        <w:rPr>
          <w:rFonts w:ascii="Courier New" w:cs="Courier New" w:eastAsia="Courier New" w:hAnsi="Courier New"/>
          <w:sz w:val="18"/>
          <w:szCs w:val="18"/>
          <w:color w:val="auto"/>
        </w:rPr>
        <w:t>Vice President, Finance</w:t>
      </w:r>
    </w:p>
    <w:p>
      <w:pPr>
        <w:spacing w:after="0" w:line="200" w:lineRule="exact"/>
        <w:rPr>
          <w:sz w:val="20"/>
          <w:szCs w:val="20"/>
          <w:color w:val="auto"/>
        </w:rPr>
      </w:pPr>
    </w:p>
    <w:p>
      <w:pPr>
        <w:spacing w:after="0" w:line="204"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5,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312" w:right="1440" w:bottom="1440" w:gutter="0" w:footer="0" w:header="0"/>
        </w:sectPr>
      </w:pPr>
    </w:p>
    <w:bookmarkStart w:id="12" w:name="page13"/>
    <w:bookmarkEnd w:id="12"/>
    <w:p>
      <w:pPr>
        <w:ind w:left="320"/>
        <w:spacing w:after="0"/>
        <w:rPr>
          <w:sz w:val="20"/>
          <w:szCs w:val="20"/>
          <w:color w:val="auto"/>
        </w:rPr>
      </w:pPr>
      <w:r>
        <w:rPr>
          <w:rFonts w:ascii="Courier New" w:cs="Courier New" w:eastAsia="Courier New" w:hAnsi="Courier New"/>
          <w:sz w:val="18"/>
          <w:szCs w:val="18"/>
          <w:color w:val="auto"/>
        </w:rPr>
        <w:t>13</w:t>
      </w:r>
    </w:p>
    <w:p>
      <w:pPr>
        <w:ind w:left="3480"/>
        <w:spacing w:after="0" w:line="238" w:lineRule="auto"/>
        <w:rPr>
          <w:sz w:val="20"/>
          <w:szCs w:val="20"/>
          <w:color w:val="auto"/>
        </w:rPr>
      </w:pPr>
      <w:r>
        <w:rPr>
          <w:rFonts w:ascii="Courier New" w:cs="Courier New" w:eastAsia="Courier New" w:hAnsi="Courier New"/>
          <w:sz w:val="18"/>
          <w:szCs w:val="18"/>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199"/>
        <w:spacing w:after="0" w:line="279" w:lineRule="auto"/>
        <w:rPr>
          <w:sz w:val="20"/>
          <w:szCs w:val="20"/>
          <w:color w:val="auto"/>
        </w:rPr>
      </w:pPr>
      <w:r>
        <w:rPr>
          <w:rFonts w:ascii="Courier New" w:cs="Courier New" w:eastAsia="Courier New" w:hAnsi="Courier New"/>
          <w:sz w:val="16"/>
          <w:szCs w:val="16"/>
          <w:color w:val="auto"/>
        </w:rPr>
        <w:t>The following exhibit is hereby incorporated by reference from the Company's Annual Report on Form 10-K for the fiscal year ended June 30, 1989. The exhibit number shown as appeared in the 1989 Form 10-K as originally filed.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38" w:lineRule="auto"/>
        <w:tabs>
          <w:tab w:leader="none" w:pos="1780" w:val="left"/>
        </w:tabs>
        <w:rPr>
          <w:sz w:val="20"/>
          <w:szCs w:val="20"/>
          <w:color w:val="auto"/>
        </w:rPr>
      </w:pPr>
      <w:r>
        <w:rPr>
          <w:rFonts w:ascii="Courier New" w:cs="Courier New" w:eastAsia="Courier New" w:hAnsi="Courier New"/>
          <w:sz w:val="18"/>
          <w:szCs w:val="18"/>
          <w:color w:val="auto"/>
        </w:rPr>
        <w:t>NUMBER</w:t>
      </w:r>
      <w:r>
        <w:rPr>
          <w:sz w:val="20"/>
          <w:szCs w:val="20"/>
          <w:color w:val="auto"/>
        </w:rPr>
        <w:tab/>
      </w:r>
      <w:r>
        <w:rPr>
          <w:rFonts w:ascii="Courier New" w:cs="Courier New" w:eastAsia="Courier New" w:hAnsi="Courier New"/>
          <w:sz w:val="18"/>
          <w:szCs w:val="18"/>
          <w:color w:val="auto"/>
        </w:rPr>
        <w:t>DESCRIPTION</w:t>
      </w:r>
    </w:p>
    <w:p>
      <w:pPr>
        <w:spacing w:after="0" w:line="207" w:lineRule="exact"/>
        <w:rPr>
          <w:sz w:val="20"/>
          <w:szCs w:val="20"/>
          <w:color w:val="auto"/>
        </w:rPr>
      </w:pPr>
    </w:p>
    <w:p>
      <w:pPr>
        <w:ind w:left="1280" w:right="2619" w:hanging="1263"/>
        <w:spacing w:after="0" w:line="235" w:lineRule="auto"/>
        <w:tabs>
          <w:tab w:leader="none" w:pos="1260" w:val="left"/>
        </w:tabs>
        <w:rPr>
          <w:sz w:val="20"/>
          <w:szCs w:val="20"/>
          <w:color w:val="auto"/>
        </w:rPr>
      </w:pPr>
      <w:r>
        <w:rPr>
          <w:rFonts w:ascii="Courier New" w:cs="Courier New" w:eastAsia="Courier New" w:hAnsi="Courier New"/>
          <w:sz w:val="18"/>
          <w:szCs w:val="18"/>
          <w:color w:val="auto"/>
        </w:rPr>
        <w:t>3.1*+</w:t>
      </w:r>
      <w:r>
        <w:rPr>
          <w:sz w:val="20"/>
          <w:szCs w:val="20"/>
          <w:color w:val="auto"/>
        </w:rPr>
        <w:tab/>
      </w:r>
      <w:r>
        <w:rPr>
          <w:rFonts w:ascii="Courier New" w:cs="Courier New" w:eastAsia="Courier New" w:hAnsi="Courier New"/>
          <w:sz w:val="18"/>
          <w:szCs w:val="18"/>
          <w:color w:val="auto"/>
        </w:rPr>
        <w:t>Articles of Incorporation and all amendments thereto through March 1, 1998. (Page 10)</w:t>
      </w:r>
    </w:p>
    <w:p>
      <w:pPr>
        <w:spacing w:after="0" w:line="208" w:lineRule="exact"/>
        <w:rPr>
          <w:sz w:val="20"/>
          <w:szCs w:val="20"/>
          <w:color w:val="auto"/>
        </w:rPr>
      </w:pPr>
    </w:p>
    <w:p>
      <w:pPr>
        <w:ind w:right="2199"/>
        <w:spacing w:after="0" w:line="279" w:lineRule="auto"/>
        <w:rPr>
          <w:sz w:val="20"/>
          <w:szCs w:val="20"/>
          <w:color w:val="auto"/>
        </w:rPr>
      </w:pPr>
      <w:r>
        <w:rPr>
          <w:rFonts w:ascii="Courier New" w:cs="Courier New" w:eastAsia="Courier New" w:hAnsi="Courier New"/>
          <w:sz w:val="16"/>
          <w:szCs w:val="16"/>
          <w:color w:val="auto"/>
        </w:rPr>
        <w:t>The following exhibit is hereby incorporated by reference from the Company's Annual Report on Form 10-K for the fiscal year ended June 30, 1989. The exhibit number shown as appeared in the 1989 Form 10-K as originally filed.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38" w:lineRule="auto"/>
        <w:tabs>
          <w:tab w:leader="none" w:pos="1780" w:val="left"/>
        </w:tabs>
        <w:rPr>
          <w:sz w:val="20"/>
          <w:szCs w:val="20"/>
          <w:color w:val="auto"/>
        </w:rPr>
      </w:pPr>
      <w:r>
        <w:rPr>
          <w:rFonts w:ascii="Courier New" w:cs="Courier New" w:eastAsia="Courier New" w:hAnsi="Courier New"/>
          <w:sz w:val="18"/>
          <w:szCs w:val="18"/>
          <w:color w:val="auto"/>
        </w:rPr>
        <w:t>NUMBER</w:t>
      </w:r>
      <w:r>
        <w:rPr>
          <w:sz w:val="20"/>
          <w:szCs w:val="20"/>
          <w:color w:val="auto"/>
        </w:rPr>
        <w:tab/>
      </w:r>
      <w:r>
        <w:rPr>
          <w:rFonts w:ascii="Courier New" w:cs="Courier New" w:eastAsia="Courier New" w:hAnsi="Courier New"/>
          <w:sz w:val="18"/>
          <w:szCs w:val="18"/>
          <w:color w:val="auto"/>
        </w:rPr>
        <w:t>DESCRIPTION</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3.1*+</w:t>
      </w:r>
      <w:r>
        <w:rPr>
          <w:sz w:val="20"/>
          <w:szCs w:val="20"/>
          <w:color w:val="auto"/>
        </w:rPr>
        <w:tab/>
      </w:r>
      <w:r>
        <w:rPr>
          <w:rFonts w:ascii="Courier New" w:cs="Courier New" w:eastAsia="Courier New" w:hAnsi="Courier New"/>
          <w:sz w:val="16"/>
          <w:szCs w:val="16"/>
          <w:color w:val="auto"/>
        </w:rPr>
        <w:t>Amendment to Articles of Incorporation, dated July 1, 1991.</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The following exhibit is hereby incorporated by reference from the Company's Form 10-KSB for the fiscal year ended June 30, 1993. The exhibit number shown as appeared in the 1993 Form 10-KSB as originally filed.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38" w:lineRule="auto"/>
        <w:tabs>
          <w:tab w:leader="none" w:pos="1780" w:val="left"/>
        </w:tabs>
        <w:rPr>
          <w:sz w:val="20"/>
          <w:szCs w:val="20"/>
          <w:color w:val="auto"/>
        </w:rPr>
      </w:pPr>
      <w:r>
        <w:rPr>
          <w:rFonts w:ascii="Courier New" w:cs="Courier New" w:eastAsia="Courier New" w:hAnsi="Courier New"/>
          <w:sz w:val="18"/>
          <w:szCs w:val="18"/>
          <w:color w:val="auto"/>
        </w:rPr>
        <w:t>NUMBER</w:t>
      </w:r>
      <w:r>
        <w:rPr>
          <w:sz w:val="20"/>
          <w:szCs w:val="20"/>
          <w:color w:val="auto"/>
        </w:rPr>
        <w:tab/>
      </w:r>
      <w:r>
        <w:rPr>
          <w:rFonts w:ascii="Courier New" w:cs="Courier New" w:eastAsia="Courier New" w:hAnsi="Courier New"/>
          <w:sz w:val="18"/>
          <w:szCs w:val="18"/>
          <w:color w:val="auto"/>
        </w:rPr>
        <w:t>DESCRIPTION</w:t>
      </w:r>
    </w:p>
    <w:p>
      <w:pPr>
        <w:spacing w:after="0" w:line="202" w:lineRule="exact"/>
        <w:rPr>
          <w:sz w:val="20"/>
          <w:szCs w:val="20"/>
          <w:color w:val="auto"/>
        </w:rPr>
      </w:pPr>
    </w:p>
    <w:p>
      <w:pPr>
        <w:spacing w:after="0"/>
        <w:tabs>
          <w:tab w:leader="none" w:pos="1260" w:val="left"/>
          <w:tab w:leader="none" w:pos="546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Bylaws, as amended on August 24, 1993.</w:t>
      </w:r>
      <w:r>
        <w:rPr>
          <w:sz w:val="20"/>
          <w:szCs w:val="20"/>
          <w:color w:val="auto"/>
        </w:rPr>
        <w:tab/>
      </w:r>
      <w:r>
        <w:rPr>
          <w:rFonts w:ascii="Courier New" w:cs="Courier New" w:eastAsia="Courier New" w:hAnsi="Courier New"/>
          <w:sz w:val="16"/>
          <w:szCs w:val="16"/>
          <w:color w:val="auto"/>
        </w:rPr>
        <w:t>(Page 16)</w:t>
      </w:r>
    </w:p>
    <w:p>
      <w:pPr>
        <w:spacing w:after="0" w:line="200" w:lineRule="exact"/>
        <w:rPr>
          <w:sz w:val="20"/>
          <w:szCs w:val="20"/>
          <w:color w:val="auto"/>
        </w:rPr>
      </w:pPr>
    </w:p>
    <w:p>
      <w:pPr>
        <w:spacing w:after="0" w:line="209" w:lineRule="exact"/>
        <w:rPr>
          <w:sz w:val="20"/>
          <w:szCs w:val="20"/>
          <w:color w:val="auto"/>
        </w:rPr>
      </w:pPr>
    </w:p>
    <w:p>
      <w:pPr>
        <w:ind w:right="1999" w:firstLine="8"/>
        <w:spacing w:after="0" w:line="236" w:lineRule="auto"/>
        <w:tabs>
          <w:tab w:leader="none" w:pos="632"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Denotes exhibits specifically incorporated in this Form 10-KSB by reference to other filings pursuant to the provisions of Rule 12B-32 under the Securities Exchange Act of 1934.</w:t>
      </w:r>
    </w:p>
    <w:p>
      <w:pPr>
        <w:spacing w:after="0" w:line="203" w:lineRule="exact"/>
        <w:rPr>
          <w:sz w:val="20"/>
          <w:szCs w:val="20"/>
          <w:color w:val="auto"/>
        </w:rPr>
      </w:pPr>
    </w:p>
    <w:p>
      <w:pPr>
        <w:ind w:left="640" w:hanging="632"/>
        <w:spacing w:after="0"/>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Denotes exhibits specifically incorporated into this Form 10-KSB by</w:t>
      </w:r>
    </w:p>
    <w:p>
      <w:pPr>
        <w:spacing w:after="0" w:line="4" w:lineRule="exact"/>
        <w:rPr>
          <w:rFonts w:ascii="Courier New" w:cs="Courier New" w:eastAsia="Courier New" w:hAnsi="Courier New"/>
          <w:sz w:val="18"/>
          <w:szCs w:val="18"/>
          <w:color w:val="auto"/>
        </w:rPr>
      </w:pPr>
    </w:p>
    <w:p>
      <w:pPr>
        <w:ind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reference (and their page location in such filing), pursuant to Regulation S B, Section 228. These documents are located under File No. 0-17219 and are located at the Securities and Exchange Commission, Public Reference Branch, 450 5th St., N.W., Washington, DC 20549.</w:t>
      </w:r>
    </w:p>
    <w:p>
      <w:pPr>
        <w:sectPr>
          <w:pgSz w:w="11900" w:h="16838" w:orient="portrait"/>
          <w:cols w:equalWidth="0" w:num="1">
            <w:col w:w="10219"/>
          </w:cols>
          <w:pgMar w:left="240" w:top="312" w:right="1440" w:bottom="1440" w:gutter="0" w:footer="0" w:header="0"/>
        </w:sectPr>
      </w:pPr>
    </w:p>
    <w:bookmarkStart w:id="13" w:name="page14"/>
    <w:bookmarkEnd w:id="13"/>
    <w:p>
      <w:pPr>
        <w:ind w:left="8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right="2179"/>
        <w:spacing w:after="0" w:line="235" w:lineRule="auto"/>
        <w:rPr>
          <w:sz w:val="20"/>
          <w:szCs w:val="20"/>
          <w:color w:val="auto"/>
        </w:rPr>
      </w:pPr>
      <w:r>
        <w:rPr>
          <w:rFonts w:ascii="Courier New" w:cs="Courier New" w:eastAsia="Courier New" w:hAnsi="Courier New"/>
          <w:sz w:val="18"/>
          <w:szCs w:val="18"/>
          <w:color w:val="auto"/>
        </w:rPr>
        <w:t>THIS SCHEDULE CONTAINS SUMMARY FINANCIAL INFORMATION EXTRACTED FROM (A) FORM 10-Q5B FOR THE QUARTER ENDED DECEMBER 31, 1997</w:t>
      </w:r>
    </w:p>
    <w:p>
      <w:pPr>
        <w:spacing w:after="0" w:line="203" w:lineRule="exact"/>
        <w:rPr>
          <w:sz w:val="20"/>
          <w:szCs w:val="20"/>
          <w:color w:val="auto"/>
        </w:rPr>
      </w:pPr>
    </w:p>
    <w:p>
      <w:pPr>
        <w:ind w:left="80"/>
        <w:spacing w:after="0"/>
        <w:rPr>
          <w:sz w:val="20"/>
          <w:szCs w:val="20"/>
          <w:color w:val="auto"/>
        </w:rPr>
      </w:pPr>
      <w:r>
        <w:rPr>
          <w:rFonts w:ascii="Courier New" w:cs="Courier New" w:eastAsia="Courier New" w:hAnsi="Courier New"/>
          <w:sz w:val="18"/>
          <w:szCs w:val="18"/>
          <w:color w:val="auto"/>
        </w:rPr>
        <w:t>1</w:t>
      </w:r>
    </w:p>
    <w:p>
      <w:pPr>
        <w:ind w:left="80"/>
        <w:spacing w:after="0" w:line="238" w:lineRule="auto"/>
        <w:rPr>
          <w:sz w:val="20"/>
          <w:szCs w:val="20"/>
          <w:color w:val="auto"/>
        </w:rPr>
      </w:pPr>
      <w:r>
        <w:rPr>
          <w:rFonts w:ascii="Courier New" w:cs="Courier New" w:eastAsia="Courier New" w:hAnsi="Courier New"/>
          <w:sz w:val="18"/>
          <w:szCs w:val="18"/>
          <w:color w:val="auto"/>
        </w:rPr>
        <w:t>U.S. DOLLARS</w:t>
      </w:r>
    </w:p>
    <w:p>
      <w:pPr>
        <w:spacing w:after="0" w:line="200" w:lineRule="exact"/>
        <w:rPr>
          <w:sz w:val="20"/>
          <w:szCs w:val="20"/>
          <w:color w:val="auto"/>
        </w:rPr>
      </w:pPr>
    </w:p>
    <w:p>
      <w:pPr>
        <w:spacing w:after="0" w:line="204"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3-MOS</w:t>
      </w:r>
    </w:p>
    <w:p>
      <w:pPr>
        <w:ind w:left="2700"/>
        <w:spacing w:after="0" w:line="238" w:lineRule="auto"/>
        <w:rPr>
          <w:sz w:val="20"/>
          <w:szCs w:val="20"/>
          <w:color w:val="auto"/>
        </w:rPr>
      </w:pPr>
      <w:r>
        <w:rPr>
          <w:rFonts w:ascii="Courier New" w:cs="Courier New" w:eastAsia="Courier New" w:hAnsi="Courier New"/>
          <w:sz w:val="18"/>
          <w:szCs w:val="18"/>
          <w:color w:val="auto"/>
        </w:rPr>
        <w:t>JUN-30-1998</w:t>
      </w:r>
    </w:p>
    <w:p>
      <w:pPr>
        <w:ind w:left="3020"/>
        <w:spacing w:after="0"/>
        <w:rPr>
          <w:sz w:val="20"/>
          <w:szCs w:val="20"/>
          <w:color w:val="auto"/>
        </w:rPr>
      </w:pPr>
      <w:r>
        <w:rPr>
          <w:rFonts w:ascii="Courier New" w:cs="Courier New" w:eastAsia="Courier New" w:hAnsi="Courier New"/>
          <w:sz w:val="18"/>
          <w:szCs w:val="18"/>
          <w:color w:val="auto"/>
        </w:rPr>
        <w:t>OCT-01-1997</w:t>
      </w:r>
    </w:p>
    <w:p>
      <w:pPr>
        <w:ind w:left="3240"/>
        <w:spacing w:after="0" w:line="237" w:lineRule="auto"/>
        <w:rPr>
          <w:sz w:val="20"/>
          <w:szCs w:val="20"/>
          <w:color w:val="auto"/>
        </w:rPr>
      </w:pPr>
      <w:r>
        <w:rPr>
          <w:rFonts w:ascii="Courier New" w:cs="Courier New" w:eastAsia="Courier New" w:hAnsi="Courier New"/>
          <w:sz w:val="18"/>
          <w:szCs w:val="18"/>
          <w:color w:val="auto"/>
        </w:rPr>
        <w:t>DEC-31-1997</w:t>
      </w:r>
    </w:p>
    <w:p>
      <w:pPr>
        <w:ind w:left="3980"/>
        <w:spacing w:after="0" w:line="238" w:lineRule="auto"/>
        <w:rPr>
          <w:sz w:val="20"/>
          <w:szCs w:val="20"/>
          <w:color w:val="auto"/>
        </w:rPr>
      </w:pPr>
      <w:r>
        <w:rPr>
          <w:rFonts w:ascii="Courier New" w:cs="Courier New" w:eastAsia="Courier New" w:hAnsi="Courier New"/>
          <w:sz w:val="18"/>
          <w:szCs w:val="18"/>
          <w:color w:val="auto"/>
        </w:rPr>
        <w:t>1</w:t>
      </w:r>
    </w:p>
    <w:p>
      <w:pPr>
        <w:ind w:left="4400"/>
        <w:spacing w:after="0"/>
        <w:rPr>
          <w:sz w:val="20"/>
          <w:szCs w:val="20"/>
          <w:color w:val="auto"/>
        </w:rPr>
      </w:pPr>
      <w:r>
        <w:rPr>
          <w:rFonts w:ascii="Courier New" w:cs="Courier New" w:eastAsia="Courier New" w:hAnsi="Courier New"/>
          <w:sz w:val="18"/>
          <w:szCs w:val="18"/>
          <w:color w:val="auto"/>
        </w:rPr>
        <w:t>12,409</w:t>
      </w:r>
    </w:p>
    <w:p>
      <w:pPr>
        <w:ind w:left="4280"/>
        <w:spacing w:after="0" w:line="237" w:lineRule="auto"/>
        <w:rPr>
          <w:sz w:val="20"/>
          <w:szCs w:val="20"/>
          <w:color w:val="auto"/>
        </w:rPr>
      </w:pPr>
      <w:r>
        <w:rPr>
          <w:rFonts w:ascii="Courier New" w:cs="Courier New" w:eastAsia="Courier New" w:hAnsi="Courier New"/>
          <w:sz w:val="18"/>
          <w:szCs w:val="18"/>
          <w:color w:val="auto"/>
        </w:rPr>
        <w:t>0</w:t>
      </w:r>
    </w:p>
    <w:p>
      <w:pPr>
        <w:ind w:left="3340"/>
        <w:spacing w:after="0"/>
        <w:rPr>
          <w:sz w:val="20"/>
          <w:szCs w:val="20"/>
          <w:color w:val="auto"/>
        </w:rPr>
      </w:pPr>
      <w:r>
        <w:rPr>
          <w:rFonts w:ascii="Courier New" w:cs="Courier New" w:eastAsia="Courier New" w:hAnsi="Courier New"/>
          <w:sz w:val="18"/>
          <w:szCs w:val="18"/>
          <w:color w:val="auto"/>
        </w:rPr>
        <w:t>1,569,133</w:t>
      </w:r>
    </w:p>
    <w:p>
      <w:pPr>
        <w:ind w:left="4280"/>
        <w:spacing w:after="0" w:line="237" w:lineRule="auto"/>
        <w:rPr>
          <w:sz w:val="20"/>
          <w:szCs w:val="20"/>
          <w:color w:val="auto"/>
        </w:rPr>
      </w:pPr>
      <w:r>
        <w:rPr>
          <w:rFonts w:ascii="Courier New" w:cs="Courier New" w:eastAsia="Courier New" w:hAnsi="Courier New"/>
          <w:sz w:val="18"/>
          <w:szCs w:val="18"/>
          <w:color w:val="auto"/>
        </w:rPr>
        <w:t>0</w:t>
      </w:r>
    </w:p>
    <w:p>
      <w:pPr>
        <w:ind w:left="3540"/>
        <w:spacing w:after="0"/>
        <w:rPr>
          <w:sz w:val="20"/>
          <w:szCs w:val="20"/>
          <w:color w:val="auto"/>
        </w:rPr>
      </w:pPr>
      <w:r>
        <w:rPr>
          <w:rFonts w:ascii="Courier New" w:cs="Courier New" w:eastAsia="Courier New" w:hAnsi="Courier New"/>
          <w:sz w:val="18"/>
          <w:szCs w:val="18"/>
          <w:color w:val="auto"/>
        </w:rPr>
        <w:t>3,177,134</w:t>
      </w:r>
    </w:p>
    <w:p>
      <w:pPr>
        <w:ind w:left="3020"/>
        <w:spacing w:after="0" w:line="237" w:lineRule="auto"/>
        <w:rPr>
          <w:sz w:val="20"/>
          <w:szCs w:val="20"/>
          <w:color w:val="auto"/>
        </w:rPr>
      </w:pPr>
      <w:r>
        <w:rPr>
          <w:rFonts w:ascii="Courier New" w:cs="Courier New" w:eastAsia="Courier New" w:hAnsi="Courier New"/>
          <w:sz w:val="18"/>
          <w:szCs w:val="18"/>
          <w:color w:val="auto"/>
        </w:rPr>
        <w:t>5,010,455</w:t>
      </w:r>
    </w:p>
    <w:p>
      <w:pPr>
        <w:ind w:left="4080"/>
        <w:spacing w:after="0" w:line="238" w:lineRule="auto"/>
        <w:rPr>
          <w:sz w:val="20"/>
          <w:szCs w:val="20"/>
          <w:color w:val="auto"/>
        </w:rPr>
      </w:pPr>
      <w:r>
        <w:rPr>
          <w:rFonts w:ascii="Courier New" w:cs="Courier New" w:eastAsia="Courier New" w:hAnsi="Courier New"/>
          <w:sz w:val="18"/>
          <w:szCs w:val="18"/>
          <w:color w:val="auto"/>
        </w:rPr>
        <w:t>2,319,881</w:t>
      </w:r>
    </w:p>
    <w:p>
      <w:pPr>
        <w:ind w:left="4080"/>
        <w:spacing w:after="0"/>
        <w:rPr>
          <w:sz w:val="20"/>
          <w:szCs w:val="20"/>
          <w:color w:val="auto"/>
        </w:rPr>
      </w:pPr>
      <w:r>
        <w:rPr>
          <w:rFonts w:ascii="Courier New" w:cs="Courier New" w:eastAsia="Courier New" w:hAnsi="Courier New"/>
          <w:sz w:val="18"/>
          <w:szCs w:val="18"/>
          <w:color w:val="auto"/>
        </w:rPr>
        <w:t>0</w:t>
      </w:r>
    </w:p>
    <w:p>
      <w:pPr>
        <w:ind w:left="3240"/>
        <w:spacing w:after="0" w:line="237" w:lineRule="auto"/>
        <w:rPr>
          <w:sz w:val="20"/>
          <w:szCs w:val="20"/>
          <w:color w:val="auto"/>
        </w:rPr>
      </w:pPr>
      <w:r>
        <w:rPr>
          <w:rFonts w:ascii="Courier New" w:cs="Courier New" w:eastAsia="Courier New" w:hAnsi="Courier New"/>
          <w:sz w:val="18"/>
          <w:szCs w:val="18"/>
          <w:color w:val="auto"/>
        </w:rPr>
        <w:t>7,595,872</w:t>
      </w:r>
    </w:p>
    <w:p>
      <w:pPr>
        <w:ind w:left="2500"/>
        <w:spacing w:after="0"/>
        <w:rPr>
          <w:sz w:val="20"/>
          <w:szCs w:val="20"/>
          <w:color w:val="auto"/>
        </w:rPr>
      </w:pPr>
      <w:r>
        <w:rPr>
          <w:rFonts w:ascii="Courier New" w:cs="Courier New" w:eastAsia="Courier New" w:hAnsi="Courier New"/>
          <w:sz w:val="18"/>
          <w:szCs w:val="18"/>
          <w:color w:val="auto"/>
        </w:rPr>
        <w:t>2,063,725</w:t>
      </w:r>
    </w:p>
    <w:p>
      <w:pPr>
        <w:jc w:val="center"/>
        <w:ind w:right="439"/>
        <w:spacing w:after="0" w:line="237" w:lineRule="auto"/>
        <w:rPr>
          <w:sz w:val="20"/>
          <w:szCs w:val="20"/>
          <w:color w:val="auto"/>
        </w:rPr>
      </w:pPr>
      <w:r>
        <w:rPr>
          <w:rFonts w:ascii="Courier New" w:cs="Courier New" w:eastAsia="Courier New" w:hAnsi="Courier New"/>
          <w:sz w:val="18"/>
          <w:szCs w:val="18"/>
          <w:color w:val="auto"/>
        </w:rPr>
        <w:t>0</w:t>
      </w:r>
    </w:p>
    <w:p>
      <w:pPr>
        <w:ind w:left="3340"/>
        <w:spacing w:after="0"/>
        <w:rPr>
          <w:sz w:val="20"/>
          <w:szCs w:val="20"/>
          <w:color w:val="auto"/>
        </w:rPr>
      </w:pPr>
      <w:r>
        <w:rPr>
          <w:rFonts w:ascii="Courier New" w:cs="Courier New" w:eastAsia="Courier New" w:hAnsi="Courier New"/>
          <w:sz w:val="18"/>
          <w:szCs w:val="18"/>
          <w:color w:val="auto"/>
        </w:rPr>
        <w:t>0</w:t>
      </w:r>
    </w:p>
    <w:p>
      <w:pPr>
        <w:ind w:left="4400"/>
        <w:spacing w:after="0" w:line="237" w:lineRule="auto"/>
        <w:rPr>
          <w:sz w:val="20"/>
          <w:szCs w:val="20"/>
          <w:color w:val="auto"/>
        </w:rPr>
      </w:pPr>
      <w:r>
        <w:rPr>
          <w:rFonts w:ascii="Courier New" w:cs="Courier New" w:eastAsia="Courier New" w:hAnsi="Courier New"/>
          <w:sz w:val="18"/>
          <w:szCs w:val="18"/>
          <w:color w:val="auto"/>
        </w:rPr>
        <w:t>0</w:t>
      </w:r>
    </w:p>
    <w:p>
      <w:pPr>
        <w:ind w:left="4280"/>
        <w:spacing w:after="0" w:line="238" w:lineRule="auto"/>
        <w:rPr>
          <w:sz w:val="20"/>
          <w:szCs w:val="20"/>
          <w:color w:val="auto"/>
        </w:rPr>
      </w:pPr>
      <w:r>
        <w:rPr>
          <w:rFonts w:ascii="Courier New" w:cs="Courier New" w:eastAsia="Courier New" w:hAnsi="Courier New"/>
          <w:sz w:val="18"/>
          <w:szCs w:val="18"/>
          <w:color w:val="auto"/>
        </w:rPr>
        <w:t>7,675</w:t>
      </w:r>
    </w:p>
    <w:p>
      <w:pPr>
        <w:ind w:left="3660"/>
        <w:spacing w:after="0"/>
        <w:rPr>
          <w:sz w:val="20"/>
          <w:szCs w:val="20"/>
          <w:color w:val="auto"/>
        </w:rPr>
      </w:pPr>
      <w:r>
        <w:rPr>
          <w:rFonts w:ascii="Courier New" w:cs="Courier New" w:eastAsia="Courier New" w:hAnsi="Courier New"/>
          <w:sz w:val="18"/>
          <w:szCs w:val="18"/>
          <w:color w:val="auto"/>
        </w:rPr>
        <w:t>4,298,152</w:t>
      </w:r>
    </w:p>
    <w:p>
      <w:pPr>
        <w:ind w:left="1760"/>
        <w:spacing w:after="0" w:line="237" w:lineRule="auto"/>
        <w:rPr>
          <w:sz w:val="20"/>
          <w:szCs w:val="20"/>
          <w:color w:val="auto"/>
        </w:rPr>
      </w:pPr>
      <w:r>
        <w:rPr>
          <w:rFonts w:ascii="Courier New" w:cs="Courier New" w:eastAsia="Courier New" w:hAnsi="Courier New"/>
          <w:sz w:val="18"/>
          <w:szCs w:val="18"/>
          <w:color w:val="auto"/>
        </w:rPr>
        <w:t>7,595,872</w:t>
      </w:r>
    </w:p>
    <w:p>
      <w:pPr>
        <w:ind w:left="3980"/>
        <w:spacing w:after="0"/>
        <w:rPr>
          <w:sz w:val="20"/>
          <w:szCs w:val="20"/>
          <w:color w:val="auto"/>
        </w:rPr>
      </w:pPr>
      <w:r>
        <w:rPr>
          <w:rFonts w:ascii="Courier New" w:cs="Courier New" w:eastAsia="Courier New" w:hAnsi="Courier New"/>
          <w:sz w:val="18"/>
          <w:szCs w:val="18"/>
          <w:color w:val="auto"/>
        </w:rPr>
        <w:t>4,000,813</w:t>
      </w:r>
    </w:p>
    <w:p>
      <w:pPr>
        <w:ind w:left="3020"/>
        <w:spacing w:after="0" w:line="237" w:lineRule="auto"/>
        <w:rPr>
          <w:sz w:val="20"/>
          <w:szCs w:val="20"/>
          <w:color w:val="auto"/>
        </w:rPr>
      </w:pPr>
      <w:r>
        <w:rPr>
          <w:rFonts w:ascii="Courier New" w:cs="Courier New" w:eastAsia="Courier New" w:hAnsi="Courier New"/>
          <w:sz w:val="18"/>
          <w:szCs w:val="18"/>
          <w:color w:val="auto"/>
        </w:rPr>
        <w:t>4,009,642</w:t>
      </w:r>
    </w:p>
    <w:p>
      <w:pPr>
        <w:ind w:left="4180"/>
        <w:spacing w:after="0"/>
        <w:rPr>
          <w:sz w:val="20"/>
          <w:szCs w:val="20"/>
          <w:color w:val="auto"/>
        </w:rPr>
      </w:pPr>
      <w:r>
        <w:rPr>
          <w:rFonts w:ascii="Courier New" w:cs="Courier New" w:eastAsia="Courier New" w:hAnsi="Courier New"/>
          <w:sz w:val="18"/>
          <w:szCs w:val="18"/>
          <w:color w:val="auto"/>
        </w:rPr>
        <w:t>1,799,281</w:t>
      </w:r>
    </w:p>
    <w:p>
      <w:pPr>
        <w:ind w:left="3340"/>
        <w:spacing w:after="0" w:line="237" w:lineRule="auto"/>
        <w:rPr>
          <w:sz w:val="20"/>
          <w:szCs w:val="20"/>
          <w:color w:val="auto"/>
        </w:rPr>
      </w:pPr>
      <w:r>
        <w:rPr>
          <w:rFonts w:ascii="Courier New" w:cs="Courier New" w:eastAsia="Courier New" w:hAnsi="Courier New"/>
          <w:sz w:val="18"/>
          <w:szCs w:val="18"/>
          <w:color w:val="auto"/>
        </w:rPr>
        <w:t>1,863,042</w:t>
      </w:r>
    </w:p>
    <w:p>
      <w:pPr>
        <w:ind w:left="3860"/>
        <w:spacing w:after="0"/>
        <w:rPr>
          <w:sz w:val="20"/>
          <w:szCs w:val="20"/>
          <w:color w:val="auto"/>
        </w:rPr>
      </w:pPr>
      <w:r>
        <w:rPr>
          <w:rFonts w:ascii="Courier New" w:cs="Courier New" w:eastAsia="Courier New" w:hAnsi="Courier New"/>
          <w:sz w:val="18"/>
          <w:szCs w:val="18"/>
          <w:color w:val="auto"/>
        </w:rPr>
        <w:t>0</w:t>
      </w:r>
    </w:p>
    <w:p>
      <w:pPr>
        <w:ind w:left="3860"/>
        <w:spacing w:after="0" w:line="237" w:lineRule="auto"/>
        <w:rPr>
          <w:sz w:val="20"/>
          <w:szCs w:val="20"/>
          <w:color w:val="auto"/>
        </w:rPr>
      </w:pPr>
      <w:r>
        <w:rPr>
          <w:rFonts w:ascii="Courier New" w:cs="Courier New" w:eastAsia="Courier New" w:hAnsi="Courier New"/>
          <w:sz w:val="18"/>
          <w:szCs w:val="18"/>
          <w:color w:val="auto"/>
        </w:rPr>
        <w:t>0</w:t>
      </w:r>
    </w:p>
    <w:p>
      <w:pPr>
        <w:ind w:left="3120"/>
        <w:spacing w:after="0" w:line="238" w:lineRule="auto"/>
        <w:rPr>
          <w:sz w:val="20"/>
          <w:szCs w:val="20"/>
          <w:color w:val="auto"/>
        </w:rPr>
      </w:pPr>
      <w:r>
        <w:rPr>
          <w:rFonts w:ascii="Courier New" w:cs="Courier New" w:eastAsia="Courier New" w:hAnsi="Courier New"/>
          <w:sz w:val="18"/>
          <w:szCs w:val="18"/>
          <w:color w:val="auto"/>
        </w:rPr>
        <w:t>59,797</w:t>
      </w:r>
    </w:p>
    <w:p>
      <w:pPr>
        <w:ind w:left="3340"/>
        <w:spacing w:after="0"/>
        <w:rPr>
          <w:sz w:val="20"/>
          <w:szCs w:val="20"/>
          <w:color w:val="auto"/>
        </w:rPr>
      </w:pPr>
      <w:r>
        <w:rPr>
          <w:rFonts w:ascii="Courier New" w:cs="Courier New" w:eastAsia="Courier New" w:hAnsi="Courier New"/>
          <w:sz w:val="18"/>
          <w:szCs w:val="18"/>
          <w:color w:val="auto"/>
        </w:rPr>
        <w:t>287,522</w:t>
      </w:r>
    </w:p>
    <w:p>
      <w:pPr>
        <w:ind w:left="4280"/>
        <w:spacing w:after="0" w:line="237" w:lineRule="auto"/>
        <w:rPr>
          <w:sz w:val="20"/>
          <w:szCs w:val="20"/>
          <w:color w:val="auto"/>
        </w:rPr>
      </w:pPr>
      <w:r>
        <w:rPr>
          <w:rFonts w:ascii="Courier New" w:cs="Courier New" w:eastAsia="Courier New" w:hAnsi="Courier New"/>
          <w:sz w:val="18"/>
          <w:szCs w:val="18"/>
          <w:color w:val="auto"/>
        </w:rPr>
        <w:t>0</w:t>
      </w:r>
    </w:p>
    <w:p>
      <w:pPr>
        <w:ind w:left="2920"/>
        <w:spacing w:after="0"/>
        <w:rPr>
          <w:sz w:val="20"/>
          <w:szCs w:val="20"/>
          <w:color w:val="auto"/>
        </w:rPr>
      </w:pPr>
      <w:r>
        <w:rPr>
          <w:rFonts w:ascii="Courier New" w:cs="Courier New" w:eastAsia="Courier New" w:hAnsi="Courier New"/>
          <w:sz w:val="18"/>
          <w:szCs w:val="18"/>
          <w:color w:val="auto"/>
        </w:rPr>
        <w:t>287,522</w:t>
      </w:r>
    </w:p>
    <w:p>
      <w:pPr>
        <w:ind w:left="4080"/>
        <w:spacing w:after="0" w:line="237" w:lineRule="auto"/>
        <w:rPr>
          <w:sz w:val="20"/>
          <w:szCs w:val="20"/>
          <w:color w:val="auto"/>
        </w:rPr>
      </w:pPr>
      <w:r>
        <w:rPr>
          <w:rFonts w:ascii="Courier New" w:cs="Courier New" w:eastAsia="Courier New" w:hAnsi="Courier New"/>
          <w:sz w:val="18"/>
          <w:szCs w:val="18"/>
          <w:color w:val="auto"/>
        </w:rPr>
        <w:t>0</w:t>
      </w:r>
    </w:p>
    <w:p>
      <w:pPr>
        <w:ind w:left="3980"/>
        <w:spacing w:after="0"/>
        <w:rPr>
          <w:sz w:val="20"/>
          <w:szCs w:val="20"/>
          <w:color w:val="auto"/>
        </w:rPr>
      </w:pPr>
      <w:r>
        <w:rPr>
          <w:rFonts w:ascii="Courier New" w:cs="Courier New" w:eastAsia="Courier New" w:hAnsi="Courier New"/>
          <w:sz w:val="18"/>
          <w:szCs w:val="18"/>
          <w:color w:val="auto"/>
        </w:rPr>
        <w:t>0</w:t>
      </w:r>
    </w:p>
    <w:p>
      <w:pPr>
        <w:ind w:left="4600"/>
        <w:spacing w:after="0" w:line="237" w:lineRule="auto"/>
        <w:rPr>
          <w:sz w:val="20"/>
          <w:szCs w:val="20"/>
          <w:color w:val="auto"/>
        </w:rPr>
      </w:pPr>
      <w:r>
        <w:rPr>
          <w:rFonts w:ascii="Courier New" w:cs="Courier New" w:eastAsia="Courier New" w:hAnsi="Courier New"/>
          <w:sz w:val="18"/>
          <w:szCs w:val="18"/>
          <w:color w:val="auto"/>
        </w:rPr>
        <w:t>0</w:t>
      </w:r>
    </w:p>
    <w:p>
      <w:pPr>
        <w:ind w:left="3660"/>
        <w:spacing w:after="0" w:line="238" w:lineRule="auto"/>
        <w:rPr>
          <w:sz w:val="20"/>
          <w:szCs w:val="20"/>
          <w:color w:val="auto"/>
        </w:rPr>
      </w:pPr>
      <w:r>
        <w:rPr>
          <w:rFonts w:ascii="Courier New" w:cs="Courier New" w:eastAsia="Courier New" w:hAnsi="Courier New"/>
          <w:sz w:val="18"/>
          <w:szCs w:val="18"/>
          <w:color w:val="auto"/>
        </w:rPr>
        <w:t>287,522</w:t>
      </w:r>
    </w:p>
    <w:p>
      <w:pPr>
        <w:ind w:left="3860"/>
        <w:spacing w:after="0"/>
        <w:rPr>
          <w:sz w:val="20"/>
          <w:szCs w:val="20"/>
          <w:color w:val="auto"/>
        </w:rPr>
      </w:pPr>
      <w:r>
        <w:rPr>
          <w:rFonts w:ascii="Courier New" w:cs="Courier New" w:eastAsia="Courier New" w:hAnsi="Courier New"/>
          <w:sz w:val="18"/>
          <w:szCs w:val="18"/>
          <w:color w:val="auto"/>
        </w:rPr>
        <w:t>0.04</w:t>
      </w:r>
    </w:p>
    <w:p>
      <w:pPr>
        <w:ind w:left="3860"/>
        <w:spacing w:after="0" w:line="237" w:lineRule="auto"/>
        <w:rPr>
          <w:sz w:val="20"/>
          <w:szCs w:val="20"/>
          <w:color w:val="auto"/>
        </w:rPr>
      </w:pPr>
      <w:r>
        <w:rPr>
          <w:rFonts w:ascii="Courier New" w:cs="Courier New" w:eastAsia="Courier New" w:hAnsi="Courier New"/>
          <w:sz w:val="18"/>
          <w:szCs w:val="18"/>
          <w:color w:val="auto"/>
        </w:rPr>
        <w:t>0.04</w:t>
      </w:r>
    </w:p>
    <w:sectPr>
      <w:pgSz w:w="11900" w:h="16838" w:orient="portrait"/>
      <w:cols w:equalWidth="0" w:num="1">
        <w:col w:w="10179"/>
      </w:cols>
      <w:pgMar w:left="28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24"/>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1."/>
      <w:numFmt w:val="decimal"/>
      <w:start w:val="2"/>
    </w:lvl>
  </w:abstractNum>
  <w:abstractNum w:abstractNumId="4">
    <w:nsid w:val="41B71EFB"/>
    <w:multiLevelType w:val="hybridMultilevel"/>
    <w:lvl w:ilvl="0">
      <w:lvlJc w:val="left"/>
      <w:lvlText w:val="%1."/>
      <w:numFmt w:val="decimal"/>
      <w:start w:val="3"/>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lvl w:ilvl="1">
      <w:lvlJc w:val="left"/>
      <w:lvlText w:val="(%2)"/>
      <w:numFmt w:val="lowerLetter"/>
      <w:start w:val="2"/>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2019-12-13T17:39:57Z</dcterms:created>
  <dcterms:modified xsi:type="dcterms:W3CDTF">2019-12-13T17:39:57Z</dcterms:modified>
</cp:coreProperties>
</file>