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August 14, 2020 (August 14, 2020)</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ClearOne,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Delaware</w:t>
            </w:r>
          </w:p>
        </w:tc>
        <w:tc>
          <w:tcPr>
            <w:tcW w:w="1780" w:type="dxa"/>
            <w:vAlign w:val="bottom"/>
            <w:gridSpan w:val="2"/>
          </w:tcPr>
          <w:p>
            <w:pPr>
              <w:jc w:val="center"/>
              <w:ind w:left="350"/>
              <w:spacing w:after="0"/>
              <w:rPr>
                <w:sz w:val="20"/>
                <w:szCs w:val="20"/>
                <w:color w:val="auto"/>
              </w:rPr>
            </w:pPr>
            <w:r>
              <w:rPr>
                <w:rFonts w:ascii="Arial" w:cs="Arial" w:eastAsia="Arial" w:hAnsi="Arial"/>
                <w:sz w:val="18"/>
                <w:szCs w:val="18"/>
                <w:b w:val="1"/>
                <w:bCs w:val="1"/>
                <w:color w:val="auto"/>
                <w:w w:val="90"/>
              </w:rPr>
              <w:t>001-33660</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right"/>
              <w:ind w:right="1690"/>
              <w:spacing w:after="0"/>
              <w:rPr>
                <w:sz w:val="20"/>
                <w:szCs w:val="20"/>
                <w:color w:val="auto"/>
              </w:rPr>
            </w:pPr>
            <w:r>
              <w:rPr>
                <w:rFonts w:ascii="Arial" w:cs="Arial" w:eastAsia="Arial" w:hAnsi="Arial"/>
                <w:sz w:val="18"/>
                <w:szCs w:val="18"/>
                <w:b w:val="1"/>
                <w:bCs w:val="1"/>
                <w:color w:val="auto"/>
              </w:rPr>
              <w:t>87-0398877</w:t>
            </w:r>
          </w:p>
        </w:tc>
      </w:tr>
      <w:tr>
        <w:trPr>
          <w:trHeight w:val="224"/>
        </w:trPr>
        <w:tc>
          <w:tcPr>
            <w:tcW w:w="4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(State or Other Jurisdiction of Incorporation)</w:t>
            </w:r>
          </w:p>
        </w:tc>
        <w:tc>
          <w:tcPr>
            <w:tcW w:w="80" w:type="dxa"/>
            <w:vAlign w:val="bottom"/>
          </w:tcPr>
          <w:p>
            <w:pPr>
              <w:spacing w:after="0"/>
              <w:rPr>
                <w:sz w:val="19"/>
                <w:szCs w:val="19"/>
                <w:color w:val="auto"/>
              </w:rPr>
            </w:pPr>
          </w:p>
        </w:tc>
        <w:tc>
          <w:tcPr>
            <w:tcW w:w="2240" w:type="dxa"/>
            <w:vAlign w:val="bottom"/>
            <w:tcBorders>
              <w:top w:val="single" w:sz="8" w:color="auto"/>
            </w:tcBorders>
            <w:gridSpan w:val="3"/>
          </w:tcPr>
          <w:p>
            <w:pPr>
              <w:ind w:left="140"/>
              <w:spacing w:after="0"/>
              <w:rPr>
                <w:sz w:val="20"/>
                <w:szCs w:val="20"/>
                <w:color w:val="auto"/>
              </w:rPr>
            </w:pPr>
            <w:r>
              <w:rPr>
                <w:rFonts w:ascii="Arial" w:cs="Arial" w:eastAsia="Arial" w:hAnsi="Arial"/>
                <w:sz w:val="18"/>
                <w:szCs w:val="18"/>
                <w:color w:val="auto"/>
                <w:w w:val="97"/>
              </w:rPr>
              <w:t>(Commission File Number)</w:t>
            </w:r>
          </w:p>
        </w:tc>
        <w:tc>
          <w:tcPr>
            <w:tcW w:w="6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600" w:type="dxa"/>
            <w:vAlign w:val="bottom"/>
            <w:tcBorders>
              <w:top w:val="single" w:sz="8" w:color="auto"/>
            </w:tcBorders>
          </w:tcPr>
          <w:p>
            <w:pPr>
              <w:jc w:val="center"/>
              <w:ind w:right="710"/>
              <w:spacing w:after="0"/>
              <w:rPr>
                <w:sz w:val="20"/>
                <w:szCs w:val="20"/>
                <w:color w:val="auto"/>
              </w:rPr>
            </w:pPr>
            <w:r>
              <w:rPr>
                <w:rFonts w:ascii="Arial" w:cs="Arial" w:eastAsia="Arial" w:hAnsi="Arial"/>
                <w:sz w:val="18"/>
                <w:szCs w:val="18"/>
                <w:color w:val="auto"/>
                <w:w w:val="93"/>
              </w:rPr>
              <w:t>(I.R.S. Employer Identification No.)</w:t>
            </w:r>
          </w:p>
        </w:tc>
      </w:tr>
      <w:tr>
        <w:trPr>
          <w:trHeight w:val="418"/>
        </w:trPr>
        <w:tc>
          <w:tcPr>
            <w:tcW w:w="7640" w:type="dxa"/>
            <w:vAlign w:val="bottom"/>
            <w:gridSpan w:val="8"/>
          </w:tcPr>
          <w:p>
            <w:pPr>
              <w:jc w:val="center"/>
              <w:ind w:right="200"/>
              <w:spacing w:after="0"/>
              <w:rPr>
                <w:sz w:val="20"/>
                <w:szCs w:val="20"/>
                <w:color w:val="auto"/>
              </w:rPr>
            </w:pPr>
            <w:r>
              <w:rPr>
                <w:rFonts w:ascii="Arial" w:cs="Arial" w:eastAsia="Arial" w:hAnsi="Arial"/>
                <w:sz w:val="18"/>
                <w:szCs w:val="18"/>
                <w:b w:val="1"/>
                <w:bCs w:val="1"/>
                <w:color w:val="auto"/>
                <w:w w:val="91"/>
              </w:rPr>
              <w:t>5225 Wiley Post Way, Suite 500, Salt Lake City, Utah</w:t>
            </w:r>
          </w:p>
        </w:tc>
        <w:tc>
          <w:tcPr>
            <w:tcW w:w="3600" w:type="dxa"/>
            <w:vAlign w:val="bottom"/>
          </w:tcPr>
          <w:p>
            <w:pPr>
              <w:jc w:val="right"/>
              <w:ind w:right="1490"/>
              <w:spacing w:after="0"/>
              <w:rPr>
                <w:sz w:val="20"/>
                <w:szCs w:val="20"/>
                <w:color w:val="auto"/>
              </w:rPr>
            </w:pPr>
            <w:r>
              <w:rPr>
                <w:rFonts w:ascii="Arial" w:cs="Arial" w:eastAsia="Arial" w:hAnsi="Arial"/>
                <w:sz w:val="18"/>
                <w:szCs w:val="18"/>
                <w:b w:val="1"/>
                <w:bCs w:val="1"/>
                <w:color w:val="auto"/>
              </w:rPr>
              <w:t>84116</w:t>
            </w:r>
          </w:p>
        </w:tc>
      </w:tr>
      <w:tr>
        <w:trPr>
          <w:trHeight w:val="224"/>
        </w:trPr>
        <w:tc>
          <w:tcPr>
            <w:tcW w:w="7440" w:type="dxa"/>
            <w:vAlign w:val="bottom"/>
            <w:tcBorders>
              <w:top w:val="single" w:sz="8" w:color="auto"/>
            </w:tcBorders>
            <w:gridSpan w:val="7"/>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r>
        <w:trPr>
          <w:trHeight w:val="377"/>
        </w:trPr>
        <w:tc>
          <w:tcPr>
            <w:tcW w:w="4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+1 (801) 975-7200</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7"/>
        </w:trPr>
        <w:tc>
          <w:tcPr>
            <w:tcW w:w="7640" w:type="dxa"/>
            <w:vAlign w:val="bottom"/>
            <w:gridSpan w:val="8"/>
          </w:tcPr>
          <w:p>
            <w:pPr>
              <w:jc w:val="center"/>
              <w:ind w:left="3510"/>
              <w:spacing w:after="0"/>
              <w:rPr>
                <w:sz w:val="20"/>
                <w:szCs w:val="20"/>
                <w:color w:val="auto"/>
              </w:rPr>
            </w:pPr>
            <w:r>
              <w:rPr>
                <w:rFonts w:ascii="Arial" w:cs="Arial" w:eastAsia="Arial" w:hAnsi="Arial"/>
                <w:sz w:val="18"/>
                <w:szCs w:val="18"/>
                <w:color w:val="auto"/>
                <w:w w:val="89"/>
              </w:rPr>
              <w:t>(Registrant’s telephone number, including area code)</w:t>
            </w: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 pursuant to Rule 13e-4(c) under the Exchange Act (17 CFR 240.13e-4(c))</w:t>
      </w:r>
    </w:p>
    <w:p>
      <w:pPr>
        <w:spacing w:after="0" w:line="209"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Title of each class</w:t>
            </w:r>
          </w:p>
        </w:tc>
        <w:tc>
          <w:tcPr>
            <w:tcW w:w="960" w:type="dxa"/>
            <w:vAlign w:val="bottom"/>
          </w:tcPr>
          <w:p>
            <w:pPr>
              <w:spacing w:after="0"/>
              <w:rPr>
                <w:sz w:val="18"/>
                <w:szCs w:val="18"/>
                <w:color w:val="auto"/>
              </w:rPr>
            </w:pPr>
          </w:p>
        </w:tc>
        <w:tc>
          <w:tcPr>
            <w:tcW w:w="2840" w:type="dxa"/>
            <w:vAlign w:val="bottom"/>
            <w:gridSpan w:val="3"/>
          </w:tcPr>
          <w:p>
            <w:pPr>
              <w:jc w:val="center"/>
              <w:spacing w:after="0"/>
              <w:rPr>
                <w:sz w:val="20"/>
                <w:szCs w:val="20"/>
                <w:color w:val="auto"/>
              </w:rPr>
            </w:pPr>
            <w:r>
              <w:rPr>
                <w:rFonts w:ascii="Arial" w:cs="Arial" w:eastAsia="Arial" w:hAnsi="Arial"/>
                <w:sz w:val="18"/>
                <w:szCs w:val="18"/>
                <w:color w:val="auto"/>
                <w:w w:val="92"/>
              </w:rPr>
              <w:t>Trading Symbol(s)</w:t>
            </w:r>
          </w:p>
        </w:tc>
        <w:tc>
          <w:tcPr>
            <w:tcW w:w="4900" w:type="dxa"/>
            <w:vAlign w:val="bottom"/>
            <w:gridSpan w:val="3"/>
          </w:tcPr>
          <w:p>
            <w:pPr>
              <w:jc w:val="center"/>
              <w:ind w:right="240"/>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12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37"/>
        </w:trPr>
        <w:tc>
          <w:tcPr>
            <w:tcW w:w="3500" w:type="dxa"/>
            <w:vAlign w:val="bottom"/>
            <w:gridSpan w:val="3"/>
          </w:tcPr>
          <w:p>
            <w:pPr>
              <w:jc w:val="center"/>
              <w:ind w:left="190"/>
              <w:spacing w:after="0"/>
              <w:rPr>
                <w:sz w:val="20"/>
                <w:szCs w:val="20"/>
                <w:color w:val="auto"/>
              </w:rPr>
            </w:pPr>
            <w:r>
              <w:rPr>
                <w:rFonts w:ascii="Arial" w:cs="Arial" w:eastAsia="Arial" w:hAnsi="Arial"/>
                <w:sz w:val="18"/>
                <w:szCs w:val="18"/>
                <w:color w:val="auto"/>
                <w:w w:val="90"/>
              </w:rPr>
              <w:t>Common Stock, $0.001</w:t>
            </w:r>
          </w:p>
        </w:tc>
        <w:tc>
          <w:tcPr>
            <w:tcW w:w="760" w:type="dxa"/>
            <w:vAlign w:val="bottom"/>
          </w:tcPr>
          <w:p>
            <w:pPr>
              <w:spacing w:after="0"/>
              <w:rPr>
                <w:sz w:val="20"/>
                <w:szCs w:val="20"/>
                <w:color w:val="auto"/>
              </w:rPr>
            </w:pPr>
          </w:p>
        </w:tc>
        <w:tc>
          <w:tcPr>
            <w:tcW w:w="2080" w:type="dxa"/>
            <w:vAlign w:val="bottom"/>
            <w:gridSpan w:val="2"/>
          </w:tcPr>
          <w:p>
            <w:pPr>
              <w:jc w:val="center"/>
              <w:ind w:right="720"/>
              <w:spacing w:after="0"/>
              <w:rPr>
                <w:sz w:val="20"/>
                <w:szCs w:val="20"/>
                <w:color w:val="auto"/>
              </w:rPr>
            </w:pPr>
            <w:r>
              <w:rPr>
                <w:rFonts w:ascii="Arial" w:cs="Arial" w:eastAsia="Arial" w:hAnsi="Arial"/>
                <w:sz w:val="18"/>
                <w:szCs w:val="18"/>
                <w:color w:val="auto"/>
                <w:w w:val="95"/>
              </w:rPr>
              <w:t>CLRO</w:t>
            </w:r>
          </w:p>
        </w:tc>
        <w:tc>
          <w:tcPr>
            <w:tcW w:w="740" w:type="dxa"/>
            <w:vAlign w:val="bottom"/>
          </w:tcPr>
          <w:p>
            <w:pPr>
              <w:spacing w:after="0"/>
              <w:rPr>
                <w:sz w:val="20"/>
                <w:szCs w:val="20"/>
                <w:color w:val="auto"/>
              </w:rPr>
            </w:pPr>
          </w:p>
        </w:tc>
        <w:tc>
          <w:tcPr>
            <w:tcW w:w="4160" w:type="dxa"/>
            <w:vAlign w:val="bottom"/>
            <w:gridSpan w:val="2"/>
          </w:tcPr>
          <w:p>
            <w:pPr>
              <w:jc w:val="center"/>
              <w:ind w:right="980"/>
              <w:spacing w:after="0"/>
              <w:rPr>
                <w:sz w:val="20"/>
                <w:szCs w:val="20"/>
                <w:color w:val="auto"/>
              </w:rPr>
            </w:pPr>
            <w:r>
              <w:rPr>
                <w:rFonts w:ascii="Arial" w:cs="Arial" w:eastAsia="Arial" w:hAnsi="Arial"/>
                <w:sz w:val="18"/>
                <w:szCs w:val="18"/>
                <w:color w:val="auto"/>
                <w:w w:val="95"/>
              </w:rPr>
              <w:t>The NASDAQ Capital Market</w:t>
            </w:r>
          </w:p>
        </w:tc>
      </w:tr>
      <w:tr>
        <w:trPr>
          <w:trHeight w:val="317"/>
        </w:trPr>
        <w:tc>
          <w:tcPr>
            <w:tcW w:w="1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On August 14, 2020, ClearOne, Inc. (the “Company”) issued a press release announcing its financial results for the three and six months ended June 30, 2020. The full text of the press release is attached as Exhibit 99.1.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29" w:lineRule="exact"/>
        <w:rPr>
          <w:sz w:val="20"/>
          <w:szCs w:val="20"/>
          <w:color w:val="auto"/>
        </w:rPr>
      </w:pPr>
    </w:p>
    <w:p>
      <w:pPr>
        <w:spacing w:after="0"/>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Exhibit 99.1</w:t>
      </w:r>
      <w:r>
        <w:rPr>
          <w:sz w:val="20"/>
          <w:szCs w:val="20"/>
          <w:color w:val="auto"/>
        </w:rPr>
        <w:tab/>
      </w:r>
      <w:hyperlink w:anchor="page4">
        <w:r>
          <w:rPr>
            <w:rFonts w:ascii="Arial" w:cs="Arial" w:eastAsia="Arial" w:hAnsi="Arial"/>
            <w:sz w:val="16"/>
            <w:szCs w:val="16"/>
            <w:u w:val="single" w:color="auto"/>
            <w:color w:val="0000EE"/>
          </w:rPr>
          <w:t>Press Release of ClearOne, Inc. dated August 14, 2020.</w:t>
        </w:r>
      </w:hyperlink>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information included in this Current Report on Form 8-K (including the exhibit hereto) is being furnished under Item 2.02, “Results of Operations and Financial Condition” and Item 9.01 “Financial Statements and Exhibits” of Form 8-K. As such, the information (including the exhibit) herein shall not be deemed to be “filed” for the purposes of Section 18 of the Securities Exchange Act of 1934, as amended (the “Exchange Act”), or otherwise subject to the liabilities of that Section, nor shall it be incorporated by reference into a filing under the Securities Act of 1933, as amended, or the Exchange Act, except as shall be expressly set forth by specific reference in such a filing. This Current Report (including the exhibit hereto) will not be deemed an admission as to the materiality of any information required to be disclosed solely to satisfy the requirements of Regulation FD.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53" w:right="4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7900" w:type="dxa"/>
            <w:vAlign w:val="bottom"/>
            <w:gridSpan w:val="2"/>
          </w:tcPr>
          <w:p>
            <w:pPr>
              <w:ind w:left="1700"/>
              <w:spacing w:after="0"/>
              <w:rPr>
                <w:sz w:val="20"/>
                <w:szCs w:val="20"/>
                <w:color w:val="auto"/>
              </w:rPr>
            </w:pPr>
            <w:r>
              <w:rPr>
                <w:rFonts w:ascii="Arial" w:cs="Arial" w:eastAsia="Arial" w:hAnsi="Arial"/>
                <w:sz w:val="18"/>
                <w:szCs w:val="18"/>
                <w:color w:val="auto"/>
              </w:rPr>
              <w:t>CLEARONE, INC.</w:t>
            </w:r>
          </w:p>
        </w:tc>
      </w:tr>
      <w:tr>
        <w:trPr>
          <w:trHeight w:val="459"/>
        </w:trPr>
        <w:tc>
          <w:tcPr>
            <w:tcW w:w="3340" w:type="dxa"/>
            <w:vAlign w:val="bottom"/>
          </w:tcPr>
          <w:p>
            <w:pPr>
              <w:spacing w:after="0"/>
              <w:rPr>
                <w:sz w:val="20"/>
                <w:szCs w:val="20"/>
                <w:color w:val="auto"/>
              </w:rPr>
            </w:pPr>
            <w:r>
              <w:rPr>
                <w:rFonts w:ascii="Arial" w:cs="Arial" w:eastAsia="Arial" w:hAnsi="Arial"/>
                <w:sz w:val="18"/>
                <w:szCs w:val="18"/>
                <w:color w:val="auto"/>
              </w:rPr>
              <w:t>Date: August 14, 2020</w:t>
            </w:r>
          </w:p>
        </w:tc>
        <w:tc>
          <w:tcPr>
            <w:tcW w:w="7900" w:type="dxa"/>
            <w:vAlign w:val="bottom"/>
            <w:gridSpan w:val="2"/>
          </w:tcPr>
          <w:p>
            <w:pPr>
              <w:ind w:left="170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i w:val="1"/>
                <w:iCs w:val="1"/>
                <w:color w:val="auto"/>
              </w:rPr>
              <w:t>/s/ Zeynep Hakimoglu</w:t>
            </w:r>
          </w:p>
        </w:tc>
      </w:tr>
      <w:tr>
        <w:trPr>
          <w:trHeight w:val="224"/>
        </w:trPr>
        <w:tc>
          <w:tcPr>
            <w:tcW w:w="33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5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Zeynep Hakimoglu</w:t>
            </w:r>
          </w:p>
        </w:tc>
      </w:tr>
      <w:tr>
        <w:trPr>
          <w:trHeight w:val="445"/>
        </w:trPr>
        <w:tc>
          <w:tcPr>
            <w:tcW w:w="33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Chief Executive Officer (Principal Executive Officer)</w:t>
            </w:r>
          </w:p>
        </w:tc>
      </w:tr>
    </w:tbl>
    <w:p>
      <w:pPr>
        <w:sectPr>
          <w:pgSz w:w="11900" w:h="16838" w:orient="portrait"/>
          <w:cols w:equalWidth="0" w:num="1">
            <w:col w:w="11240"/>
          </w:cols>
          <w:pgMar w:left="320" w:top="553"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74470" cy="325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474470" cy="325755"/>
                    </a:xfrm>
                    <a:prstGeom prst="rect">
                      <a:avLst/>
                    </a:prstGeom>
                    <a:noFill/>
                  </pic:spPr>
                </pic:pic>
              </a:graphicData>
            </a:graphic>
          </wp:anchor>
        </w:drawing>
        <w:t>ClearOne Reports Second Quarter 2020 Financial Results</w:t>
      </w:r>
    </w:p>
    <w:p>
      <w:pPr>
        <w:spacing w:after="0" w:line="229" w:lineRule="exact"/>
        <w:rPr>
          <w:sz w:val="20"/>
          <w:szCs w:val="20"/>
          <w:color w:val="auto"/>
        </w:rPr>
      </w:pPr>
    </w:p>
    <w:p>
      <w:pPr>
        <w:ind w:left="340" w:hanging="331"/>
        <w:spacing w:after="0"/>
        <w:tabs>
          <w:tab w:leader="none" w:pos="34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Q2 Video revenue increases by 40% year-over-year</w:t>
      </w:r>
    </w:p>
    <w:p>
      <w:pPr>
        <w:spacing w:after="0" w:line="76" w:lineRule="exact"/>
        <w:rPr>
          <w:rFonts w:ascii="Arial" w:cs="Arial" w:eastAsia="Arial" w:hAnsi="Arial"/>
          <w:sz w:val="18"/>
          <w:szCs w:val="18"/>
          <w:b w:val="1"/>
          <w:bCs w:val="1"/>
          <w:i w:val="1"/>
          <w:iCs w:val="1"/>
          <w:color w:val="auto"/>
        </w:rPr>
      </w:pPr>
    </w:p>
    <w:p>
      <w:pPr>
        <w:ind w:left="340" w:hanging="331"/>
        <w:spacing w:after="0"/>
        <w:tabs>
          <w:tab w:leader="none" w:pos="34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Overall revenue grows by 11% quarter-over-quarter sequentially</w:t>
      </w:r>
    </w:p>
    <w:p>
      <w:pPr>
        <w:spacing w:after="0" w:line="76" w:lineRule="exact"/>
        <w:rPr>
          <w:rFonts w:ascii="Arial" w:cs="Arial" w:eastAsia="Arial" w:hAnsi="Arial"/>
          <w:sz w:val="18"/>
          <w:szCs w:val="18"/>
          <w:b w:val="1"/>
          <w:bCs w:val="1"/>
          <w:i w:val="1"/>
          <w:iCs w:val="1"/>
          <w:color w:val="auto"/>
        </w:rPr>
      </w:pPr>
    </w:p>
    <w:p>
      <w:pPr>
        <w:ind w:left="340" w:hanging="331"/>
        <w:spacing w:after="0" w:line="277" w:lineRule="auto"/>
        <w:tabs>
          <w:tab w:leader="none" w:pos="34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New solutions incorporating the Beamforming Microphone Array Ceiling Tile drive year-over-year and sequential BMA revenue growth despite COVID-19</w:t>
      </w:r>
    </w:p>
    <w:p>
      <w:pPr>
        <w:spacing w:after="0" w:line="15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SALT LAKE CITY, UTAH – Aug. 14, 2020 – ClearOne (NASDAQ: CLRO), a global provider of audio and visual communication solutions, reported financial results for the three and six month periods ended June 30, 2020.</w:t>
      </w:r>
    </w:p>
    <w:p>
      <w:pPr>
        <w:spacing w:after="0" w:line="15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posted solid double-digit sequential revenue growth thanks to our innovative video products and BMA based solutions. Sales performance of our ground-breaking new solutions incorporating our Beamforming Microphone Array Ceiling Tile was impressive given the challenges posed by the COVID-19 environment for global installed audio conferencing market," said Zee Hakimoglu, CEO and Chair of ClearOne.</w:t>
      </w:r>
    </w:p>
    <w:p>
      <w:pPr>
        <w:spacing w:after="0" w:line="15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versatility of our solutions is highlighted by the success of our video products which are tailor-made for verticals like education and enterprises looking to professionally equip their remote workforce. We believe our outlook for Q3 is very positive as we have already recorded in excess of $5 million in bookings that include shipped revenue and backlog, most of which we expect to fulfill this quarter," Hakimoglu added.</w:t>
      </w:r>
    </w:p>
    <w:p>
      <w:pPr>
        <w:spacing w:after="0" w:line="15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"Our continuing investment in advanced technologies has resulted in another significant patent relating to beamforming microphone array technology awarded to us by the US Patent and Trademark Office. This important patent describes a ceiling tile microphone that includes beamforming, acoustic echo cancellation, and adaptive acoustic processing that automatically adjusts to a room configuration. There is no language in the claims of the new patent limiting its scope to flush-mounted ceiling tile beamforming microphone arrays, as opposed to non-flush mounted ceiling tile beamforming microphone arrays," Hakimoglu concluded.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certain non-GAAP financial measures and reconciles those to GAAP measures in the attached tables.</w:t>
      </w:r>
    </w:p>
    <w:p>
      <w:pPr>
        <w:spacing w:after="0" w:line="144" w:lineRule="exact"/>
        <w:rPr>
          <w:sz w:val="20"/>
          <w:szCs w:val="20"/>
          <w:color w:val="auto"/>
        </w:rPr>
      </w:pPr>
    </w:p>
    <w:p>
      <w:pPr>
        <w:jc w:val="both"/>
        <w:ind w:left="400" w:hanging="388"/>
        <w:spacing w:after="0" w:line="259" w:lineRule="auto"/>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Q2 2020 revenue was almost the same as revenue in Q2 2019 at $6.4 million, compared to $5.7 million in Q1 2020. The sequential increase was mainly due to the increase in revenue from video products, personal audio conferencing products and beamforming microphone array products. Despite the sequential increase in Q2, the revenue from our audio conferencing products and microphones are far below the levels prior to infringement of our patents.</w:t>
      </w:r>
    </w:p>
    <w:p>
      <w:pPr>
        <w:spacing w:after="0" w:line="173" w:lineRule="exact"/>
        <w:rPr>
          <w:rFonts w:ascii="Arial" w:cs="Arial" w:eastAsia="Arial" w:hAnsi="Arial"/>
          <w:sz w:val="18"/>
          <w:szCs w:val="18"/>
          <w:color w:val="auto"/>
        </w:rPr>
      </w:pPr>
    </w:p>
    <w:p>
      <w:pPr>
        <w:jc w:val="both"/>
        <w:ind w:left="420" w:hanging="408"/>
        <w:spacing w:after="0" w:line="257"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GAAP gross profit in Q2 2020 was $2.6 million compared to $2.9 million in Q2 2019 and $2.8 million in Q1 2020. GAAP gross profit margin was 41% in Q2 2020, compared to 46% in Q2 2019 and 49% in Q1 2020. Gross profit margin decreased year over year mainly due to a shift in the revenue mix, increased freight and tariff costs and increased inventory obsolescence costs, partially offset by a decrease in overhead costs. Sequential gross profit margin was negatively impacted by a shift in our revenue mix in addition to factors like higher tariff burden, higher freight costs and increased inventory obsolescence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4" w:name="page5"/>
    <w:bookmarkEnd w:id="4"/>
    <w:p>
      <w:pPr>
        <w:jc w:val="both"/>
        <w:ind w:left="400" w:hanging="388"/>
        <w:spacing w:after="0" w:line="301" w:lineRule="auto"/>
        <w:tabs>
          <w:tab w:leader="none" w:pos="400" w:val="left"/>
        </w:tabs>
        <w:numPr>
          <w:ilvl w:val="0"/>
          <w:numId w:val="4"/>
        </w:numPr>
        <w:rPr>
          <w:rFonts w:ascii="Arial" w:cs="Arial" w:eastAsia="Arial" w:hAnsi="Arial"/>
          <w:sz w:val="16"/>
          <w:szCs w:val="16"/>
          <w:color w:val="auto"/>
        </w:rPr>
      </w:pPr>
      <w:r>
        <w:rPr>
          <w:rFonts w:ascii="Arial" w:cs="Arial" w:eastAsia="Arial" w:hAnsi="Arial"/>
          <w:sz w:val="16"/>
          <w:szCs w:val="16"/>
          <w:color w:val="auto"/>
        </w:rPr>
        <w:t>Operating expenses in Q2 2020 were $4.5 million, compared to $5.0 million in Q2 2019 and $4.6 million in Q1 2020. Non-GAAP operating expenses in Q2 2020 were $4.0 million, compared to $4.7 million in Q2 2019 and $4.2 million in Q1 2020. The majority of the sequential decline as well as decrease in Q2 2020 operating expenses over Q2 2019 is attributable to decreases in each of trade-show related expenses, employee travel related expenses, demonstration inventory expenses, and independent rep commissions partially offset by an increase in employee benefits costs.</w:t>
      </w:r>
    </w:p>
    <w:p>
      <w:pPr>
        <w:spacing w:after="0" w:line="157" w:lineRule="exact"/>
        <w:rPr>
          <w:rFonts w:ascii="Arial" w:cs="Arial" w:eastAsia="Arial" w:hAnsi="Arial"/>
          <w:sz w:val="16"/>
          <w:szCs w:val="16"/>
          <w:color w:val="auto"/>
        </w:rPr>
      </w:pPr>
    </w:p>
    <w:p>
      <w:pPr>
        <w:jc w:val="both"/>
        <w:ind w:left="400" w:right="20" w:hanging="388"/>
        <w:spacing w:after="0" w:line="286" w:lineRule="auto"/>
        <w:tabs>
          <w:tab w:leader="none" w:pos="400" w:val="left"/>
        </w:tabs>
        <w:numPr>
          <w:ilvl w:val="0"/>
          <w:numId w:val="4"/>
        </w:numPr>
        <w:rPr>
          <w:rFonts w:ascii="Arial" w:cs="Arial" w:eastAsia="Arial" w:hAnsi="Arial"/>
          <w:sz w:val="17"/>
          <w:szCs w:val="17"/>
          <w:color w:val="auto"/>
        </w:rPr>
      </w:pPr>
      <w:r>
        <w:rPr>
          <w:rFonts w:ascii="Arial" w:cs="Arial" w:eastAsia="Arial" w:hAnsi="Arial"/>
          <w:sz w:val="17"/>
          <w:szCs w:val="17"/>
          <w:color w:val="auto"/>
        </w:rPr>
        <w:t>GAAP net loss in Q2 2020 was $1.9 million, or $0.12 per share, compared to net loss of $2.1 million, or $0.13 per share, in Q2 2019 and net loss of $1.8 million, or $0.11 per share, in Q1 2020. The decrease in net loss in Q2 2020 compared to Q2 2019 was primarily due to a decrease in operating costs partially offset by a reduction in gross margin. The net loss in Q2 2020 does not materially vary from the net loss in Q1 2020.</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3460" w:type="dxa"/>
            <w:vAlign w:val="bottom"/>
            <w:gridSpan w:val="3"/>
          </w:tcPr>
          <w:p>
            <w:pPr>
              <w:spacing w:after="0"/>
              <w:rPr>
                <w:sz w:val="20"/>
                <w:szCs w:val="20"/>
                <w:color w:val="auto"/>
              </w:rPr>
            </w:pPr>
            <w:r>
              <w:rPr>
                <w:rFonts w:ascii="Arial" w:cs="Arial" w:eastAsia="Arial" w:hAnsi="Arial"/>
                <w:sz w:val="16"/>
                <w:szCs w:val="16"/>
                <w:b w:val="1"/>
                <w:bCs w:val="1"/>
                <w:color w:val="auto"/>
              </w:rPr>
              <w:t>($ in 000, except per share)</w:t>
            </w:r>
          </w:p>
        </w:tc>
        <w:tc>
          <w:tcPr>
            <w:tcW w:w="1040" w:type="dxa"/>
            <w:vAlign w:val="bottom"/>
          </w:tcPr>
          <w:p>
            <w:pPr>
              <w:spacing w:after="0"/>
              <w:rPr>
                <w:sz w:val="20"/>
                <w:szCs w:val="20"/>
                <w:color w:val="auto"/>
              </w:rPr>
            </w:pPr>
          </w:p>
        </w:tc>
        <w:tc>
          <w:tcPr>
            <w:tcW w:w="3260" w:type="dxa"/>
            <w:vAlign w:val="bottom"/>
            <w:gridSpan w:val="5"/>
          </w:tcPr>
          <w:p>
            <w:pPr>
              <w:jc w:val="right"/>
              <w:ind w:right="740"/>
              <w:spacing w:after="0"/>
              <w:rPr>
                <w:sz w:val="20"/>
                <w:szCs w:val="20"/>
                <w:color w:val="auto"/>
              </w:rPr>
            </w:pPr>
            <w:r>
              <w:rPr>
                <w:rFonts w:ascii="Arial" w:cs="Arial" w:eastAsia="Arial" w:hAnsi="Arial"/>
                <w:sz w:val="16"/>
                <w:szCs w:val="16"/>
                <w:b w:val="1"/>
                <w:bCs w:val="1"/>
                <w:color w:val="auto"/>
              </w:rPr>
              <w:t>Three months ended June 30,</w:t>
            </w:r>
          </w:p>
        </w:tc>
        <w:tc>
          <w:tcPr>
            <w:tcW w:w="200" w:type="dxa"/>
            <w:vAlign w:val="bottom"/>
          </w:tcPr>
          <w:p>
            <w:pPr>
              <w:spacing w:after="0"/>
              <w:rPr>
                <w:sz w:val="20"/>
                <w:szCs w:val="20"/>
                <w:color w:val="auto"/>
              </w:rPr>
            </w:pPr>
          </w:p>
        </w:tc>
        <w:tc>
          <w:tcPr>
            <w:tcW w:w="3220" w:type="dxa"/>
            <w:vAlign w:val="bottom"/>
            <w:gridSpan w:val="5"/>
          </w:tcPr>
          <w:p>
            <w:pPr>
              <w:jc w:val="right"/>
              <w:ind w:right="780"/>
              <w:spacing w:after="0"/>
              <w:rPr>
                <w:sz w:val="20"/>
                <w:szCs w:val="20"/>
                <w:color w:val="auto"/>
              </w:rPr>
            </w:pPr>
            <w:r>
              <w:rPr>
                <w:rFonts w:ascii="Arial" w:cs="Arial" w:eastAsia="Arial" w:hAnsi="Arial"/>
                <w:sz w:val="18"/>
                <w:szCs w:val="18"/>
                <w:color w:val="auto"/>
              </w:rPr>
              <w:t>S</w:t>
            </w:r>
            <w:r>
              <w:rPr>
                <w:rFonts w:ascii="Arial" w:cs="Arial" w:eastAsia="Arial" w:hAnsi="Arial"/>
                <w:sz w:val="16"/>
                <w:szCs w:val="16"/>
                <w:b w:val="1"/>
                <w:bCs w:val="1"/>
                <w:color w:val="auto"/>
              </w:rPr>
              <w:t>ix months ended June 30,</w:t>
            </w:r>
          </w:p>
        </w:tc>
      </w:tr>
      <w:tr>
        <w:trPr>
          <w:trHeight w:val="207"/>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Borders>
              <w:top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2020</w:t>
            </w: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2019</w:t>
            </w:r>
          </w:p>
        </w:tc>
        <w:tc>
          <w:tcPr>
            <w:tcW w:w="820" w:type="dxa"/>
            <w:vAlign w:val="bottom"/>
            <w:tcBorders>
              <w:top w:val="single" w:sz="8" w:color="auto"/>
            </w:tcBorders>
          </w:tcPr>
          <w:p>
            <w:pPr>
              <w:jc w:val="right"/>
              <w:ind w:right="91"/>
              <w:spacing w:after="0"/>
              <w:rPr>
                <w:sz w:val="20"/>
                <w:szCs w:val="20"/>
                <w:color w:val="auto"/>
              </w:rPr>
            </w:pPr>
            <w:r>
              <w:rPr>
                <w:rFonts w:ascii="Arial" w:cs="Arial" w:eastAsia="Arial" w:hAnsi="Arial"/>
                <w:sz w:val="16"/>
                <w:szCs w:val="16"/>
                <w:b w:val="1"/>
                <w:bCs w:val="1"/>
                <w:color w:val="auto"/>
              </w:rPr>
              <w:t>Change</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Borders>
              <w:top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2020</w:t>
            </w: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2019</w:t>
            </w:r>
          </w:p>
        </w:tc>
        <w:tc>
          <w:tcPr>
            <w:tcW w:w="860" w:type="dxa"/>
            <w:vAlign w:val="bottom"/>
            <w:tcBorders>
              <w:top w:val="single" w:sz="8" w:color="auto"/>
            </w:tcBorders>
          </w:tcPr>
          <w:p>
            <w:pPr>
              <w:jc w:val="right"/>
              <w:ind w:right="111"/>
              <w:spacing w:after="0"/>
              <w:rPr>
                <w:sz w:val="20"/>
                <w:szCs w:val="20"/>
                <w:color w:val="auto"/>
              </w:rPr>
            </w:pPr>
            <w:r>
              <w:rPr>
                <w:rFonts w:ascii="Arial" w:cs="Arial" w:eastAsia="Arial" w:hAnsi="Arial"/>
                <w:sz w:val="16"/>
                <w:szCs w:val="16"/>
                <w:b w:val="1"/>
                <w:bCs w:val="1"/>
                <w:color w:val="auto"/>
              </w:rPr>
              <w:t>Change</w:t>
            </w:r>
          </w:p>
        </w:tc>
        <w:tc>
          <w:tcPr>
            <w:tcW w:w="160" w:type="dxa"/>
            <w:vAlign w:val="bottom"/>
          </w:tcPr>
          <w:p>
            <w:pPr>
              <w:spacing w:after="0"/>
              <w:rPr>
                <w:sz w:val="17"/>
                <w:szCs w:val="17"/>
                <w:color w:val="auto"/>
              </w:rPr>
            </w:pPr>
          </w:p>
        </w:tc>
      </w:tr>
      <w:tr>
        <w:trPr>
          <w:trHeight w:val="212"/>
        </w:trPr>
        <w:tc>
          <w:tcPr>
            <w:tcW w:w="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w w:val="95"/>
              </w:rPr>
              <w:t>GAAP</w:t>
            </w:r>
          </w:p>
        </w:tc>
        <w:tc>
          <w:tcPr>
            <w:tcW w:w="3000" w:type="dxa"/>
            <w:vAlign w:val="bottom"/>
            <w:tcBorders>
              <w:bottom w:val="single" w:sz="8" w:color="CCEEFF"/>
            </w:tcBorders>
            <w:gridSpan w:val="2"/>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3460" w:type="dxa"/>
            <w:vAlign w:val="bottom"/>
            <w:gridSpan w:val="3"/>
          </w:tcPr>
          <w:p>
            <w:pPr>
              <w:spacing w:after="0"/>
              <w:rPr>
                <w:sz w:val="20"/>
                <w:szCs w:val="20"/>
                <w:color w:val="auto"/>
              </w:rPr>
            </w:pPr>
            <w:r>
              <w:rPr>
                <w:rFonts w:ascii="Arial" w:cs="Arial" w:eastAsia="Arial" w:hAnsi="Arial"/>
                <w:sz w:val="18"/>
                <w:szCs w:val="18"/>
                <w:color w:val="auto"/>
              </w:rPr>
              <w:t>Revenue</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6,357</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6,420</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12,091</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12,725</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r>
      <w:tr>
        <w:trPr>
          <w:trHeight w:val="229"/>
        </w:trPr>
        <w:tc>
          <w:tcPr>
            <w:tcW w:w="40" w:type="dxa"/>
            <w:vAlign w:val="bottom"/>
            <w:shd w:val="clear" w:color="auto" w:fill="CCEEFF"/>
          </w:tcPr>
          <w:p>
            <w:pPr>
              <w:spacing w:after="0"/>
              <w:rPr>
                <w:sz w:val="19"/>
                <w:szCs w:val="19"/>
                <w:color w:val="auto"/>
              </w:rPr>
            </w:pPr>
          </w:p>
        </w:tc>
        <w:tc>
          <w:tcPr>
            <w:tcW w:w="3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2,618</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2,939</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5,456</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5,643</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r>
      <w:tr>
        <w:trPr>
          <w:trHeight w:val="229"/>
        </w:trPr>
        <w:tc>
          <w:tcPr>
            <w:tcW w:w="40" w:type="dxa"/>
            <w:vAlign w:val="bottom"/>
          </w:tcPr>
          <w:p>
            <w:pPr>
              <w:spacing w:after="0"/>
              <w:rPr>
                <w:sz w:val="19"/>
                <w:szCs w:val="19"/>
                <w:color w:val="auto"/>
              </w:rPr>
            </w:pPr>
          </w:p>
        </w:tc>
        <w:tc>
          <w:tcPr>
            <w:tcW w:w="346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104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4,457</w:t>
            </w:r>
          </w:p>
        </w:tc>
        <w:tc>
          <w:tcPr>
            <w:tcW w:w="280" w:type="dxa"/>
            <w:vAlign w:val="bottom"/>
          </w:tcPr>
          <w:p>
            <w:pPr>
              <w:spacing w:after="0"/>
              <w:rPr>
                <w:sz w:val="19"/>
                <w:szCs w:val="19"/>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5,043</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9"/>
                <w:szCs w:val="19"/>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9,046</w:t>
            </w:r>
          </w:p>
        </w:tc>
        <w:tc>
          <w:tcPr>
            <w:tcW w:w="280" w:type="dxa"/>
            <w:vAlign w:val="bottom"/>
          </w:tcPr>
          <w:p>
            <w:pPr>
              <w:spacing w:after="0"/>
              <w:rPr>
                <w:sz w:val="19"/>
                <w:szCs w:val="19"/>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10,138</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r>
      <w:tr>
        <w:trPr>
          <w:trHeight w:val="230"/>
        </w:trPr>
        <w:tc>
          <w:tcPr>
            <w:tcW w:w="40" w:type="dxa"/>
            <w:vAlign w:val="bottom"/>
            <w:shd w:val="clear" w:color="auto" w:fill="CCEEFF"/>
          </w:tcPr>
          <w:p>
            <w:pPr>
              <w:spacing w:after="0"/>
              <w:rPr>
                <w:sz w:val="19"/>
                <w:szCs w:val="19"/>
                <w:color w:val="auto"/>
              </w:rPr>
            </w:pPr>
          </w:p>
        </w:tc>
        <w:tc>
          <w:tcPr>
            <w:tcW w:w="3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(2,104)</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(3,590)</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(4,495)</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r>
      <w:tr>
        <w:trPr>
          <w:trHeight w:val="229"/>
        </w:trPr>
        <w:tc>
          <w:tcPr>
            <w:tcW w:w="40" w:type="dxa"/>
            <w:vAlign w:val="bottom"/>
          </w:tcPr>
          <w:p>
            <w:pPr>
              <w:spacing w:after="0"/>
              <w:rPr>
                <w:sz w:val="19"/>
                <w:szCs w:val="19"/>
                <w:color w:val="auto"/>
              </w:rPr>
            </w:pPr>
          </w:p>
        </w:tc>
        <w:tc>
          <w:tcPr>
            <w:tcW w:w="3460" w:type="dxa"/>
            <w:vAlign w:val="bottom"/>
            <w:gridSpan w:val="3"/>
          </w:tcPr>
          <w:p>
            <w:pPr>
              <w:spacing w:after="0"/>
              <w:rPr>
                <w:sz w:val="20"/>
                <w:szCs w:val="20"/>
                <w:color w:val="auto"/>
              </w:rPr>
            </w:pPr>
            <w:r>
              <w:rPr>
                <w:rFonts w:ascii="Arial" w:cs="Arial" w:eastAsia="Arial" w:hAnsi="Arial"/>
                <w:sz w:val="18"/>
                <w:szCs w:val="18"/>
                <w:color w:val="auto"/>
              </w:rPr>
              <w:t>Net loss</w:t>
            </w:r>
          </w:p>
        </w:tc>
        <w:tc>
          <w:tcPr>
            <w:tcW w:w="10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(1,937)</w:t>
            </w:r>
          </w:p>
        </w:tc>
        <w:tc>
          <w:tcPr>
            <w:tcW w:w="28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(2,098)</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(3,784)</w:t>
            </w:r>
          </w:p>
        </w:tc>
        <w:tc>
          <w:tcPr>
            <w:tcW w:w="28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(4,447)</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r>
      <w:tr>
        <w:trPr>
          <w:trHeight w:val="229"/>
        </w:trPr>
        <w:tc>
          <w:tcPr>
            <w:tcW w:w="40" w:type="dxa"/>
            <w:vAlign w:val="bottom"/>
            <w:shd w:val="clear" w:color="auto" w:fill="CCEEFF"/>
          </w:tcPr>
          <w:p>
            <w:pPr>
              <w:spacing w:after="0"/>
              <w:rPr>
                <w:sz w:val="19"/>
                <w:szCs w:val="19"/>
                <w:color w:val="auto"/>
              </w:rPr>
            </w:pPr>
          </w:p>
        </w:tc>
        <w:tc>
          <w:tcPr>
            <w:tcW w:w="3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 loss per share</w:t>
            </w:r>
          </w:p>
        </w:tc>
        <w:tc>
          <w:tcPr>
            <w:tcW w:w="10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(0.13)</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(0.27)</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r>
      <w:tr>
        <w:trPr>
          <w:trHeight w:val="189"/>
        </w:trPr>
        <w:tc>
          <w:tcPr>
            <w:tcW w:w="40" w:type="dxa"/>
            <w:vAlign w:val="bottom"/>
          </w:tcPr>
          <w:p>
            <w:pPr>
              <w:spacing w:after="0"/>
              <w:rPr>
                <w:sz w:val="16"/>
                <w:szCs w:val="16"/>
                <w:color w:val="auto"/>
              </w:rPr>
            </w:pPr>
          </w:p>
        </w:tc>
        <w:tc>
          <w:tcPr>
            <w:tcW w:w="346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Non-GAAP</w:t>
            </w:r>
          </w:p>
        </w:tc>
        <w:tc>
          <w:tcPr>
            <w:tcW w:w="1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
        </w:trPr>
        <w:tc>
          <w:tcPr>
            <w:tcW w:w="4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3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Non-GAAP gross profit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2,618</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2,941</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5,458</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5,647</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r>
      <w:tr>
        <w:trPr>
          <w:trHeight w:val="230"/>
        </w:trPr>
        <w:tc>
          <w:tcPr>
            <w:tcW w:w="40" w:type="dxa"/>
            <w:vAlign w:val="bottom"/>
          </w:tcPr>
          <w:p>
            <w:pPr>
              <w:spacing w:after="0"/>
              <w:rPr>
                <w:sz w:val="19"/>
                <w:szCs w:val="19"/>
                <w:color w:val="auto"/>
              </w:rPr>
            </w:pPr>
          </w:p>
        </w:tc>
        <w:tc>
          <w:tcPr>
            <w:tcW w:w="3460" w:type="dxa"/>
            <w:vAlign w:val="bottom"/>
            <w:gridSpan w:val="3"/>
          </w:tcPr>
          <w:p>
            <w:pPr>
              <w:spacing w:after="0"/>
              <w:rPr>
                <w:sz w:val="20"/>
                <w:szCs w:val="20"/>
                <w:color w:val="auto"/>
              </w:rPr>
            </w:pPr>
            <w:r>
              <w:rPr>
                <w:rFonts w:ascii="Arial" w:cs="Arial" w:eastAsia="Arial" w:hAnsi="Arial"/>
                <w:sz w:val="18"/>
                <w:szCs w:val="18"/>
                <w:color w:val="auto"/>
              </w:rPr>
              <w:t>Non-GAAP operating expenses</w:t>
            </w:r>
          </w:p>
        </w:tc>
        <w:tc>
          <w:tcPr>
            <w:tcW w:w="104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4,034</w:t>
            </w:r>
          </w:p>
        </w:tc>
        <w:tc>
          <w:tcPr>
            <w:tcW w:w="280" w:type="dxa"/>
            <w:vAlign w:val="bottom"/>
          </w:tcPr>
          <w:p>
            <w:pPr>
              <w:spacing w:after="0"/>
              <w:rPr>
                <w:sz w:val="19"/>
                <w:szCs w:val="19"/>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4,654</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9"/>
                <w:szCs w:val="19"/>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8,220</w:t>
            </w:r>
          </w:p>
        </w:tc>
        <w:tc>
          <w:tcPr>
            <w:tcW w:w="280" w:type="dxa"/>
            <w:vAlign w:val="bottom"/>
          </w:tcPr>
          <w:p>
            <w:pPr>
              <w:spacing w:after="0"/>
              <w:rPr>
                <w:sz w:val="19"/>
                <w:szCs w:val="19"/>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9,313</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r>
      <w:tr>
        <w:trPr>
          <w:trHeight w:val="229"/>
        </w:trPr>
        <w:tc>
          <w:tcPr>
            <w:tcW w:w="40" w:type="dxa"/>
            <w:vAlign w:val="bottom"/>
            <w:shd w:val="clear" w:color="auto" w:fill="CCEEFF"/>
          </w:tcPr>
          <w:p>
            <w:pPr>
              <w:spacing w:after="0"/>
              <w:rPr>
                <w:sz w:val="19"/>
                <w:szCs w:val="19"/>
                <w:color w:val="auto"/>
              </w:rPr>
            </w:pPr>
          </w:p>
        </w:tc>
        <w:tc>
          <w:tcPr>
            <w:tcW w:w="3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Non-GAAP operating loss</w:t>
            </w:r>
          </w:p>
        </w:tc>
        <w:tc>
          <w:tcPr>
            <w:tcW w:w="10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(1,713)</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(3,666)</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r>
      <w:tr>
        <w:trPr>
          <w:trHeight w:val="229"/>
        </w:trPr>
        <w:tc>
          <w:tcPr>
            <w:tcW w:w="40" w:type="dxa"/>
            <w:vAlign w:val="bottom"/>
          </w:tcPr>
          <w:p>
            <w:pPr>
              <w:spacing w:after="0"/>
              <w:rPr>
                <w:sz w:val="19"/>
                <w:szCs w:val="19"/>
                <w:color w:val="auto"/>
              </w:rPr>
            </w:pPr>
          </w:p>
        </w:tc>
        <w:tc>
          <w:tcPr>
            <w:tcW w:w="3460" w:type="dxa"/>
            <w:vAlign w:val="bottom"/>
            <w:gridSpan w:val="3"/>
          </w:tcPr>
          <w:p>
            <w:pPr>
              <w:spacing w:after="0"/>
              <w:rPr>
                <w:sz w:val="20"/>
                <w:szCs w:val="20"/>
                <w:color w:val="auto"/>
              </w:rPr>
            </w:pPr>
            <w:r>
              <w:rPr>
                <w:rFonts w:ascii="Arial" w:cs="Arial" w:eastAsia="Arial" w:hAnsi="Arial"/>
                <w:sz w:val="18"/>
                <w:szCs w:val="18"/>
                <w:color w:val="auto"/>
              </w:rPr>
              <w:t>Non-GAAP net loss</w:t>
            </w:r>
          </w:p>
        </w:tc>
        <w:tc>
          <w:tcPr>
            <w:tcW w:w="10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(1,514)</w:t>
            </w:r>
          </w:p>
        </w:tc>
        <w:tc>
          <w:tcPr>
            <w:tcW w:w="28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(1,707)</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(2,956)</w:t>
            </w:r>
          </w:p>
        </w:tc>
        <w:tc>
          <w:tcPr>
            <w:tcW w:w="28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(3,618)</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r>
      <w:tr>
        <w:trPr>
          <w:trHeight w:val="230"/>
        </w:trPr>
        <w:tc>
          <w:tcPr>
            <w:tcW w:w="40" w:type="dxa"/>
            <w:vAlign w:val="bottom"/>
            <w:shd w:val="clear" w:color="auto" w:fill="CCEEFF"/>
          </w:tcPr>
          <w:p>
            <w:pPr>
              <w:spacing w:after="0"/>
              <w:rPr>
                <w:sz w:val="19"/>
                <w:szCs w:val="19"/>
                <w:color w:val="auto"/>
              </w:rPr>
            </w:pPr>
          </w:p>
        </w:tc>
        <w:tc>
          <w:tcPr>
            <w:tcW w:w="3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Non-GAAP Adjusted EBITDA</w:t>
            </w:r>
          </w:p>
        </w:tc>
        <w:tc>
          <w:tcPr>
            <w:tcW w:w="10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(1,536)</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(2,503)</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(3,315)</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r>
      <w:tr>
        <w:trPr>
          <w:trHeight w:val="230"/>
        </w:trPr>
        <w:tc>
          <w:tcPr>
            <w:tcW w:w="40" w:type="dxa"/>
            <w:vAlign w:val="bottom"/>
          </w:tcPr>
          <w:p>
            <w:pPr>
              <w:spacing w:after="0"/>
              <w:rPr>
                <w:sz w:val="20"/>
                <w:szCs w:val="20"/>
                <w:color w:val="auto"/>
              </w:rPr>
            </w:pPr>
          </w:p>
        </w:tc>
        <w:tc>
          <w:tcPr>
            <w:tcW w:w="3460" w:type="dxa"/>
            <w:vAlign w:val="bottom"/>
            <w:gridSpan w:val="3"/>
          </w:tcPr>
          <w:p>
            <w:pPr>
              <w:spacing w:after="0"/>
              <w:rPr>
                <w:sz w:val="20"/>
                <w:szCs w:val="20"/>
                <w:color w:val="auto"/>
              </w:rPr>
            </w:pPr>
            <w:r>
              <w:rPr>
                <w:rFonts w:ascii="Arial" w:cs="Arial" w:eastAsia="Arial" w:hAnsi="Arial"/>
                <w:sz w:val="18"/>
                <w:szCs w:val="18"/>
                <w:color w:val="auto"/>
              </w:rPr>
              <w:t>Non-GAAP loss per share (diluted)</w:t>
            </w:r>
          </w:p>
        </w:tc>
        <w:tc>
          <w:tcPr>
            <w:tcW w:w="10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(0.09)</w:t>
            </w:r>
          </w:p>
        </w:tc>
        <w:tc>
          <w:tcPr>
            <w:tcW w:w="28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(0.10)</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(0.18)</w:t>
            </w:r>
          </w:p>
        </w:tc>
        <w:tc>
          <w:tcPr>
            <w:tcW w:w="28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(0.22)</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r>
    </w:tbl>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Highlights</w:t>
      </w:r>
    </w:p>
    <w:p>
      <w:pPr>
        <w:spacing w:after="0" w:line="1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June 30, 2020, cash, cash equivalents and investments were $6.1 million, as compared with $8.6 million at December 31, 2019. The Company carries a debt of $3.8 million on account of senior convertible notes issued in December 2019 and a Paycheck Protection Program (PPP) loan in April 2020. The Company intends to use the entire PPP loan amount for qualifying expenses and to apply for forgiveness of the PPP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ClearOne</w:t>
      </w:r>
    </w:p>
    <w:p>
      <w:pPr>
        <w:spacing w:after="0" w:line="1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ClearOne is a global company that designs, develops and sells conferencing, collaboration, and network streaming solutions for voice and visual communications. The performance and simplicity of its advanced comprehensive solutions offer unprecedented levels of functionality, reliability and scalability. Visit ClearOne at </w:t>
      </w:r>
      <w:r>
        <w:rPr>
          <w:rFonts w:ascii="Arial" w:cs="Arial" w:eastAsia="Arial" w:hAnsi="Arial"/>
          <w:sz w:val="18"/>
          <w:szCs w:val="18"/>
          <w:u w:val="single" w:color="auto"/>
          <w:color w:val="auto"/>
        </w:rPr>
        <w:t>www.clearone.com</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4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To supplement our consolidated financial statements presented on a GAAP basis, ClearOne uses non-GAAP measures of gross profit, operating income (loss), net income (loss), adjusted Earnings Before Interest, Taxes, Depreciation and Amortization (EBITDA) and net income (loss) per share, which are adjusted to exclude certain costs, expenses, gains and losses we believe appropriate to enhance an overall understanding of our past financial performance from period to period and also our prospects for the future. These adjustments to our current period GAAP results are made with the intent of providing both management and investors a more complete understanding of ClearOne’s underlying operational results and trends and our marketplace performance. The non-GAAP results are an indication of our baseline performance before certain gains, losses, or other charges that are considered by management to be outside of our core operating results. In addition, these adjusted non-GAAP results are among the primary indicators management uses as a basis for our planning and forecasting of future periods. The presentation of this additional non-GAAP financial information is not meant to be considered in isolation or as a substitute for gross profit, operating income (loss), net income (loss), income (loss) per share or other financial measures prepared in accordance with GAAP. There are limitations to the use of non-GAAP financial measures. Other companies, including companies in ClearOne’s industry, may calculate non-GAAP financial measures differently than ClearOne does, limiting the usefulness of those measures for comparative purposes. A detailed reconciliation of non-GAAP financial measures to the most directly comparable GAAP financial measures is included with this release below.</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4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release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 statements and any statements of the plans and objectives of management for future operations and forecasts of future growth and value,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Readers should not place undue reliance on these forward-looking statements. The information in this press release should be read in conjunction with, and is modified in its entirety by, the Annual Report on Form 10-K (the “10-K”) filed by the Company for the same period with the Securities and Exchange Commission (the “SEC”) and all of the Company’s other public filings with the SEC (the “Public Filings”).</w:t>
      </w:r>
    </w:p>
    <w:p>
      <w:pPr>
        <w:spacing w:after="0" w:line="18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particular, the financial information contained herein is subject to and qualified by reference to the financial statements contained in the 10-Q, including the footnotes thereto, as well as the Company’s annual report on Form 10-K for the year ended December 31, 2019 (the “10-K”), the footnotes thereto and the limitations set forth therein. Investors may not rely on the press release without reference to the 10-Q, the 10-K and the Public Filings.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801-975-7200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investor_relations@clearone.com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http://investors.clearone.com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ind w:right="120"/>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(Dollars in thousands, except par value)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w w:val="90"/>
              </w:rPr>
              <w:t>June 30, 2020</w:t>
            </w:r>
          </w:p>
        </w:tc>
        <w:tc>
          <w:tcPr>
            <w:tcW w:w="14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2"/>
              </w:rPr>
              <w:t>December 31, 2019</w:t>
            </w:r>
          </w:p>
        </w:tc>
        <w:tc>
          <w:tcPr>
            <w:tcW w:w="0" w:type="dxa"/>
            <w:vAlign w:val="bottom"/>
          </w:tcPr>
          <w:p>
            <w:pPr>
              <w:spacing w:after="0"/>
              <w:rPr>
                <w:sz w:val="1"/>
                <w:szCs w:val="1"/>
                <w:color w:val="auto"/>
              </w:rPr>
            </w:pPr>
          </w:p>
        </w:tc>
      </w:tr>
      <w:tr>
        <w:trPr>
          <w:trHeight w:val="212"/>
        </w:trPr>
        <w:tc>
          <w:tcPr>
            <w:tcW w:w="7960" w:type="dxa"/>
            <w:vAlign w:val="bottom"/>
            <w:tcBorders>
              <w:top w:val="single" w:sz="8" w:color="CCEEFF"/>
            </w:tcBorders>
            <w:shd w:val="clear" w:color="auto" w:fill="CCEEFF"/>
          </w:tcPr>
          <w:p>
            <w:pPr>
              <w:ind w:left="348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2,106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4,064</w:t>
            </w:r>
          </w:p>
        </w:tc>
        <w:tc>
          <w:tcPr>
            <w:tcW w:w="0" w:type="dxa"/>
            <w:vAlign w:val="bottom"/>
          </w:tcPr>
          <w:p>
            <w:pPr>
              <w:spacing w:after="0"/>
              <w:rPr>
                <w:sz w:val="1"/>
                <w:szCs w:val="1"/>
                <w:color w:val="auto"/>
              </w:rPr>
            </w:pPr>
          </w:p>
        </w:tc>
      </w:tr>
      <w:tr>
        <w:trPr>
          <w:trHeight w:val="229"/>
        </w:trPr>
        <w:tc>
          <w:tcPr>
            <w:tcW w:w="7960" w:type="dxa"/>
            <w:vAlign w:val="bottom"/>
          </w:tcPr>
          <w:p>
            <w:pPr>
              <w:ind w:left="40"/>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19"/>
                <w:szCs w:val="19"/>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2,841</w:t>
            </w:r>
          </w:p>
        </w:tc>
        <w:tc>
          <w:tcPr>
            <w:tcW w:w="140" w:type="dxa"/>
            <w:vAlign w:val="bottom"/>
          </w:tcPr>
          <w:p>
            <w:pPr>
              <w:spacing w:after="0"/>
              <w:rPr>
                <w:sz w:val="19"/>
                <w:szCs w:val="19"/>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3,026</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Receivables, net of allowance for doubtful accounts of $455 and $424, respectively</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5,792</w:t>
            </w:r>
          </w:p>
        </w:tc>
        <w:tc>
          <w:tcPr>
            <w:tcW w:w="1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5,468</w:t>
            </w:r>
          </w:p>
        </w:tc>
        <w:tc>
          <w:tcPr>
            <w:tcW w:w="0" w:type="dxa"/>
            <w:vAlign w:val="bottom"/>
          </w:tcPr>
          <w:p>
            <w:pPr>
              <w:spacing w:after="0"/>
              <w:rPr>
                <w:sz w:val="1"/>
                <w:szCs w:val="1"/>
                <w:color w:val="auto"/>
              </w:rPr>
            </w:pPr>
          </w:p>
        </w:tc>
      </w:tr>
      <w:tr>
        <w:trPr>
          <w:trHeight w:val="229"/>
        </w:trPr>
        <w:tc>
          <w:tcPr>
            <w:tcW w:w="7960" w:type="dxa"/>
            <w:vAlign w:val="bottom"/>
          </w:tcPr>
          <w:p>
            <w:pPr>
              <w:ind w:left="40"/>
              <w:spacing w:after="0"/>
              <w:rPr>
                <w:sz w:val="20"/>
                <w:szCs w:val="20"/>
                <w:color w:val="auto"/>
              </w:rPr>
            </w:pPr>
            <w:r>
              <w:rPr>
                <w:rFonts w:ascii="Arial" w:cs="Arial" w:eastAsia="Arial" w:hAnsi="Arial"/>
                <w:sz w:val="18"/>
                <w:szCs w:val="18"/>
                <w:color w:val="auto"/>
              </w:rPr>
              <w:t>Inventories, net</w:t>
            </w:r>
          </w:p>
        </w:tc>
        <w:tc>
          <w:tcPr>
            <w:tcW w:w="120" w:type="dxa"/>
            <w:vAlign w:val="bottom"/>
          </w:tcPr>
          <w:p>
            <w:pPr>
              <w:spacing w:after="0"/>
              <w:rPr>
                <w:sz w:val="19"/>
                <w:szCs w:val="19"/>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8,224</w:t>
            </w:r>
          </w:p>
        </w:tc>
        <w:tc>
          <w:tcPr>
            <w:tcW w:w="140" w:type="dxa"/>
            <w:vAlign w:val="bottom"/>
          </w:tcPr>
          <w:p>
            <w:pPr>
              <w:spacing w:after="0"/>
              <w:rPr>
                <w:sz w:val="19"/>
                <w:szCs w:val="19"/>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11,441</w:t>
            </w: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957</w:t>
            </w:r>
          </w:p>
        </w:tc>
        <w:tc>
          <w:tcPr>
            <w:tcW w:w="1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r>
        <w:trPr>
          <w:trHeight w:val="210"/>
        </w:trPr>
        <w:tc>
          <w:tcPr>
            <w:tcW w:w="7960" w:type="dxa"/>
            <w:vAlign w:val="bottom"/>
          </w:tcPr>
          <w:p>
            <w:pPr>
              <w:ind w:left="260"/>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19,920</w:t>
            </w: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marketable securities</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1,130</w:t>
            </w:r>
          </w:p>
        </w:tc>
        <w:tc>
          <w:tcPr>
            <w:tcW w:w="1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1,517</w:t>
            </w:r>
          </w:p>
        </w:tc>
        <w:tc>
          <w:tcPr>
            <w:tcW w:w="0" w:type="dxa"/>
            <w:vAlign w:val="bottom"/>
          </w:tcPr>
          <w:p>
            <w:pPr>
              <w:spacing w:after="0"/>
              <w:rPr>
                <w:sz w:val="1"/>
                <w:szCs w:val="1"/>
                <w:color w:val="auto"/>
              </w:rPr>
            </w:pPr>
          </w:p>
        </w:tc>
      </w:tr>
      <w:tr>
        <w:trPr>
          <w:trHeight w:val="230"/>
        </w:trPr>
        <w:tc>
          <w:tcPr>
            <w:tcW w:w="7960" w:type="dxa"/>
            <w:vAlign w:val="bottom"/>
          </w:tcPr>
          <w:p>
            <w:pPr>
              <w:ind w:left="40"/>
              <w:spacing w:after="0"/>
              <w:rPr>
                <w:sz w:val="20"/>
                <w:szCs w:val="20"/>
                <w:color w:val="auto"/>
              </w:rPr>
            </w:pPr>
            <w:r>
              <w:rPr>
                <w:rFonts w:ascii="Arial" w:cs="Arial" w:eastAsia="Arial" w:hAnsi="Arial"/>
                <w:sz w:val="18"/>
                <w:szCs w:val="18"/>
                <w:color w:val="auto"/>
              </w:rPr>
              <w:t>Long-term inventories, net</w:t>
            </w:r>
          </w:p>
        </w:tc>
        <w:tc>
          <w:tcPr>
            <w:tcW w:w="120" w:type="dxa"/>
            <w:vAlign w:val="bottom"/>
          </w:tcPr>
          <w:p>
            <w:pPr>
              <w:spacing w:after="0"/>
              <w:rPr>
                <w:sz w:val="19"/>
                <w:szCs w:val="19"/>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6,510</w:t>
            </w:r>
          </w:p>
        </w:tc>
        <w:tc>
          <w:tcPr>
            <w:tcW w:w="140" w:type="dxa"/>
            <w:vAlign w:val="bottom"/>
          </w:tcPr>
          <w:p>
            <w:pPr>
              <w:spacing w:after="0"/>
              <w:rPr>
                <w:sz w:val="19"/>
                <w:szCs w:val="19"/>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6,284</w:t>
            </w: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1,050</w:t>
            </w:r>
          </w:p>
        </w:tc>
        <w:tc>
          <w:tcPr>
            <w:tcW w:w="1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1,044</w:t>
            </w:r>
          </w:p>
        </w:tc>
        <w:tc>
          <w:tcPr>
            <w:tcW w:w="0" w:type="dxa"/>
            <w:vAlign w:val="bottom"/>
          </w:tcPr>
          <w:p>
            <w:pPr>
              <w:spacing w:after="0"/>
              <w:rPr>
                <w:sz w:val="1"/>
                <w:szCs w:val="1"/>
                <w:color w:val="auto"/>
              </w:rPr>
            </w:pPr>
          </w:p>
        </w:tc>
      </w:tr>
      <w:tr>
        <w:trPr>
          <w:trHeight w:val="229"/>
        </w:trPr>
        <w:tc>
          <w:tcPr>
            <w:tcW w:w="7960" w:type="dxa"/>
            <w:vAlign w:val="bottom"/>
          </w:tcPr>
          <w:p>
            <w:pPr>
              <w:ind w:left="40"/>
              <w:spacing w:after="0"/>
              <w:rPr>
                <w:sz w:val="20"/>
                <w:szCs w:val="20"/>
                <w:color w:val="auto"/>
              </w:rPr>
            </w:pPr>
            <w:r>
              <w:rPr>
                <w:rFonts w:ascii="Arial" w:cs="Arial" w:eastAsia="Arial" w:hAnsi="Arial"/>
                <w:sz w:val="18"/>
                <w:szCs w:val="18"/>
                <w:color w:val="auto"/>
              </w:rPr>
              <w:t>Operating lease - right of use assets, net</w:t>
            </w:r>
          </w:p>
        </w:tc>
        <w:tc>
          <w:tcPr>
            <w:tcW w:w="120" w:type="dxa"/>
            <w:vAlign w:val="bottom"/>
          </w:tcPr>
          <w:p>
            <w:pPr>
              <w:spacing w:after="0"/>
              <w:rPr>
                <w:sz w:val="19"/>
                <w:szCs w:val="19"/>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2,227</w:t>
            </w:r>
          </w:p>
        </w:tc>
        <w:tc>
          <w:tcPr>
            <w:tcW w:w="140" w:type="dxa"/>
            <w:vAlign w:val="bottom"/>
          </w:tcPr>
          <w:p>
            <w:pPr>
              <w:spacing w:after="0"/>
              <w:rPr>
                <w:sz w:val="19"/>
                <w:szCs w:val="19"/>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2,459</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Intangibles, net</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17,141</w:t>
            </w:r>
          </w:p>
        </w:tc>
        <w:tc>
          <w:tcPr>
            <w:tcW w:w="1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14,009</w:t>
            </w:r>
          </w:p>
        </w:tc>
        <w:tc>
          <w:tcPr>
            <w:tcW w:w="0" w:type="dxa"/>
            <w:vAlign w:val="bottom"/>
          </w:tcPr>
          <w:p>
            <w:pPr>
              <w:spacing w:after="0"/>
              <w:rPr>
                <w:sz w:val="1"/>
                <w:szCs w:val="1"/>
                <w:color w:val="auto"/>
              </w:rPr>
            </w:pPr>
          </w:p>
        </w:tc>
      </w:tr>
      <w:tr>
        <w:trPr>
          <w:trHeight w:val="229"/>
        </w:trPr>
        <w:tc>
          <w:tcPr>
            <w:tcW w:w="796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9"/>
                <w:szCs w:val="19"/>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4,593</w:t>
            </w:r>
          </w:p>
        </w:tc>
        <w:tc>
          <w:tcPr>
            <w:tcW w:w="140" w:type="dxa"/>
            <w:vAlign w:val="bottom"/>
          </w:tcPr>
          <w:p>
            <w:pPr>
              <w:spacing w:after="0"/>
              <w:rPr>
                <w:sz w:val="19"/>
                <w:szCs w:val="19"/>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4,614</w:t>
            </w:r>
          </w:p>
        </w:tc>
        <w:tc>
          <w:tcPr>
            <w:tcW w:w="0" w:type="dxa"/>
            <w:vAlign w:val="bottom"/>
          </w:tcPr>
          <w:p>
            <w:pPr>
              <w:spacing w:after="0"/>
              <w:rPr>
                <w:sz w:val="1"/>
                <w:szCs w:val="1"/>
                <w:color w:val="auto"/>
              </w:rPr>
            </w:pPr>
          </w:p>
        </w:tc>
      </w:tr>
      <w:tr>
        <w:trPr>
          <w:trHeight w:val="209"/>
        </w:trPr>
        <w:tc>
          <w:tcPr>
            <w:tcW w:w="796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52,571</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55,110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60" w:type="dxa"/>
            <w:vAlign w:val="bottom"/>
            <w:vMerge w:val="restart"/>
          </w:tcPr>
          <w:p>
            <w:pPr>
              <w:ind w:left="1880"/>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6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3,172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2,871</w:t>
            </w: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2,782</w:t>
            </w:r>
          </w:p>
        </w:tc>
        <w:tc>
          <w:tcPr>
            <w:tcW w:w="1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3,205</w:t>
            </w:r>
          </w:p>
        </w:tc>
        <w:tc>
          <w:tcPr>
            <w:tcW w:w="0" w:type="dxa"/>
            <w:vAlign w:val="bottom"/>
          </w:tcPr>
          <w:p>
            <w:pPr>
              <w:spacing w:after="0"/>
              <w:rPr>
                <w:sz w:val="1"/>
                <w:szCs w:val="1"/>
                <w:color w:val="auto"/>
              </w:rPr>
            </w:pPr>
          </w:p>
        </w:tc>
      </w:tr>
      <w:tr>
        <w:trPr>
          <w:trHeight w:val="230"/>
        </w:trPr>
        <w:tc>
          <w:tcPr>
            <w:tcW w:w="7960" w:type="dxa"/>
            <w:vAlign w:val="bottom"/>
          </w:tcPr>
          <w:p>
            <w:pPr>
              <w:ind w:left="40"/>
              <w:spacing w:after="0"/>
              <w:rPr>
                <w:sz w:val="20"/>
                <w:szCs w:val="20"/>
                <w:color w:val="auto"/>
              </w:rPr>
            </w:pPr>
            <w:r>
              <w:rPr>
                <w:rFonts w:ascii="Arial" w:cs="Arial" w:eastAsia="Arial" w:hAnsi="Arial"/>
                <w:sz w:val="18"/>
                <w:szCs w:val="18"/>
                <w:color w:val="auto"/>
              </w:rPr>
              <w:t>Deferred product revenue</w:t>
            </w:r>
          </w:p>
        </w:tc>
        <w:tc>
          <w:tcPr>
            <w:tcW w:w="120" w:type="dxa"/>
            <w:vAlign w:val="bottom"/>
          </w:tcPr>
          <w:p>
            <w:pPr>
              <w:spacing w:after="0"/>
              <w:rPr>
                <w:sz w:val="19"/>
                <w:szCs w:val="19"/>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201</w:t>
            </w:r>
          </w:p>
        </w:tc>
        <w:tc>
          <w:tcPr>
            <w:tcW w:w="140" w:type="dxa"/>
            <w:vAlign w:val="bottom"/>
          </w:tcPr>
          <w:p>
            <w:pPr>
              <w:spacing w:after="0"/>
              <w:rPr>
                <w:sz w:val="19"/>
                <w:szCs w:val="19"/>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9"/>
        </w:trPr>
        <w:tc>
          <w:tcPr>
            <w:tcW w:w="796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6,155</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60" w:type="dxa"/>
            <w:vAlign w:val="bottom"/>
          </w:tcPr>
          <w:p>
            <w:pPr>
              <w:ind w:left="40"/>
              <w:spacing w:after="0"/>
              <w:rPr>
                <w:sz w:val="20"/>
                <w:szCs w:val="20"/>
                <w:color w:val="auto"/>
              </w:rPr>
            </w:pPr>
            <w:r>
              <w:rPr>
                <w:rFonts w:ascii="Arial" w:cs="Arial" w:eastAsia="Arial" w:hAnsi="Arial"/>
                <w:sz w:val="18"/>
                <w:szCs w:val="18"/>
                <w:color w:val="auto"/>
              </w:rPr>
              <w:t>Senior convertible notes</w:t>
            </w:r>
          </w:p>
        </w:tc>
        <w:tc>
          <w:tcPr>
            <w:tcW w:w="120" w:type="dxa"/>
            <w:vAlign w:val="bottom"/>
          </w:tcPr>
          <w:p>
            <w:pPr>
              <w:spacing w:after="0"/>
              <w:rPr>
                <w:sz w:val="19"/>
                <w:szCs w:val="19"/>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3,819</w:t>
            </w:r>
          </w:p>
        </w:tc>
        <w:tc>
          <w:tcPr>
            <w:tcW w:w="140" w:type="dxa"/>
            <w:vAlign w:val="bottom"/>
          </w:tcPr>
          <w:p>
            <w:pPr>
              <w:spacing w:after="0"/>
              <w:rPr>
                <w:sz w:val="19"/>
                <w:szCs w:val="19"/>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2,222</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 liability, net of current</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1,767</w:t>
            </w:r>
          </w:p>
        </w:tc>
        <w:tc>
          <w:tcPr>
            <w:tcW w:w="1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29"/>
        </w:trPr>
        <w:tc>
          <w:tcPr>
            <w:tcW w:w="796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120" w:type="dxa"/>
            <w:vAlign w:val="bottom"/>
          </w:tcPr>
          <w:p>
            <w:pPr>
              <w:spacing w:after="0"/>
              <w:rPr>
                <w:sz w:val="19"/>
                <w:szCs w:val="19"/>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111</w:t>
            </w:r>
          </w:p>
        </w:tc>
        <w:tc>
          <w:tcPr>
            <w:tcW w:w="140" w:type="dxa"/>
            <w:vAlign w:val="bottom"/>
          </w:tcPr>
          <w:p>
            <w:pPr>
              <w:spacing w:after="0"/>
              <w:rPr>
                <w:sz w:val="19"/>
                <w:szCs w:val="19"/>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0"/>
        </w:trPr>
        <w:tc>
          <w:tcPr>
            <w:tcW w:w="79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11,852</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7960" w:type="dxa"/>
            <w:vAlign w:val="bottom"/>
          </w:tcPr>
          <w:p>
            <w:pPr>
              <w:ind w:left="40"/>
              <w:spacing w:after="0" w:line="201" w:lineRule="exact"/>
              <w:rPr>
                <w:sz w:val="20"/>
                <w:szCs w:val="20"/>
                <w:color w:val="auto"/>
              </w:rPr>
            </w:pPr>
            <w:r>
              <w:rPr>
                <w:rFonts w:ascii="Arial" w:cs="Arial" w:eastAsia="Arial" w:hAnsi="Arial"/>
                <w:sz w:val="18"/>
                <w:szCs w:val="18"/>
                <w:color w:val="auto"/>
                <w:w w:val="98"/>
              </w:rPr>
              <w:t>Common stock, par value $0.001, 50,000,000 shares authorized, 16,655,207 and 16,650,725 shares</w:t>
            </w:r>
          </w:p>
        </w:tc>
        <w:tc>
          <w:tcPr>
            <w:tcW w:w="120" w:type="dxa"/>
            <w:vAlign w:val="bottom"/>
          </w:tcPr>
          <w:p>
            <w:pPr>
              <w:spacing w:after="0"/>
              <w:rPr>
                <w:sz w:val="17"/>
                <w:szCs w:val="17"/>
                <w:color w:val="auto"/>
              </w:rPr>
            </w:pPr>
          </w:p>
        </w:tc>
        <w:tc>
          <w:tcPr>
            <w:tcW w:w="1360" w:type="dxa"/>
            <w:vAlign w:val="bottom"/>
            <w:gridSpan w:val="2"/>
          </w:tcPr>
          <w:p>
            <w:pPr>
              <w:jc w:val="right"/>
              <w:ind w:right="340"/>
              <w:spacing w:after="0" w:line="201" w:lineRule="exact"/>
              <w:rPr>
                <w:sz w:val="20"/>
                <w:szCs w:val="20"/>
                <w:color w:val="auto"/>
              </w:rPr>
            </w:pPr>
            <w:r>
              <w:rPr>
                <w:rFonts w:ascii="Arial" w:cs="Arial" w:eastAsia="Arial" w:hAnsi="Arial"/>
                <w:sz w:val="18"/>
                <w:szCs w:val="18"/>
                <w:color w:val="auto"/>
              </w:rPr>
              <w:t>17</w:t>
            </w:r>
          </w:p>
        </w:tc>
        <w:tc>
          <w:tcPr>
            <w:tcW w:w="140" w:type="dxa"/>
            <w:vAlign w:val="bottom"/>
          </w:tcPr>
          <w:p>
            <w:pPr>
              <w:spacing w:after="0"/>
              <w:rPr>
                <w:sz w:val="17"/>
                <w:szCs w:val="17"/>
                <w:color w:val="auto"/>
              </w:rPr>
            </w:pPr>
          </w:p>
        </w:tc>
        <w:tc>
          <w:tcPr>
            <w:tcW w:w="166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7960" w:type="dxa"/>
            <w:vAlign w:val="bottom"/>
          </w:tcPr>
          <w:p>
            <w:pPr>
              <w:ind w:left="40"/>
              <w:spacing w:after="0"/>
              <w:rPr>
                <w:sz w:val="20"/>
                <w:szCs w:val="20"/>
                <w:color w:val="auto"/>
              </w:rPr>
            </w:pPr>
            <w:r>
              <w:rPr>
                <w:rFonts w:ascii="Arial" w:cs="Arial" w:eastAsia="Arial" w:hAnsi="Arial"/>
                <w:sz w:val="18"/>
                <w:szCs w:val="18"/>
                <w:color w:val="auto"/>
              </w:rPr>
              <w:t>issued and outstanding</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58,580</w:t>
            </w:r>
          </w:p>
        </w:tc>
        <w:tc>
          <w:tcPr>
            <w:tcW w:w="1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58,520</w:t>
            </w:r>
          </w:p>
        </w:tc>
        <w:tc>
          <w:tcPr>
            <w:tcW w:w="0" w:type="dxa"/>
            <w:vAlign w:val="bottom"/>
          </w:tcPr>
          <w:p>
            <w:pPr>
              <w:spacing w:after="0"/>
              <w:rPr>
                <w:sz w:val="1"/>
                <w:szCs w:val="1"/>
                <w:color w:val="auto"/>
              </w:rPr>
            </w:pPr>
          </w:p>
        </w:tc>
      </w:tr>
      <w:tr>
        <w:trPr>
          <w:trHeight w:val="230"/>
        </w:trPr>
        <w:tc>
          <w:tcPr>
            <w:tcW w:w="7960" w:type="dxa"/>
            <w:vAlign w:val="bottom"/>
          </w:tcPr>
          <w:p>
            <w:pPr>
              <w:ind w:left="4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19"/>
                <w:szCs w:val="19"/>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(211)</w:t>
            </w:r>
          </w:p>
        </w:tc>
        <w:tc>
          <w:tcPr>
            <w:tcW w:w="14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(17,667)</w:t>
            </w:r>
          </w:p>
        </w:tc>
        <w:tc>
          <w:tcPr>
            <w:tcW w:w="1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(13,883)</w:t>
            </w:r>
          </w:p>
        </w:tc>
        <w:tc>
          <w:tcPr>
            <w:tcW w:w="0" w:type="dxa"/>
            <w:vAlign w:val="bottom"/>
          </w:tcPr>
          <w:p>
            <w:pPr>
              <w:spacing w:after="0"/>
              <w:rPr>
                <w:sz w:val="1"/>
                <w:szCs w:val="1"/>
                <w:color w:val="auto"/>
              </w:rPr>
            </w:pPr>
          </w:p>
        </w:tc>
      </w:tr>
      <w:tr>
        <w:trPr>
          <w:trHeight w:val="210"/>
        </w:trPr>
        <w:tc>
          <w:tcPr>
            <w:tcW w:w="79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shareholders' equity</w:t>
            </w: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40,719</w:t>
            </w:r>
          </w:p>
        </w:tc>
        <w:tc>
          <w:tcPr>
            <w:tcW w:w="3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44,478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52,571</w:t>
            </w:r>
          </w:p>
        </w:tc>
        <w:tc>
          <w:tcPr>
            <w:tcW w:w="3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55,110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0"/>
        </w:trPr>
        <w:tc>
          <w:tcPr>
            <w:tcW w:w="7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 w:name="page8"/>
    <w:bookmarkEnd w:id="7"/>
    <w:p>
      <w:pPr>
        <w:jc w:val="center"/>
        <w:ind w:right="120"/>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(Dollars in thousands, except per share values)</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40" w:type="dxa"/>
            <w:vAlign w:val="bottom"/>
            <w:gridSpan w:val="5"/>
          </w:tcPr>
          <w:p>
            <w:pPr>
              <w:jc w:val="right"/>
              <w:ind w:right="541"/>
              <w:spacing w:after="0"/>
              <w:rPr>
                <w:sz w:val="20"/>
                <w:szCs w:val="20"/>
                <w:color w:val="auto"/>
              </w:rPr>
            </w:pPr>
            <w:r>
              <w:rPr>
                <w:rFonts w:ascii="Arial" w:cs="Arial" w:eastAsia="Arial" w:hAnsi="Arial"/>
                <w:sz w:val="16"/>
                <w:szCs w:val="16"/>
                <w:b w:val="1"/>
                <w:bCs w:val="1"/>
                <w:color w:val="auto"/>
                <w:w w:val="92"/>
              </w:rPr>
              <w:t>Three months ended June 30,</w:t>
            </w:r>
          </w:p>
        </w:tc>
        <w:tc>
          <w:tcPr>
            <w:tcW w:w="220" w:type="dxa"/>
            <w:vAlign w:val="bottom"/>
          </w:tcPr>
          <w:p>
            <w:pPr>
              <w:spacing w:after="0"/>
              <w:rPr>
                <w:sz w:val="20"/>
                <w:szCs w:val="20"/>
                <w:color w:val="auto"/>
              </w:rPr>
            </w:pPr>
          </w:p>
        </w:tc>
        <w:tc>
          <w:tcPr>
            <w:tcW w:w="2500" w:type="dxa"/>
            <w:vAlign w:val="bottom"/>
            <w:gridSpan w:val="5"/>
          </w:tcPr>
          <w:p>
            <w:pPr>
              <w:jc w:val="right"/>
              <w:ind w:right="421"/>
              <w:spacing w:after="0"/>
              <w:rPr>
                <w:sz w:val="20"/>
                <w:szCs w:val="20"/>
                <w:color w:val="auto"/>
              </w:rPr>
            </w:pPr>
            <w:r>
              <w:rPr>
                <w:rFonts w:ascii="Arial" w:cs="Arial" w:eastAsia="Arial" w:hAnsi="Arial"/>
                <w:sz w:val="18"/>
                <w:szCs w:val="18"/>
                <w:color w:val="auto"/>
                <w:w w:val="95"/>
              </w:rPr>
              <w:t>S</w:t>
            </w:r>
            <w:r>
              <w:rPr>
                <w:rFonts w:ascii="Arial" w:cs="Arial" w:eastAsia="Arial" w:hAnsi="Arial"/>
                <w:sz w:val="16"/>
                <w:szCs w:val="16"/>
                <w:b w:val="1"/>
                <w:bCs w:val="1"/>
                <w:color w:val="auto"/>
                <w:w w:val="95"/>
              </w:rPr>
              <w:t>ix months ended June 30,</w:t>
            </w:r>
          </w:p>
        </w:tc>
      </w:tr>
      <w:tr>
        <w:trPr>
          <w:trHeight w:val="207"/>
        </w:trPr>
        <w:tc>
          <w:tcPr>
            <w:tcW w:w="556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2020</w:t>
            </w:r>
          </w:p>
        </w:tc>
        <w:tc>
          <w:tcPr>
            <w:tcW w:w="32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6"/>
                <w:szCs w:val="16"/>
                <w:b w:val="1"/>
                <w:bCs w:val="1"/>
                <w:color w:val="auto"/>
              </w:rPr>
              <w:t>2019</w:t>
            </w:r>
          </w:p>
        </w:tc>
        <w:tc>
          <w:tcPr>
            <w:tcW w:w="34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6"/>
                <w:szCs w:val="16"/>
                <w:b w:val="1"/>
                <w:bCs w:val="1"/>
                <w:color w:val="auto"/>
              </w:rPr>
              <w:t>2020</w:t>
            </w:r>
          </w:p>
        </w:tc>
        <w:tc>
          <w:tcPr>
            <w:tcW w:w="32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7"/>
                <w:szCs w:val="17"/>
                <w:color w:val="auto"/>
              </w:rPr>
            </w:pPr>
          </w:p>
        </w:tc>
      </w:tr>
      <w:tr>
        <w:trPr>
          <w:trHeight w:val="212"/>
        </w:trPr>
        <w:tc>
          <w:tcPr>
            <w:tcW w:w="5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6,357</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12,091</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12,725</w:t>
            </w:r>
          </w:p>
        </w:tc>
        <w:tc>
          <w:tcPr>
            <w:tcW w:w="100" w:type="dxa"/>
            <w:vAlign w:val="bottom"/>
            <w:shd w:val="clear" w:color="auto" w:fill="CCEEFF"/>
          </w:tcPr>
          <w:p>
            <w:pPr>
              <w:spacing w:after="0"/>
              <w:rPr>
                <w:sz w:val="18"/>
                <w:szCs w:val="18"/>
                <w:color w:val="auto"/>
              </w:rPr>
            </w:pPr>
          </w:p>
        </w:tc>
      </w:tr>
      <w:tr>
        <w:trPr>
          <w:trHeight w:val="229"/>
        </w:trPr>
        <w:tc>
          <w:tcPr>
            <w:tcW w:w="556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19"/>
                <w:szCs w:val="19"/>
                <w:color w:val="auto"/>
              </w:rPr>
            </w:pPr>
          </w:p>
        </w:tc>
        <w:tc>
          <w:tcPr>
            <w:tcW w:w="1260" w:type="dxa"/>
            <w:vAlign w:val="bottom"/>
            <w:gridSpan w:val="2"/>
          </w:tcPr>
          <w:p>
            <w:pPr>
              <w:jc w:val="right"/>
              <w:ind w:right="241"/>
              <w:spacing w:after="0"/>
              <w:rPr>
                <w:sz w:val="20"/>
                <w:szCs w:val="20"/>
                <w:color w:val="auto"/>
              </w:rPr>
            </w:pPr>
            <w:r>
              <w:rPr>
                <w:rFonts w:ascii="Arial" w:cs="Arial" w:eastAsia="Arial" w:hAnsi="Arial"/>
                <w:sz w:val="18"/>
                <w:szCs w:val="18"/>
                <w:color w:val="auto"/>
              </w:rPr>
              <w:t>3,739</w:t>
            </w:r>
          </w:p>
        </w:tc>
        <w:tc>
          <w:tcPr>
            <w:tcW w:w="220" w:type="dxa"/>
            <w:vAlign w:val="bottom"/>
          </w:tcPr>
          <w:p>
            <w:pPr>
              <w:spacing w:after="0"/>
              <w:rPr>
                <w:sz w:val="19"/>
                <w:szCs w:val="19"/>
                <w:color w:val="auto"/>
              </w:rPr>
            </w:pPr>
          </w:p>
        </w:tc>
        <w:tc>
          <w:tcPr>
            <w:tcW w:w="1260" w:type="dxa"/>
            <w:vAlign w:val="bottom"/>
            <w:gridSpan w:val="2"/>
          </w:tcPr>
          <w:p>
            <w:pPr>
              <w:jc w:val="right"/>
              <w:ind w:right="261"/>
              <w:spacing w:after="0"/>
              <w:rPr>
                <w:sz w:val="20"/>
                <w:szCs w:val="20"/>
                <w:color w:val="auto"/>
              </w:rPr>
            </w:pPr>
            <w:r>
              <w:rPr>
                <w:rFonts w:ascii="Arial" w:cs="Arial" w:eastAsia="Arial" w:hAnsi="Arial"/>
                <w:sz w:val="18"/>
                <w:szCs w:val="18"/>
                <w:color w:val="auto"/>
              </w:rPr>
              <w:t>3,481</w:t>
            </w:r>
          </w:p>
        </w:tc>
        <w:tc>
          <w:tcPr>
            <w:tcW w:w="220" w:type="dxa"/>
            <w:vAlign w:val="bottom"/>
          </w:tcPr>
          <w:p>
            <w:pPr>
              <w:spacing w:after="0"/>
              <w:rPr>
                <w:sz w:val="19"/>
                <w:szCs w:val="19"/>
                <w:color w:val="auto"/>
              </w:rPr>
            </w:pPr>
          </w:p>
        </w:tc>
        <w:tc>
          <w:tcPr>
            <w:tcW w:w="1240" w:type="dxa"/>
            <w:vAlign w:val="bottom"/>
            <w:gridSpan w:val="2"/>
          </w:tcPr>
          <w:p>
            <w:pPr>
              <w:jc w:val="right"/>
              <w:ind w:right="241"/>
              <w:spacing w:after="0"/>
              <w:rPr>
                <w:sz w:val="20"/>
                <w:szCs w:val="20"/>
                <w:color w:val="auto"/>
              </w:rPr>
            </w:pPr>
            <w:r>
              <w:rPr>
                <w:rFonts w:ascii="Arial" w:cs="Arial" w:eastAsia="Arial" w:hAnsi="Arial"/>
                <w:sz w:val="18"/>
                <w:szCs w:val="18"/>
                <w:color w:val="auto"/>
              </w:rPr>
              <w:t>6,635</w:t>
            </w:r>
          </w:p>
        </w:tc>
        <w:tc>
          <w:tcPr>
            <w:tcW w:w="240" w:type="dxa"/>
            <w:vAlign w:val="bottom"/>
          </w:tcPr>
          <w:p>
            <w:pPr>
              <w:spacing w:after="0"/>
              <w:rPr>
                <w:sz w:val="19"/>
                <w:szCs w:val="19"/>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7,082</w:t>
            </w:r>
          </w:p>
        </w:tc>
      </w:tr>
      <w:tr>
        <w:trPr>
          <w:trHeight w:val="210"/>
        </w:trPr>
        <w:tc>
          <w:tcPr>
            <w:tcW w:w="55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2,618</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2,939</w:t>
            </w: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5,456</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5,643</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5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556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220" w:type="dxa"/>
            <w:vAlign w:val="bottom"/>
          </w:tcPr>
          <w:p>
            <w:pPr>
              <w:spacing w:after="0"/>
              <w:rPr>
                <w:sz w:val="19"/>
                <w:szCs w:val="19"/>
                <w:color w:val="auto"/>
              </w:rPr>
            </w:pPr>
          </w:p>
        </w:tc>
        <w:tc>
          <w:tcPr>
            <w:tcW w:w="1260" w:type="dxa"/>
            <w:vAlign w:val="bottom"/>
            <w:gridSpan w:val="2"/>
          </w:tcPr>
          <w:p>
            <w:pPr>
              <w:jc w:val="right"/>
              <w:ind w:right="241"/>
              <w:spacing w:after="0"/>
              <w:rPr>
                <w:sz w:val="20"/>
                <w:szCs w:val="20"/>
                <w:color w:val="auto"/>
              </w:rPr>
            </w:pPr>
            <w:r>
              <w:rPr>
                <w:rFonts w:ascii="Arial" w:cs="Arial" w:eastAsia="Arial" w:hAnsi="Arial"/>
                <w:sz w:val="18"/>
                <w:szCs w:val="18"/>
                <w:color w:val="auto"/>
              </w:rPr>
              <w:t>1,457</w:t>
            </w:r>
          </w:p>
        </w:tc>
        <w:tc>
          <w:tcPr>
            <w:tcW w:w="220" w:type="dxa"/>
            <w:vAlign w:val="bottom"/>
          </w:tcPr>
          <w:p>
            <w:pPr>
              <w:spacing w:after="0"/>
              <w:rPr>
                <w:sz w:val="19"/>
                <w:szCs w:val="19"/>
                <w:color w:val="auto"/>
              </w:rPr>
            </w:pPr>
          </w:p>
        </w:tc>
        <w:tc>
          <w:tcPr>
            <w:tcW w:w="1260" w:type="dxa"/>
            <w:vAlign w:val="bottom"/>
            <w:gridSpan w:val="2"/>
          </w:tcPr>
          <w:p>
            <w:pPr>
              <w:jc w:val="right"/>
              <w:ind w:right="261"/>
              <w:spacing w:after="0"/>
              <w:rPr>
                <w:sz w:val="20"/>
                <w:szCs w:val="20"/>
                <w:color w:val="auto"/>
              </w:rPr>
            </w:pPr>
            <w:r>
              <w:rPr>
                <w:rFonts w:ascii="Arial" w:cs="Arial" w:eastAsia="Arial" w:hAnsi="Arial"/>
                <w:sz w:val="18"/>
                <w:szCs w:val="18"/>
                <w:color w:val="auto"/>
              </w:rPr>
              <w:t>2,261</w:t>
            </w:r>
          </w:p>
        </w:tc>
        <w:tc>
          <w:tcPr>
            <w:tcW w:w="220" w:type="dxa"/>
            <w:vAlign w:val="bottom"/>
          </w:tcPr>
          <w:p>
            <w:pPr>
              <w:spacing w:after="0"/>
              <w:rPr>
                <w:sz w:val="19"/>
                <w:szCs w:val="19"/>
                <w:color w:val="auto"/>
              </w:rPr>
            </w:pPr>
          </w:p>
        </w:tc>
        <w:tc>
          <w:tcPr>
            <w:tcW w:w="1240" w:type="dxa"/>
            <w:vAlign w:val="bottom"/>
            <w:gridSpan w:val="2"/>
          </w:tcPr>
          <w:p>
            <w:pPr>
              <w:jc w:val="right"/>
              <w:ind w:right="241"/>
              <w:spacing w:after="0"/>
              <w:rPr>
                <w:sz w:val="20"/>
                <w:szCs w:val="20"/>
                <w:color w:val="auto"/>
              </w:rPr>
            </w:pPr>
            <w:r>
              <w:rPr>
                <w:rFonts w:ascii="Arial" w:cs="Arial" w:eastAsia="Arial" w:hAnsi="Arial"/>
                <w:sz w:val="18"/>
                <w:szCs w:val="18"/>
                <w:color w:val="auto"/>
              </w:rPr>
              <w:t>3,196</w:t>
            </w:r>
          </w:p>
        </w:tc>
        <w:tc>
          <w:tcPr>
            <w:tcW w:w="240" w:type="dxa"/>
            <w:vAlign w:val="bottom"/>
          </w:tcPr>
          <w:p>
            <w:pPr>
              <w:spacing w:after="0"/>
              <w:rPr>
                <w:sz w:val="19"/>
                <w:szCs w:val="19"/>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4,214</w:t>
            </w:r>
          </w:p>
        </w:tc>
      </w:tr>
      <w:tr>
        <w:trPr>
          <w:trHeight w:val="229"/>
        </w:trPr>
        <w:tc>
          <w:tcPr>
            <w:tcW w:w="5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product development</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1,474</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1,307</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2,818</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2,894</w:t>
            </w:r>
          </w:p>
        </w:tc>
      </w:tr>
      <w:tr>
        <w:trPr>
          <w:trHeight w:val="230"/>
        </w:trPr>
        <w:tc>
          <w:tcPr>
            <w:tcW w:w="556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19"/>
                <w:szCs w:val="19"/>
                <w:color w:val="auto"/>
              </w:rPr>
            </w:pPr>
          </w:p>
        </w:tc>
        <w:tc>
          <w:tcPr>
            <w:tcW w:w="1260" w:type="dxa"/>
            <w:vAlign w:val="bottom"/>
            <w:gridSpan w:val="2"/>
          </w:tcPr>
          <w:p>
            <w:pPr>
              <w:jc w:val="right"/>
              <w:ind w:right="241"/>
              <w:spacing w:after="0"/>
              <w:rPr>
                <w:sz w:val="20"/>
                <w:szCs w:val="20"/>
                <w:color w:val="auto"/>
              </w:rPr>
            </w:pPr>
            <w:r>
              <w:rPr>
                <w:rFonts w:ascii="Arial" w:cs="Arial" w:eastAsia="Arial" w:hAnsi="Arial"/>
                <w:sz w:val="18"/>
                <w:szCs w:val="18"/>
                <w:color w:val="auto"/>
              </w:rPr>
              <w:t>1,526</w:t>
            </w:r>
          </w:p>
        </w:tc>
        <w:tc>
          <w:tcPr>
            <w:tcW w:w="220" w:type="dxa"/>
            <w:vAlign w:val="bottom"/>
          </w:tcPr>
          <w:p>
            <w:pPr>
              <w:spacing w:after="0"/>
              <w:rPr>
                <w:sz w:val="19"/>
                <w:szCs w:val="19"/>
                <w:color w:val="auto"/>
              </w:rPr>
            </w:pPr>
          </w:p>
        </w:tc>
        <w:tc>
          <w:tcPr>
            <w:tcW w:w="1260" w:type="dxa"/>
            <w:vAlign w:val="bottom"/>
            <w:gridSpan w:val="2"/>
          </w:tcPr>
          <w:p>
            <w:pPr>
              <w:jc w:val="right"/>
              <w:ind w:right="261"/>
              <w:spacing w:after="0"/>
              <w:rPr>
                <w:sz w:val="20"/>
                <w:szCs w:val="20"/>
                <w:color w:val="auto"/>
              </w:rPr>
            </w:pPr>
            <w:r>
              <w:rPr>
                <w:rFonts w:ascii="Arial" w:cs="Arial" w:eastAsia="Arial" w:hAnsi="Arial"/>
                <w:sz w:val="18"/>
                <w:szCs w:val="18"/>
                <w:color w:val="auto"/>
              </w:rPr>
              <w:t>1,475</w:t>
            </w:r>
          </w:p>
        </w:tc>
        <w:tc>
          <w:tcPr>
            <w:tcW w:w="220" w:type="dxa"/>
            <w:vAlign w:val="bottom"/>
          </w:tcPr>
          <w:p>
            <w:pPr>
              <w:spacing w:after="0"/>
              <w:rPr>
                <w:sz w:val="19"/>
                <w:szCs w:val="19"/>
                <w:color w:val="auto"/>
              </w:rPr>
            </w:pPr>
          </w:p>
        </w:tc>
        <w:tc>
          <w:tcPr>
            <w:tcW w:w="1240" w:type="dxa"/>
            <w:vAlign w:val="bottom"/>
            <w:gridSpan w:val="2"/>
          </w:tcPr>
          <w:p>
            <w:pPr>
              <w:jc w:val="right"/>
              <w:ind w:right="241"/>
              <w:spacing w:after="0"/>
              <w:rPr>
                <w:sz w:val="20"/>
                <w:szCs w:val="20"/>
                <w:color w:val="auto"/>
              </w:rPr>
            </w:pPr>
            <w:r>
              <w:rPr>
                <w:rFonts w:ascii="Arial" w:cs="Arial" w:eastAsia="Arial" w:hAnsi="Arial"/>
                <w:sz w:val="18"/>
                <w:szCs w:val="18"/>
                <w:color w:val="auto"/>
              </w:rPr>
              <w:t>3,032</w:t>
            </w:r>
          </w:p>
        </w:tc>
        <w:tc>
          <w:tcPr>
            <w:tcW w:w="240" w:type="dxa"/>
            <w:vAlign w:val="bottom"/>
          </w:tcPr>
          <w:p>
            <w:pPr>
              <w:spacing w:after="0"/>
              <w:rPr>
                <w:sz w:val="19"/>
                <w:szCs w:val="19"/>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3,030</w:t>
            </w:r>
          </w:p>
        </w:tc>
      </w:tr>
      <w:tr>
        <w:trPr>
          <w:trHeight w:val="209"/>
        </w:trPr>
        <w:tc>
          <w:tcPr>
            <w:tcW w:w="55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4,457</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5,043</w:t>
            </w: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9,046</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5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(1,839)</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(2,104)</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(3,590)</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(4,495)</w:t>
            </w:r>
          </w:p>
        </w:tc>
      </w:tr>
      <w:tr>
        <w:trPr>
          <w:trHeight w:val="229"/>
        </w:trPr>
        <w:tc>
          <w:tcPr>
            <w:tcW w:w="5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(109)</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(217)</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29"/>
        </w:trPr>
        <w:tc>
          <w:tcPr>
            <w:tcW w:w="5560" w:type="dxa"/>
            <w:vAlign w:val="bottom"/>
          </w:tcPr>
          <w:p>
            <w:pPr>
              <w:ind w:left="40"/>
              <w:spacing w:after="0"/>
              <w:rPr>
                <w:sz w:val="20"/>
                <w:szCs w:val="20"/>
                <w:color w:val="auto"/>
              </w:rPr>
            </w:pPr>
            <w:r>
              <w:rPr>
                <w:rFonts w:ascii="Arial" w:cs="Arial" w:eastAsia="Arial" w:hAnsi="Arial"/>
                <w:sz w:val="18"/>
                <w:szCs w:val="18"/>
                <w:color w:val="auto"/>
              </w:rPr>
              <w:t>Other income, net</w:t>
            </w:r>
          </w:p>
        </w:tc>
        <w:tc>
          <w:tcPr>
            <w:tcW w:w="220" w:type="dxa"/>
            <w:vAlign w:val="bottom"/>
          </w:tcPr>
          <w:p>
            <w:pPr>
              <w:spacing w:after="0"/>
              <w:rPr>
                <w:sz w:val="19"/>
                <w:szCs w:val="19"/>
                <w:color w:val="auto"/>
              </w:rPr>
            </w:pPr>
          </w:p>
        </w:tc>
        <w:tc>
          <w:tcPr>
            <w:tcW w:w="1260" w:type="dxa"/>
            <w:vAlign w:val="bottom"/>
            <w:gridSpan w:val="2"/>
          </w:tcPr>
          <w:p>
            <w:pPr>
              <w:jc w:val="right"/>
              <w:ind w:right="241"/>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9"/>
                <w:szCs w:val="19"/>
                <w:color w:val="auto"/>
              </w:rPr>
            </w:pPr>
          </w:p>
        </w:tc>
        <w:tc>
          <w:tcPr>
            <w:tcW w:w="1260" w:type="dxa"/>
            <w:vAlign w:val="bottom"/>
            <w:gridSpan w:val="2"/>
          </w:tcPr>
          <w:p>
            <w:pPr>
              <w:jc w:val="right"/>
              <w:ind w:right="261"/>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9"/>
                <w:szCs w:val="19"/>
                <w:color w:val="auto"/>
              </w:rPr>
            </w:pPr>
          </w:p>
        </w:tc>
        <w:tc>
          <w:tcPr>
            <w:tcW w:w="1240" w:type="dxa"/>
            <w:vAlign w:val="bottom"/>
            <w:gridSpan w:val="2"/>
          </w:tcPr>
          <w:p>
            <w:pPr>
              <w:jc w:val="right"/>
              <w:ind w:right="241"/>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19"/>
                <w:szCs w:val="19"/>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93</w:t>
            </w:r>
          </w:p>
        </w:tc>
      </w:tr>
      <w:tr>
        <w:trPr>
          <w:trHeight w:val="209"/>
        </w:trPr>
        <w:tc>
          <w:tcPr>
            <w:tcW w:w="55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56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220" w:type="dxa"/>
            <w:vAlign w:val="bottom"/>
          </w:tcPr>
          <w:p>
            <w:pPr>
              <w:spacing w:after="0"/>
              <w:rPr>
                <w:sz w:val="19"/>
                <w:szCs w:val="19"/>
                <w:color w:val="auto"/>
              </w:rPr>
            </w:pPr>
          </w:p>
        </w:tc>
        <w:tc>
          <w:tcPr>
            <w:tcW w:w="1260" w:type="dxa"/>
            <w:vAlign w:val="bottom"/>
            <w:gridSpan w:val="2"/>
          </w:tcPr>
          <w:p>
            <w:pPr>
              <w:jc w:val="right"/>
              <w:ind w:right="181"/>
              <w:spacing w:after="0"/>
              <w:rPr>
                <w:sz w:val="20"/>
                <w:szCs w:val="20"/>
                <w:color w:val="auto"/>
              </w:rPr>
            </w:pPr>
            <w:r>
              <w:rPr>
                <w:rFonts w:ascii="Arial" w:cs="Arial" w:eastAsia="Arial" w:hAnsi="Arial"/>
                <w:sz w:val="18"/>
                <w:szCs w:val="18"/>
                <w:color w:val="auto"/>
              </w:rPr>
              <w:t>(1,932)</w:t>
            </w:r>
          </w:p>
        </w:tc>
        <w:tc>
          <w:tcPr>
            <w:tcW w:w="220" w:type="dxa"/>
            <w:vAlign w:val="bottom"/>
          </w:tcPr>
          <w:p>
            <w:pPr>
              <w:spacing w:after="0"/>
              <w:rPr>
                <w:sz w:val="19"/>
                <w:szCs w:val="19"/>
                <w:color w:val="auto"/>
              </w:rPr>
            </w:pPr>
          </w:p>
        </w:tc>
        <w:tc>
          <w:tcPr>
            <w:tcW w:w="1260" w:type="dxa"/>
            <w:vAlign w:val="bottom"/>
            <w:gridSpan w:val="2"/>
          </w:tcPr>
          <w:p>
            <w:pPr>
              <w:jc w:val="right"/>
              <w:ind w:right="201"/>
              <w:spacing w:after="0"/>
              <w:rPr>
                <w:sz w:val="20"/>
                <w:szCs w:val="20"/>
                <w:color w:val="auto"/>
              </w:rPr>
            </w:pPr>
            <w:r>
              <w:rPr>
                <w:rFonts w:ascii="Arial" w:cs="Arial" w:eastAsia="Arial" w:hAnsi="Arial"/>
                <w:sz w:val="18"/>
                <w:szCs w:val="18"/>
                <w:color w:val="auto"/>
              </w:rPr>
              <w:t>(2,053)</w:t>
            </w:r>
          </w:p>
        </w:tc>
        <w:tc>
          <w:tcPr>
            <w:tcW w:w="220" w:type="dxa"/>
            <w:vAlign w:val="bottom"/>
          </w:tcPr>
          <w:p>
            <w:pPr>
              <w:spacing w:after="0"/>
              <w:rPr>
                <w:sz w:val="19"/>
                <w:szCs w:val="19"/>
                <w:color w:val="auto"/>
              </w:rPr>
            </w:pPr>
          </w:p>
        </w:tc>
        <w:tc>
          <w:tcPr>
            <w:tcW w:w="1240" w:type="dxa"/>
            <w:vAlign w:val="bottom"/>
            <w:gridSpan w:val="2"/>
          </w:tcPr>
          <w:p>
            <w:pPr>
              <w:jc w:val="right"/>
              <w:ind w:right="181"/>
              <w:spacing w:after="0"/>
              <w:rPr>
                <w:sz w:val="20"/>
                <w:szCs w:val="20"/>
                <w:color w:val="auto"/>
              </w:rPr>
            </w:pPr>
            <w:r>
              <w:rPr>
                <w:rFonts w:ascii="Arial" w:cs="Arial" w:eastAsia="Arial" w:hAnsi="Arial"/>
                <w:sz w:val="18"/>
                <w:szCs w:val="18"/>
                <w:color w:val="auto"/>
              </w:rPr>
              <w:t>(3,756)</w:t>
            </w:r>
          </w:p>
        </w:tc>
        <w:tc>
          <w:tcPr>
            <w:tcW w:w="2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(4,402)</w:t>
            </w:r>
          </w:p>
        </w:tc>
      </w:tr>
      <w:tr>
        <w:trPr>
          <w:trHeight w:val="229"/>
        </w:trPr>
        <w:tc>
          <w:tcPr>
            <w:tcW w:w="5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55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19"/>
                <w:szCs w:val="19"/>
                <w:color w:val="auto"/>
              </w:rPr>
            </w:pPr>
          </w:p>
        </w:tc>
        <w:tc>
          <w:tcPr>
            <w:tcW w:w="1260" w:type="dxa"/>
            <w:vAlign w:val="bottom"/>
            <w:gridSpan w:val="2"/>
          </w:tcPr>
          <w:p>
            <w:pPr>
              <w:jc w:val="right"/>
              <w:ind w:right="241"/>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1260" w:type="dxa"/>
            <w:vAlign w:val="bottom"/>
            <w:gridSpan w:val="2"/>
          </w:tcPr>
          <w:p>
            <w:pPr>
              <w:jc w:val="right"/>
              <w:ind w:right="261"/>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9"/>
                <w:szCs w:val="19"/>
                <w:color w:val="auto"/>
              </w:rPr>
            </w:pPr>
          </w:p>
        </w:tc>
        <w:tc>
          <w:tcPr>
            <w:tcW w:w="1240" w:type="dxa"/>
            <w:vAlign w:val="bottom"/>
            <w:gridSpan w:val="2"/>
          </w:tcPr>
          <w:p>
            <w:pPr>
              <w:jc w:val="right"/>
              <w:ind w:right="241"/>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9"/>
                <w:szCs w:val="19"/>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45</w:t>
            </w:r>
          </w:p>
        </w:tc>
      </w:tr>
      <w:tr>
        <w:trPr>
          <w:trHeight w:val="229"/>
        </w:trPr>
        <w:tc>
          <w:tcPr>
            <w:tcW w:w="55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50"/>
        </w:trPr>
        <w:tc>
          <w:tcPr>
            <w:tcW w:w="55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(1,937</w:t>
            </w:r>
          </w:p>
        </w:tc>
        <w:tc>
          <w:tcPr>
            <w:tcW w:w="320" w:type="dxa"/>
            <w:vAlign w:val="bottom"/>
            <w:tcBorders>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(2,098</w:t>
            </w:r>
          </w:p>
        </w:tc>
        <w:tc>
          <w:tcPr>
            <w:tcW w:w="340" w:type="dxa"/>
            <w:vAlign w:val="bottom"/>
            <w:tcBorders>
              <w:bottom w:val="single" w:sz="8" w:color="CCEEFF"/>
            </w:tcBorders>
          </w:tcPr>
          <w:p>
            <w:pPr>
              <w:jc w:val="right"/>
              <w:ind w:right="201"/>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(3,784</w:t>
            </w:r>
          </w:p>
        </w:tc>
        <w:tc>
          <w:tcPr>
            <w:tcW w:w="320" w:type="dxa"/>
            <w:vAlign w:val="bottom"/>
            <w:tcBorders>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(4,447</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196"/>
        </w:trPr>
        <w:tc>
          <w:tcPr>
            <w:tcW w:w="5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3"/>
        </w:trPr>
        <w:tc>
          <w:tcPr>
            <w:tcW w:w="5560" w:type="dxa"/>
            <w:vAlign w:val="bottom"/>
          </w:tcPr>
          <w:p>
            <w:pPr>
              <w:ind w:left="40"/>
              <w:spacing w:after="0"/>
              <w:rPr>
                <w:sz w:val="20"/>
                <w:szCs w:val="20"/>
                <w:color w:val="auto"/>
              </w:rPr>
            </w:pPr>
            <w:r>
              <w:rPr>
                <w:rFonts w:ascii="Arial" w:cs="Arial" w:eastAsia="Arial" w:hAnsi="Arial"/>
                <w:sz w:val="18"/>
                <w:szCs w:val="18"/>
                <w:color w:val="auto"/>
              </w:rPr>
              <w:t>Basic weighted average shares outstanding</w:t>
            </w:r>
          </w:p>
        </w:tc>
        <w:tc>
          <w:tcPr>
            <w:tcW w:w="220" w:type="dxa"/>
            <w:vAlign w:val="bottom"/>
          </w:tcPr>
          <w:p>
            <w:pPr>
              <w:spacing w:after="0"/>
              <w:rPr>
                <w:sz w:val="21"/>
                <w:szCs w:val="21"/>
                <w:color w:val="auto"/>
              </w:rPr>
            </w:pPr>
          </w:p>
        </w:tc>
        <w:tc>
          <w:tcPr>
            <w:tcW w:w="1260" w:type="dxa"/>
            <w:vAlign w:val="bottom"/>
            <w:gridSpan w:val="2"/>
          </w:tcPr>
          <w:p>
            <w:pPr>
              <w:jc w:val="right"/>
              <w:ind w:right="241"/>
              <w:spacing w:after="0"/>
              <w:rPr>
                <w:sz w:val="20"/>
                <w:szCs w:val="20"/>
                <w:color w:val="auto"/>
              </w:rPr>
            </w:pPr>
            <w:r>
              <w:rPr>
                <w:rFonts w:ascii="Arial" w:cs="Arial" w:eastAsia="Arial" w:hAnsi="Arial"/>
                <w:sz w:val="18"/>
                <w:szCs w:val="18"/>
                <w:color w:val="auto"/>
              </w:rPr>
              <w:t>16,650,774</w:t>
            </w:r>
          </w:p>
        </w:tc>
        <w:tc>
          <w:tcPr>
            <w:tcW w:w="220" w:type="dxa"/>
            <w:vAlign w:val="bottom"/>
          </w:tcPr>
          <w:p>
            <w:pPr>
              <w:spacing w:after="0"/>
              <w:rPr>
                <w:sz w:val="21"/>
                <w:szCs w:val="21"/>
                <w:color w:val="auto"/>
              </w:rPr>
            </w:pPr>
          </w:p>
        </w:tc>
        <w:tc>
          <w:tcPr>
            <w:tcW w:w="1260" w:type="dxa"/>
            <w:vAlign w:val="bottom"/>
            <w:gridSpan w:val="2"/>
          </w:tcPr>
          <w:p>
            <w:pPr>
              <w:jc w:val="right"/>
              <w:ind w:right="261"/>
              <w:spacing w:after="0"/>
              <w:rPr>
                <w:sz w:val="20"/>
                <w:szCs w:val="20"/>
                <w:color w:val="auto"/>
              </w:rPr>
            </w:pPr>
            <w:r>
              <w:rPr>
                <w:rFonts w:ascii="Arial" w:cs="Arial" w:eastAsia="Arial" w:hAnsi="Arial"/>
                <w:sz w:val="18"/>
                <w:szCs w:val="18"/>
                <w:color w:val="auto"/>
                <w:w w:val="99"/>
              </w:rPr>
              <w:t>16,630,770</w:t>
            </w:r>
          </w:p>
        </w:tc>
        <w:tc>
          <w:tcPr>
            <w:tcW w:w="220" w:type="dxa"/>
            <w:vAlign w:val="bottom"/>
          </w:tcPr>
          <w:p>
            <w:pPr>
              <w:spacing w:after="0"/>
              <w:rPr>
                <w:sz w:val="21"/>
                <w:szCs w:val="21"/>
                <w:color w:val="auto"/>
              </w:rPr>
            </w:pPr>
          </w:p>
        </w:tc>
        <w:tc>
          <w:tcPr>
            <w:tcW w:w="1240" w:type="dxa"/>
            <w:vAlign w:val="bottom"/>
            <w:gridSpan w:val="2"/>
          </w:tcPr>
          <w:p>
            <w:pPr>
              <w:jc w:val="right"/>
              <w:ind w:right="241"/>
              <w:spacing w:after="0"/>
              <w:rPr>
                <w:sz w:val="20"/>
                <w:szCs w:val="20"/>
                <w:color w:val="auto"/>
              </w:rPr>
            </w:pPr>
            <w:r>
              <w:rPr>
                <w:rFonts w:ascii="Arial" w:cs="Arial" w:eastAsia="Arial" w:hAnsi="Arial"/>
                <w:sz w:val="18"/>
                <w:szCs w:val="18"/>
                <w:color w:val="auto"/>
                <w:w w:val="99"/>
              </w:rPr>
              <w:t>16,650,750</w:t>
            </w:r>
          </w:p>
        </w:tc>
        <w:tc>
          <w:tcPr>
            <w:tcW w:w="240" w:type="dxa"/>
            <w:vAlign w:val="bottom"/>
          </w:tcPr>
          <w:p>
            <w:pPr>
              <w:spacing w:after="0"/>
              <w:rPr>
                <w:sz w:val="21"/>
                <w:szCs w:val="21"/>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w w:val="99"/>
              </w:rPr>
              <w:t>16,630,684</w:t>
            </w:r>
          </w:p>
        </w:tc>
      </w:tr>
      <w:tr>
        <w:trPr>
          <w:trHeight w:val="270"/>
        </w:trPr>
        <w:tc>
          <w:tcPr>
            <w:tcW w:w="5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 outstanding</w:t>
            </w:r>
          </w:p>
        </w:tc>
        <w:tc>
          <w:tcPr>
            <w:tcW w:w="2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16,650,774</w:t>
            </w:r>
          </w:p>
        </w:tc>
        <w:tc>
          <w:tcPr>
            <w:tcW w:w="2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w w:val="99"/>
              </w:rPr>
              <w:t>16,630,770</w:t>
            </w:r>
          </w:p>
        </w:tc>
        <w:tc>
          <w:tcPr>
            <w:tcW w:w="2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w w:val="99"/>
              </w:rPr>
              <w:t>16,650,750</w:t>
            </w:r>
          </w:p>
        </w:tc>
        <w:tc>
          <w:tcPr>
            <w:tcW w:w="2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9"/>
              </w:rPr>
              <w:t>16,630,684</w:t>
            </w:r>
          </w:p>
        </w:tc>
      </w:tr>
      <w:tr>
        <w:trPr>
          <w:trHeight w:val="230"/>
        </w:trPr>
        <w:tc>
          <w:tcPr>
            <w:tcW w:w="5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 loss per share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(0.12)</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(0.13)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(0.23)</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(0.27)</w:t>
            </w:r>
          </w:p>
        </w:tc>
      </w:tr>
      <w:tr>
        <w:trPr>
          <w:trHeight w:val="230"/>
        </w:trPr>
        <w:tc>
          <w:tcPr>
            <w:tcW w:w="5560" w:type="dxa"/>
            <w:vAlign w:val="bottom"/>
          </w:tcPr>
          <w:p>
            <w:pPr>
              <w:ind w:left="40"/>
              <w:spacing w:after="0"/>
              <w:rPr>
                <w:sz w:val="20"/>
                <w:szCs w:val="20"/>
                <w:color w:val="auto"/>
              </w:rPr>
            </w:pPr>
            <w:r>
              <w:rPr>
                <w:rFonts w:ascii="Arial" w:cs="Arial" w:eastAsia="Arial" w:hAnsi="Arial"/>
                <w:sz w:val="18"/>
                <w:szCs w:val="18"/>
                <w:color w:val="auto"/>
              </w:rPr>
              <w:t>Diluted loss per share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81"/>
              <w:spacing w:after="0"/>
              <w:rPr>
                <w:sz w:val="20"/>
                <w:szCs w:val="20"/>
                <w:color w:val="auto"/>
              </w:rPr>
            </w:pPr>
            <w:r>
              <w:rPr>
                <w:rFonts w:ascii="Arial" w:cs="Arial" w:eastAsia="Arial" w:hAnsi="Arial"/>
                <w:sz w:val="18"/>
                <w:szCs w:val="18"/>
                <w:color w:val="auto"/>
              </w:rPr>
              <w:t>(0.12)</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01"/>
              <w:spacing w:after="0"/>
              <w:rPr>
                <w:sz w:val="20"/>
                <w:szCs w:val="20"/>
                <w:color w:val="auto"/>
              </w:rPr>
            </w:pPr>
            <w:r>
              <w:rPr>
                <w:rFonts w:ascii="Arial" w:cs="Arial" w:eastAsia="Arial" w:hAnsi="Arial"/>
                <w:sz w:val="18"/>
                <w:szCs w:val="18"/>
                <w:color w:val="auto"/>
              </w:rPr>
              <w:t>(0.13)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1"/>
              <w:spacing w:after="0"/>
              <w:rPr>
                <w:sz w:val="20"/>
                <w:szCs w:val="20"/>
                <w:color w:val="auto"/>
              </w:rPr>
            </w:pPr>
            <w:r>
              <w:rPr>
                <w:rFonts w:ascii="Arial" w:cs="Arial" w:eastAsia="Arial" w:hAnsi="Arial"/>
                <w:sz w:val="18"/>
                <w:szCs w:val="18"/>
                <w:color w:val="auto"/>
              </w:rPr>
              <w:t>(0.23)</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(0.27)</w:t>
            </w:r>
          </w:p>
        </w:tc>
      </w:tr>
      <w:tr>
        <w:trPr>
          <w:trHeight w:val="229"/>
        </w:trPr>
        <w:tc>
          <w:tcPr>
            <w:tcW w:w="5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5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loss:</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5560" w:type="dxa"/>
            <w:vAlign w:val="bottom"/>
          </w:tcPr>
          <w:p>
            <w:pPr>
              <w:ind w:left="160"/>
              <w:spacing w:after="0"/>
              <w:rPr>
                <w:sz w:val="20"/>
                <w:szCs w:val="20"/>
                <w:color w:val="auto"/>
              </w:rPr>
            </w:pPr>
            <w:r>
              <w:rPr>
                <w:rFonts w:ascii="Arial" w:cs="Arial" w:eastAsia="Arial" w:hAnsi="Arial"/>
                <w:sz w:val="18"/>
                <w:szCs w:val="18"/>
                <w:color w:val="auto"/>
              </w:rPr>
              <w:t>Net loss</w:t>
            </w:r>
          </w:p>
        </w:tc>
        <w:tc>
          <w:tcPr>
            <w:tcW w:w="220" w:type="dxa"/>
            <w:vAlign w:val="bottom"/>
          </w:tcPr>
          <w:p>
            <w:pPr>
              <w:spacing w:after="0"/>
              <w:rPr>
                <w:sz w:val="19"/>
                <w:szCs w:val="19"/>
                <w:color w:val="auto"/>
              </w:rPr>
            </w:pPr>
          </w:p>
        </w:tc>
        <w:tc>
          <w:tcPr>
            <w:tcW w:w="1260" w:type="dxa"/>
            <w:vAlign w:val="bottom"/>
            <w:gridSpan w:val="2"/>
          </w:tcPr>
          <w:p>
            <w:pPr>
              <w:jc w:val="right"/>
              <w:ind w:right="181"/>
              <w:spacing w:after="0"/>
              <w:rPr>
                <w:sz w:val="20"/>
                <w:szCs w:val="20"/>
                <w:color w:val="auto"/>
              </w:rPr>
            </w:pPr>
            <w:r>
              <w:rPr>
                <w:rFonts w:ascii="Arial" w:cs="Arial" w:eastAsia="Arial" w:hAnsi="Arial"/>
                <w:sz w:val="18"/>
                <w:szCs w:val="18"/>
                <w:color w:val="auto"/>
              </w:rPr>
              <w:t>(1,937)</w:t>
            </w:r>
          </w:p>
        </w:tc>
        <w:tc>
          <w:tcPr>
            <w:tcW w:w="220" w:type="dxa"/>
            <w:vAlign w:val="bottom"/>
          </w:tcPr>
          <w:p>
            <w:pPr>
              <w:spacing w:after="0"/>
              <w:rPr>
                <w:sz w:val="19"/>
                <w:szCs w:val="19"/>
                <w:color w:val="auto"/>
              </w:rPr>
            </w:pPr>
          </w:p>
        </w:tc>
        <w:tc>
          <w:tcPr>
            <w:tcW w:w="1260" w:type="dxa"/>
            <w:vAlign w:val="bottom"/>
            <w:gridSpan w:val="2"/>
          </w:tcPr>
          <w:p>
            <w:pPr>
              <w:jc w:val="right"/>
              <w:ind w:right="201"/>
              <w:spacing w:after="0"/>
              <w:rPr>
                <w:sz w:val="20"/>
                <w:szCs w:val="20"/>
                <w:color w:val="auto"/>
              </w:rPr>
            </w:pPr>
            <w:r>
              <w:rPr>
                <w:rFonts w:ascii="Arial" w:cs="Arial" w:eastAsia="Arial" w:hAnsi="Arial"/>
                <w:sz w:val="18"/>
                <w:szCs w:val="18"/>
                <w:color w:val="auto"/>
              </w:rPr>
              <w:t>(2,098)</w:t>
            </w:r>
          </w:p>
        </w:tc>
        <w:tc>
          <w:tcPr>
            <w:tcW w:w="220" w:type="dxa"/>
            <w:vAlign w:val="bottom"/>
          </w:tcPr>
          <w:p>
            <w:pPr>
              <w:spacing w:after="0"/>
              <w:rPr>
                <w:sz w:val="19"/>
                <w:szCs w:val="19"/>
                <w:color w:val="auto"/>
              </w:rPr>
            </w:pPr>
          </w:p>
        </w:tc>
        <w:tc>
          <w:tcPr>
            <w:tcW w:w="1240" w:type="dxa"/>
            <w:vAlign w:val="bottom"/>
            <w:gridSpan w:val="2"/>
          </w:tcPr>
          <w:p>
            <w:pPr>
              <w:jc w:val="right"/>
              <w:ind w:right="181"/>
              <w:spacing w:after="0"/>
              <w:rPr>
                <w:sz w:val="20"/>
                <w:szCs w:val="20"/>
                <w:color w:val="auto"/>
              </w:rPr>
            </w:pPr>
            <w:r>
              <w:rPr>
                <w:rFonts w:ascii="Arial" w:cs="Arial" w:eastAsia="Arial" w:hAnsi="Arial"/>
                <w:sz w:val="18"/>
                <w:szCs w:val="18"/>
                <w:color w:val="auto"/>
              </w:rPr>
              <w:t>(3,784)</w:t>
            </w:r>
          </w:p>
        </w:tc>
        <w:tc>
          <w:tcPr>
            <w:tcW w:w="2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(4,447)</w:t>
            </w:r>
          </w:p>
        </w:tc>
      </w:tr>
      <w:tr>
        <w:trPr>
          <w:trHeight w:val="270"/>
        </w:trPr>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Unrealized gain on available-for-sale securities, net of tax</w:t>
            </w:r>
          </w:p>
        </w:tc>
        <w:tc>
          <w:tcPr>
            <w:tcW w:w="2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84</w:t>
            </w:r>
          </w:p>
        </w:tc>
        <w:tc>
          <w:tcPr>
            <w:tcW w:w="2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154</w:t>
            </w:r>
          </w:p>
        </w:tc>
      </w:tr>
      <w:tr>
        <w:trPr>
          <w:trHeight w:val="229"/>
        </w:trPr>
        <w:tc>
          <w:tcPr>
            <w:tcW w:w="5560" w:type="dxa"/>
            <w:vAlign w:val="bottom"/>
          </w:tcPr>
          <w:p>
            <w:pPr>
              <w:ind w:left="160"/>
              <w:spacing w:after="0"/>
              <w:rPr>
                <w:sz w:val="20"/>
                <w:szCs w:val="20"/>
                <w:color w:val="auto"/>
              </w:rPr>
            </w:pPr>
            <w:r>
              <w:rPr>
                <w:rFonts w:ascii="Arial" w:cs="Arial" w:eastAsia="Arial" w:hAnsi="Arial"/>
                <w:sz w:val="18"/>
                <w:szCs w:val="18"/>
                <w:color w:val="auto"/>
              </w:rPr>
              <w:t>Change in foreign currency translation adjustment</w:t>
            </w:r>
          </w:p>
        </w:tc>
        <w:tc>
          <w:tcPr>
            <w:tcW w:w="220" w:type="dxa"/>
            <w:vAlign w:val="bottom"/>
          </w:tcPr>
          <w:p>
            <w:pPr>
              <w:spacing w:after="0"/>
              <w:rPr>
                <w:sz w:val="19"/>
                <w:szCs w:val="19"/>
                <w:color w:val="auto"/>
              </w:rPr>
            </w:pPr>
          </w:p>
        </w:tc>
        <w:tc>
          <w:tcPr>
            <w:tcW w:w="1260" w:type="dxa"/>
            <w:vAlign w:val="bottom"/>
            <w:gridSpan w:val="2"/>
          </w:tcPr>
          <w:p>
            <w:pPr>
              <w:jc w:val="right"/>
              <w:ind w:right="181"/>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9"/>
                <w:szCs w:val="19"/>
                <w:color w:val="auto"/>
              </w:rPr>
            </w:pPr>
          </w:p>
        </w:tc>
        <w:tc>
          <w:tcPr>
            <w:tcW w:w="1260" w:type="dxa"/>
            <w:vAlign w:val="bottom"/>
            <w:gridSpan w:val="2"/>
          </w:tcPr>
          <w:p>
            <w:pPr>
              <w:jc w:val="right"/>
              <w:ind w:right="261"/>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9"/>
                <w:szCs w:val="19"/>
                <w:color w:val="auto"/>
              </w:rPr>
            </w:pPr>
          </w:p>
        </w:tc>
        <w:tc>
          <w:tcPr>
            <w:tcW w:w="1240" w:type="dxa"/>
            <w:vAlign w:val="bottom"/>
            <w:gridSpan w:val="2"/>
          </w:tcPr>
          <w:p>
            <w:pPr>
              <w:jc w:val="right"/>
              <w:ind w:right="181"/>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10"/>
        </w:trPr>
        <w:tc>
          <w:tcPr>
            <w:tcW w:w="55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(1,915</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(2,005</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(3,819</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8"/>
        </w:trPr>
        <w:tc>
          <w:tcPr>
            <w:tcW w:w="5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 w:name="page9"/>
    <w:bookmarkEnd w:id="8"/>
    <w:p>
      <w:pPr>
        <w:jc w:val="center"/>
        <w:ind w:right="120"/>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UNAUDITED RECONCILIATION OF GAAP MEASURES TO NON-GAAP MEASURES</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(Dollars in thousands, except per share values)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20" w:type="dxa"/>
            <w:vAlign w:val="bottom"/>
            <w:gridSpan w:val="5"/>
          </w:tcPr>
          <w:p>
            <w:pPr>
              <w:jc w:val="right"/>
              <w:ind w:right="600"/>
              <w:spacing w:after="0"/>
              <w:rPr>
                <w:sz w:val="20"/>
                <w:szCs w:val="20"/>
                <w:color w:val="auto"/>
              </w:rPr>
            </w:pPr>
            <w:r>
              <w:rPr>
                <w:rFonts w:ascii="Arial" w:cs="Arial" w:eastAsia="Arial" w:hAnsi="Arial"/>
                <w:sz w:val="16"/>
                <w:szCs w:val="16"/>
                <w:b w:val="1"/>
                <w:bCs w:val="1"/>
                <w:color w:val="auto"/>
                <w:w w:val="92"/>
              </w:rPr>
              <w:t>Three months ended June 30,</w:t>
            </w:r>
          </w:p>
        </w:tc>
        <w:tc>
          <w:tcPr>
            <w:tcW w:w="220" w:type="dxa"/>
            <w:vAlign w:val="bottom"/>
          </w:tcPr>
          <w:p>
            <w:pPr>
              <w:spacing w:after="0"/>
              <w:rPr>
                <w:sz w:val="18"/>
                <w:szCs w:val="18"/>
                <w:color w:val="auto"/>
              </w:rPr>
            </w:pPr>
          </w:p>
        </w:tc>
        <w:tc>
          <w:tcPr>
            <w:tcW w:w="2420" w:type="dxa"/>
            <w:vAlign w:val="bottom"/>
            <w:gridSpan w:val="5"/>
          </w:tcPr>
          <w:p>
            <w:pPr>
              <w:ind w:left="160"/>
              <w:spacing w:after="0"/>
              <w:rPr>
                <w:sz w:val="20"/>
                <w:szCs w:val="20"/>
                <w:color w:val="auto"/>
              </w:rPr>
            </w:pPr>
            <w:r>
              <w:rPr>
                <w:rFonts w:ascii="Arial" w:cs="Arial" w:eastAsia="Arial" w:hAnsi="Arial"/>
                <w:sz w:val="16"/>
                <w:szCs w:val="16"/>
                <w:color w:val="auto"/>
              </w:rPr>
              <w:t>S</w:t>
            </w:r>
            <w:r>
              <w:rPr>
                <w:rFonts w:ascii="Arial" w:cs="Arial" w:eastAsia="Arial" w:hAnsi="Arial"/>
                <w:sz w:val="16"/>
                <w:szCs w:val="16"/>
                <w:b w:val="1"/>
                <w:bCs w:val="1"/>
                <w:color w:val="auto"/>
              </w:rPr>
              <w:t>ix months ended June 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6"/>
                <w:szCs w:val="16"/>
                <w:b w:val="1"/>
                <w:bCs w:val="1"/>
                <w:color w:val="auto"/>
              </w:rPr>
              <w:t>2020</w:t>
            </w:r>
          </w:p>
        </w:tc>
        <w:tc>
          <w:tcPr>
            <w:tcW w:w="3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6"/>
                <w:szCs w:val="16"/>
                <w:b w:val="1"/>
                <w:bCs w:val="1"/>
                <w:color w:val="auto"/>
              </w:rPr>
              <w:t>2019</w:t>
            </w:r>
          </w:p>
        </w:tc>
        <w:tc>
          <w:tcPr>
            <w:tcW w:w="3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2020</w:t>
            </w:r>
          </w:p>
        </w:tc>
        <w:tc>
          <w:tcPr>
            <w:tcW w:w="3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2019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GAAP gross profit</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2,939</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5,456</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40"/>
              <w:spacing w:after="0"/>
              <w:rPr>
                <w:sz w:val="20"/>
                <w:szCs w:val="20"/>
                <w:color w:val="auto"/>
              </w:rPr>
            </w:pPr>
            <w:r>
              <w:rPr>
                <w:rFonts w:ascii="Arial" w:cs="Arial" w:eastAsia="Arial" w:hAnsi="Arial"/>
                <w:sz w:val="16"/>
                <w:szCs w:val="16"/>
                <w:color w:val="auto"/>
              </w:rPr>
              <w:t>Stock-based compensation</w:t>
            </w:r>
          </w:p>
        </w:tc>
        <w:tc>
          <w:tcPr>
            <w:tcW w:w="20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239"/>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6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Non-GAAP gross profit</w:t>
            </w: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2,618</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2,941</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5,458</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
        </w:trPr>
        <w:tc>
          <w:tcPr>
            <w:tcW w:w="5600" w:type="dxa"/>
            <w:vAlign w:val="bottom"/>
            <w:vMerge w:val="restart"/>
            <w:shd w:val="clear" w:color="auto" w:fill="CCEEFF"/>
          </w:tcPr>
          <w:p>
            <w:pPr>
              <w:ind w:left="40"/>
              <w:spacing w:after="0"/>
              <w:rPr>
                <w:sz w:val="20"/>
                <w:szCs w:val="20"/>
                <w:color w:val="auto"/>
              </w:rPr>
            </w:pPr>
            <w:r>
              <w:rPr>
                <w:rFonts w:ascii="Arial" w:cs="Arial" w:eastAsia="Arial" w:hAnsi="Arial"/>
                <w:sz w:val="16"/>
                <w:szCs w:val="16"/>
                <w:b w:val="1"/>
                <w:bCs w:val="1"/>
                <w:color w:val="auto"/>
              </w:rPr>
              <w:t>GAAP operating loss</w:t>
            </w:r>
          </w:p>
        </w:tc>
        <w:tc>
          <w:tcPr>
            <w:tcW w:w="200" w:type="dxa"/>
            <w:vAlign w:val="bottom"/>
            <w:shd w:val="clear" w:color="auto" w:fill="CCEEFF"/>
          </w:tcPr>
          <w:p>
            <w:pPr>
              <w:jc w:val="right"/>
              <w:ind w:right="11"/>
              <w:spacing w:after="0" w:line="5" w:lineRule="exact"/>
              <w:rPr>
                <w:sz w:val="20"/>
                <w:szCs w:val="20"/>
                <w:color w:val="auto"/>
              </w:rPr>
            </w:pPr>
            <w:r>
              <w:rPr>
                <w:rFonts w:ascii="Arial" w:cs="Arial" w:eastAsia="Arial" w:hAnsi="Arial"/>
                <w:sz w:val="1"/>
                <w:szCs w:val="1"/>
                <w:color w:val="auto"/>
              </w:rPr>
              <w:t>$</w:t>
            </w:r>
          </w:p>
        </w:tc>
        <w:tc>
          <w:tcPr>
            <w:tcW w:w="1260" w:type="dxa"/>
            <w:vAlign w:val="bottom"/>
            <w:gridSpan w:val="2"/>
            <w:shd w:val="clear" w:color="auto" w:fill="CCEEFF"/>
          </w:tcPr>
          <w:p>
            <w:pPr>
              <w:jc w:val="right"/>
              <w:ind w:right="260"/>
              <w:spacing w:after="0" w:line="5" w:lineRule="exact"/>
              <w:rPr>
                <w:sz w:val="20"/>
                <w:szCs w:val="20"/>
                <w:color w:val="auto"/>
              </w:rPr>
            </w:pPr>
            <w:r>
              <w:rPr>
                <w:rFonts w:ascii="Arial" w:cs="Arial" w:eastAsia="Arial" w:hAnsi="Arial"/>
                <w:sz w:val="1"/>
                <w:szCs w:val="1"/>
                <w:color w:val="auto"/>
              </w:rPr>
              <w:t>(1,839)</w:t>
            </w:r>
          </w:p>
        </w:tc>
        <w:tc>
          <w:tcPr>
            <w:tcW w:w="260" w:type="dxa"/>
            <w:vAlign w:val="bottom"/>
            <w:shd w:val="clear" w:color="auto" w:fill="CCEEFF"/>
          </w:tcPr>
          <w:p>
            <w:pPr>
              <w:jc w:val="right"/>
              <w:ind w:right="72"/>
              <w:spacing w:after="0" w:line="5" w:lineRule="exact"/>
              <w:rPr>
                <w:sz w:val="20"/>
                <w:szCs w:val="20"/>
                <w:color w:val="auto"/>
              </w:rPr>
            </w:pPr>
            <w:r>
              <w:rPr>
                <w:rFonts w:ascii="Arial" w:cs="Arial" w:eastAsia="Arial" w:hAnsi="Arial"/>
                <w:sz w:val="1"/>
                <w:szCs w:val="1"/>
                <w:color w:val="auto"/>
              </w:rPr>
              <w:t>$</w:t>
            </w:r>
          </w:p>
        </w:tc>
        <w:tc>
          <w:tcPr>
            <w:tcW w:w="1200" w:type="dxa"/>
            <w:vAlign w:val="bottom"/>
            <w:gridSpan w:val="2"/>
            <w:shd w:val="clear" w:color="auto" w:fill="CCEEFF"/>
          </w:tcPr>
          <w:p>
            <w:pPr>
              <w:jc w:val="right"/>
              <w:ind w:right="260"/>
              <w:spacing w:after="0" w:line="5" w:lineRule="exact"/>
              <w:rPr>
                <w:sz w:val="20"/>
                <w:szCs w:val="20"/>
                <w:color w:val="auto"/>
              </w:rPr>
            </w:pPr>
            <w:r>
              <w:rPr>
                <w:rFonts w:ascii="Arial" w:cs="Arial" w:eastAsia="Arial" w:hAnsi="Arial"/>
                <w:sz w:val="1"/>
                <w:szCs w:val="1"/>
                <w:color w:val="auto"/>
              </w:rPr>
              <w:t>(2,104)</w:t>
            </w:r>
          </w:p>
        </w:tc>
        <w:tc>
          <w:tcPr>
            <w:tcW w:w="220" w:type="dxa"/>
            <w:vAlign w:val="bottom"/>
            <w:shd w:val="clear" w:color="auto" w:fill="CCEEFF"/>
          </w:tcPr>
          <w:p>
            <w:pPr>
              <w:jc w:val="right"/>
              <w:ind w:right="32"/>
              <w:spacing w:after="0" w:line="5" w:lineRule="exact"/>
              <w:rPr>
                <w:sz w:val="20"/>
                <w:szCs w:val="20"/>
                <w:color w:val="auto"/>
              </w:rPr>
            </w:pPr>
            <w:r>
              <w:rPr>
                <w:rFonts w:ascii="Arial" w:cs="Arial" w:eastAsia="Arial" w:hAnsi="Arial"/>
                <w:sz w:val="1"/>
                <w:szCs w:val="1"/>
                <w:color w:val="auto"/>
              </w:rPr>
              <w:t>$</w:t>
            </w:r>
          </w:p>
        </w:tc>
        <w:tc>
          <w:tcPr>
            <w:tcW w:w="1240" w:type="dxa"/>
            <w:vAlign w:val="bottom"/>
            <w:gridSpan w:val="2"/>
            <w:shd w:val="clear" w:color="auto" w:fill="CCEEFF"/>
          </w:tcPr>
          <w:p>
            <w:pPr>
              <w:jc w:val="right"/>
              <w:ind w:right="239"/>
              <w:spacing w:after="0" w:line="5" w:lineRule="exact"/>
              <w:rPr>
                <w:sz w:val="20"/>
                <w:szCs w:val="20"/>
                <w:color w:val="auto"/>
              </w:rPr>
            </w:pPr>
            <w:r>
              <w:rPr>
                <w:rFonts w:ascii="Arial" w:cs="Arial" w:eastAsia="Arial" w:hAnsi="Arial"/>
                <w:sz w:val="1"/>
                <w:szCs w:val="1"/>
                <w:color w:val="auto"/>
              </w:rPr>
              <w:t>(3,590</w:t>
            </w:r>
          </w:p>
        </w:tc>
        <w:tc>
          <w:tcPr>
            <w:tcW w:w="240" w:type="dxa"/>
            <w:vAlign w:val="bottom"/>
            <w:shd w:val="clear" w:color="auto" w:fill="CCEEFF"/>
          </w:tcPr>
          <w:p>
            <w:pPr>
              <w:jc w:val="right"/>
              <w:ind w:right="52"/>
              <w:spacing w:after="0" w:line="5" w:lineRule="exact"/>
              <w:rPr>
                <w:sz w:val="20"/>
                <w:szCs w:val="20"/>
                <w:color w:val="auto"/>
              </w:rPr>
            </w:pPr>
            <w:r>
              <w:rPr>
                <w:rFonts w:ascii="Arial" w:cs="Arial" w:eastAsia="Arial" w:hAnsi="Arial"/>
                <w:sz w:val="1"/>
                <w:szCs w:val="1"/>
                <w:color w:val="auto"/>
              </w:rPr>
              <w:t>$</w:t>
            </w:r>
          </w:p>
        </w:tc>
        <w:tc>
          <w:tcPr>
            <w:tcW w:w="920" w:type="dxa"/>
            <w:vAlign w:val="bottom"/>
            <w:shd w:val="clear" w:color="auto" w:fill="CCEEFF"/>
          </w:tcPr>
          <w:p>
            <w:pPr>
              <w:jc w:val="right"/>
              <w:spacing w:after="0" w:line="5" w:lineRule="exact"/>
              <w:rPr>
                <w:sz w:val="20"/>
                <w:szCs w:val="20"/>
                <w:color w:val="auto"/>
              </w:rPr>
            </w:pPr>
            <w:r>
              <w:rPr>
                <w:rFonts w:ascii="Arial" w:cs="Arial" w:eastAsia="Arial" w:hAnsi="Arial"/>
                <w:sz w:val="1"/>
                <w:szCs w:val="1"/>
                <w:color w:val="auto"/>
              </w:rPr>
              <w:t>(4,495</w:t>
            </w:r>
          </w:p>
        </w:tc>
        <w:tc>
          <w:tcPr>
            <w:tcW w:w="2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jc w:val="right"/>
              <w:ind w:right="55"/>
              <w:spacing w:after="0"/>
              <w:rPr>
                <w:sz w:val="20"/>
                <w:szCs w:val="20"/>
                <w:color w:val="auto"/>
              </w:rPr>
            </w:pPr>
            <w:r>
              <w:rPr>
                <w:rFonts w:ascii="Arial" w:cs="Arial" w:eastAsia="Arial" w:hAnsi="Arial"/>
                <w:sz w:val="1"/>
                <w:szCs w:val="1"/>
                <w:color w:val="auto"/>
                <w:w w:val="4294967281"/>
              </w:rPr>
              <w:t>)</w:t>
            </w:r>
          </w:p>
        </w:tc>
        <w:tc>
          <w:tcPr>
            <w:tcW w:w="0" w:type="dxa"/>
            <w:vAlign w:val="bottom"/>
          </w:tcPr>
          <w:p>
            <w:pPr>
              <w:spacing w:after="0" w:line="20" w:lineRule="exact"/>
              <w:rPr>
                <w:sz w:val="1"/>
                <w:szCs w:val="1"/>
                <w:color w:val="auto"/>
              </w:rPr>
            </w:pPr>
          </w:p>
        </w:tc>
      </w:tr>
      <w:tr>
        <w:trPr>
          <w:trHeight w:val="225"/>
        </w:trPr>
        <w:tc>
          <w:tcPr>
            <w:tcW w:w="560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40"/>
              <w:spacing w:after="0"/>
              <w:rPr>
                <w:sz w:val="20"/>
                <w:szCs w:val="20"/>
                <w:color w:val="auto"/>
              </w:rPr>
            </w:pPr>
            <w:r>
              <w:rPr>
                <w:rFonts w:ascii="Arial" w:cs="Arial" w:eastAsia="Arial" w:hAnsi="Arial"/>
                <w:sz w:val="16"/>
                <w:szCs w:val="16"/>
                <w:color w:val="auto"/>
              </w:rPr>
              <w:t>Stock-based compensation</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55</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239"/>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intangibles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39"/>
              <w:spacing w:after="0"/>
              <w:rPr>
                <w:sz w:val="20"/>
                <w:szCs w:val="20"/>
                <w:color w:val="auto"/>
              </w:rPr>
            </w:pPr>
            <w:r>
              <w:rPr>
                <w:rFonts w:ascii="Arial" w:cs="Arial" w:eastAsia="Arial" w:hAnsi="Arial"/>
                <w:sz w:val="18"/>
                <w:szCs w:val="18"/>
                <w:color w:val="auto"/>
              </w:rPr>
              <w:t>774</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Non-GAAP operating loss</w:t>
            </w: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vMerge w:val="restart"/>
          </w:tcPr>
          <w:p>
            <w:pPr>
              <w:jc w:val="right"/>
              <w:ind w:right="179"/>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gridSpan w:val="2"/>
            <w:vMerge w:val="restart"/>
          </w:tcPr>
          <w:p>
            <w:pPr>
              <w:jc w:val="right"/>
              <w:ind w:right="55"/>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line="20" w:lineRule="exact"/>
              <w:rPr>
                <w:sz w:val="1"/>
                <w:szCs w:val="1"/>
                <w:color w:val="auto"/>
              </w:rPr>
            </w:pPr>
          </w:p>
        </w:tc>
      </w:tr>
      <w:tr>
        <w:trPr>
          <w:trHeight w:val="250"/>
        </w:trPr>
        <w:tc>
          <w:tcPr>
            <w:tcW w:w="5600" w:type="dxa"/>
            <w:vAlign w:val="bottom"/>
            <w:vMerge w:val="continue"/>
          </w:tcPr>
          <w:p>
            <w:pPr>
              <w:spacing w:after="0"/>
              <w:rPr>
                <w:sz w:val="21"/>
                <w:szCs w:val="21"/>
                <w:color w:val="auto"/>
              </w:rPr>
            </w:pPr>
          </w:p>
        </w:tc>
        <w:tc>
          <w:tcPr>
            <w:tcW w:w="200" w:type="dxa"/>
            <w:vAlign w:val="bottom"/>
          </w:tcPr>
          <w:p>
            <w:pPr>
              <w:jc w:val="right"/>
              <w:ind w:right="11"/>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(1,416)</w:t>
            </w:r>
          </w:p>
        </w:tc>
        <w:tc>
          <w:tcPr>
            <w:tcW w:w="260" w:type="dxa"/>
            <w:vAlign w:val="bottom"/>
          </w:tcPr>
          <w:p>
            <w:pPr>
              <w:jc w:val="right"/>
              <w:ind w:right="72"/>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(1,713)</w:t>
            </w:r>
          </w:p>
        </w:tc>
        <w:tc>
          <w:tcPr>
            <w:tcW w:w="220" w:type="dxa"/>
            <w:vAlign w:val="bottom"/>
          </w:tcPr>
          <w:p>
            <w:pPr>
              <w:jc w:val="right"/>
              <w:ind w:right="32"/>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2,762</w:t>
            </w:r>
          </w:p>
        </w:tc>
        <w:tc>
          <w:tcPr>
            <w:tcW w:w="320" w:type="dxa"/>
            <w:vAlign w:val="bottom"/>
            <w:vMerge w:val="continue"/>
          </w:tcPr>
          <w:p>
            <w:pPr>
              <w:spacing w:after="0"/>
              <w:rPr>
                <w:sz w:val="21"/>
                <w:szCs w:val="21"/>
                <w:color w:val="auto"/>
              </w:rPr>
            </w:pPr>
          </w:p>
        </w:tc>
        <w:tc>
          <w:tcPr>
            <w:tcW w:w="240" w:type="dxa"/>
            <w:vAlign w:val="bottom"/>
          </w:tcPr>
          <w:p>
            <w:pPr>
              <w:jc w:val="right"/>
              <w:ind w:right="52"/>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3,666</w:t>
            </w:r>
          </w:p>
        </w:tc>
        <w:tc>
          <w:tcPr>
            <w:tcW w:w="10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6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
        </w:trPr>
        <w:tc>
          <w:tcPr>
            <w:tcW w:w="56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GAAP net loss</w:t>
            </w:r>
          </w:p>
        </w:tc>
        <w:tc>
          <w:tcPr>
            <w:tcW w:w="200" w:type="dxa"/>
            <w:vAlign w:val="bottom"/>
          </w:tcPr>
          <w:p>
            <w:pPr>
              <w:jc w:val="right"/>
              <w:ind w:right="11"/>
              <w:spacing w:after="0" w:line="5" w:lineRule="exact"/>
              <w:rPr>
                <w:sz w:val="20"/>
                <w:szCs w:val="20"/>
                <w:color w:val="auto"/>
              </w:rPr>
            </w:pPr>
            <w:r>
              <w:rPr>
                <w:rFonts w:ascii="Arial" w:cs="Arial" w:eastAsia="Arial" w:hAnsi="Arial"/>
                <w:sz w:val="1"/>
                <w:szCs w:val="1"/>
                <w:color w:val="auto"/>
              </w:rPr>
              <w:t>$</w:t>
            </w:r>
          </w:p>
        </w:tc>
        <w:tc>
          <w:tcPr>
            <w:tcW w:w="1260" w:type="dxa"/>
            <w:vAlign w:val="bottom"/>
            <w:gridSpan w:val="2"/>
          </w:tcPr>
          <w:p>
            <w:pPr>
              <w:jc w:val="right"/>
              <w:ind w:right="260"/>
              <w:spacing w:after="0" w:line="5" w:lineRule="exact"/>
              <w:rPr>
                <w:sz w:val="20"/>
                <w:szCs w:val="20"/>
                <w:color w:val="auto"/>
              </w:rPr>
            </w:pPr>
            <w:r>
              <w:rPr>
                <w:rFonts w:ascii="Arial" w:cs="Arial" w:eastAsia="Arial" w:hAnsi="Arial"/>
                <w:sz w:val="1"/>
                <w:szCs w:val="1"/>
                <w:color w:val="auto"/>
              </w:rPr>
              <w:t>(1,937)</w:t>
            </w:r>
          </w:p>
        </w:tc>
        <w:tc>
          <w:tcPr>
            <w:tcW w:w="260" w:type="dxa"/>
            <w:vAlign w:val="bottom"/>
          </w:tcPr>
          <w:p>
            <w:pPr>
              <w:jc w:val="right"/>
              <w:ind w:right="72"/>
              <w:spacing w:after="0" w:line="5" w:lineRule="exact"/>
              <w:rPr>
                <w:sz w:val="20"/>
                <w:szCs w:val="20"/>
                <w:color w:val="auto"/>
              </w:rPr>
            </w:pPr>
            <w:r>
              <w:rPr>
                <w:rFonts w:ascii="Arial" w:cs="Arial" w:eastAsia="Arial" w:hAnsi="Arial"/>
                <w:sz w:val="1"/>
                <w:szCs w:val="1"/>
                <w:color w:val="auto"/>
              </w:rPr>
              <w:t>$</w:t>
            </w:r>
          </w:p>
        </w:tc>
        <w:tc>
          <w:tcPr>
            <w:tcW w:w="1200" w:type="dxa"/>
            <w:vAlign w:val="bottom"/>
            <w:gridSpan w:val="2"/>
          </w:tcPr>
          <w:p>
            <w:pPr>
              <w:jc w:val="right"/>
              <w:ind w:right="260"/>
              <w:spacing w:after="0" w:line="5" w:lineRule="exact"/>
              <w:rPr>
                <w:sz w:val="20"/>
                <w:szCs w:val="20"/>
                <w:color w:val="auto"/>
              </w:rPr>
            </w:pPr>
            <w:r>
              <w:rPr>
                <w:rFonts w:ascii="Arial" w:cs="Arial" w:eastAsia="Arial" w:hAnsi="Arial"/>
                <w:sz w:val="1"/>
                <w:szCs w:val="1"/>
                <w:color w:val="auto"/>
              </w:rPr>
              <w:t>(2,098)</w:t>
            </w:r>
          </w:p>
        </w:tc>
        <w:tc>
          <w:tcPr>
            <w:tcW w:w="220" w:type="dxa"/>
            <w:vAlign w:val="bottom"/>
          </w:tcPr>
          <w:p>
            <w:pPr>
              <w:jc w:val="right"/>
              <w:ind w:right="32"/>
              <w:spacing w:after="0" w:line="5" w:lineRule="exact"/>
              <w:rPr>
                <w:sz w:val="20"/>
                <w:szCs w:val="20"/>
                <w:color w:val="auto"/>
              </w:rPr>
            </w:pPr>
            <w:r>
              <w:rPr>
                <w:rFonts w:ascii="Arial" w:cs="Arial" w:eastAsia="Arial" w:hAnsi="Arial"/>
                <w:sz w:val="1"/>
                <w:szCs w:val="1"/>
                <w:color w:val="auto"/>
              </w:rPr>
              <w:t>$</w:t>
            </w:r>
          </w:p>
        </w:tc>
        <w:tc>
          <w:tcPr>
            <w:tcW w:w="1240" w:type="dxa"/>
            <w:vAlign w:val="bottom"/>
            <w:gridSpan w:val="2"/>
          </w:tcPr>
          <w:p>
            <w:pPr>
              <w:jc w:val="right"/>
              <w:ind w:right="239"/>
              <w:spacing w:after="0" w:line="5" w:lineRule="exact"/>
              <w:rPr>
                <w:sz w:val="20"/>
                <w:szCs w:val="20"/>
                <w:color w:val="auto"/>
              </w:rPr>
            </w:pPr>
            <w:r>
              <w:rPr>
                <w:rFonts w:ascii="Arial" w:cs="Arial" w:eastAsia="Arial" w:hAnsi="Arial"/>
                <w:sz w:val="1"/>
                <w:szCs w:val="1"/>
                <w:color w:val="auto"/>
              </w:rPr>
              <w:t>(3,784</w:t>
            </w:r>
          </w:p>
        </w:tc>
        <w:tc>
          <w:tcPr>
            <w:tcW w:w="240" w:type="dxa"/>
            <w:vAlign w:val="bottom"/>
          </w:tcPr>
          <w:p>
            <w:pPr>
              <w:jc w:val="right"/>
              <w:ind w:right="52"/>
              <w:spacing w:after="0" w:line="5" w:lineRule="exact"/>
              <w:rPr>
                <w:sz w:val="20"/>
                <w:szCs w:val="20"/>
                <w:color w:val="auto"/>
              </w:rPr>
            </w:pPr>
            <w:r>
              <w:rPr>
                <w:rFonts w:ascii="Arial" w:cs="Arial" w:eastAsia="Arial" w:hAnsi="Arial"/>
                <w:sz w:val="1"/>
                <w:szCs w:val="1"/>
                <w:color w:val="auto"/>
              </w:rPr>
              <w:t>$</w:t>
            </w:r>
          </w:p>
        </w:tc>
        <w:tc>
          <w:tcPr>
            <w:tcW w:w="920" w:type="dxa"/>
            <w:vAlign w:val="bottom"/>
          </w:tcPr>
          <w:p>
            <w:pPr>
              <w:jc w:val="right"/>
              <w:spacing w:after="0" w:line="5" w:lineRule="exact"/>
              <w:rPr>
                <w:sz w:val="20"/>
                <w:szCs w:val="20"/>
                <w:color w:val="auto"/>
              </w:rPr>
            </w:pPr>
            <w:r>
              <w:rPr>
                <w:rFonts w:ascii="Arial" w:cs="Arial" w:eastAsia="Arial" w:hAnsi="Arial"/>
                <w:sz w:val="1"/>
                <w:szCs w:val="1"/>
                <w:color w:val="auto"/>
              </w:rPr>
              <w:t>(4,447</w:t>
            </w:r>
          </w:p>
        </w:tc>
        <w:tc>
          <w:tcPr>
            <w:tcW w:w="20" w:type="dxa"/>
            <w:vAlign w:val="bottom"/>
          </w:tcPr>
          <w:p>
            <w:pPr>
              <w:spacing w:after="0" w:line="20" w:lineRule="exact"/>
              <w:rPr>
                <w:sz w:val="1"/>
                <w:szCs w:val="1"/>
                <w:color w:val="auto"/>
              </w:rPr>
            </w:pPr>
          </w:p>
        </w:tc>
        <w:tc>
          <w:tcPr>
            <w:tcW w:w="80" w:type="dxa"/>
            <w:vAlign w:val="bottom"/>
            <w:vMerge w:val="restart"/>
          </w:tcPr>
          <w:p>
            <w:pPr>
              <w:jc w:val="right"/>
              <w:ind w:right="55"/>
              <w:spacing w:after="0"/>
              <w:rPr>
                <w:sz w:val="20"/>
                <w:szCs w:val="20"/>
                <w:color w:val="auto"/>
              </w:rPr>
            </w:pPr>
            <w:r>
              <w:rPr>
                <w:rFonts w:ascii="Arial" w:cs="Arial" w:eastAsia="Arial" w:hAnsi="Arial"/>
                <w:sz w:val="1"/>
                <w:szCs w:val="1"/>
                <w:color w:val="auto"/>
                <w:w w:val="4294967281"/>
              </w:rPr>
              <w:t>)</w:t>
            </w:r>
          </w:p>
        </w:tc>
        <w:tc>
          <w:tcPr>
            <w:tcW w:w="0" w:type="dxa"/>
            <w:vAlign w:val="bottom"/>
          </w:tcPr>
          <w:p>
            <w:pPr>
              <w:spacing w:after="0" w:line="20" w:lineRule="exact"/>
              <w:rPr>
                <w:sz w:val="1"/>
                <w:szCs w:val="1"/>
                <w:color w:val="auto"/>
              </w:rPr>
            </w:pPr>
          </w:p>
        </w:tc>
      </w:tr>
      <w:tr>
        <w:trPr>
          <w:trHeight w:val="216"/>
        </w:trPr>
        <w:tc>
          <w:tcPr>
            <w:tcW w:w="56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6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Stock-based compensation</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39"/>
              <w:spacing w:after="0"/>
              <w:rPr>
                <w:sz w:val="20"/>
                <w:szCs w:val="20"/>
                <w:color w:val="auto"/>
              </w:rPr>
            </w:pPr>
            <w:r>
              <w:rPr>
                <w:rFonts w:ascii="Arial" w:cs="Arial" w:eastAsia="Arial" w:hAnsi="Arial"/>
                <w:sz w:val="18"/>
                <w:szCs w:val="18"/>
                <w:color w:val="auto"/>
              </w:rPr>
              <w:t>54</w:t>
            </w:r>
          </w:p>
        </w:tc>
        <w:tc>
          <w:tcPr>
            <w:tcW w:w="2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40"/>
              <w:spacing w:after="0"/>
              <w:rPr>
                <w:sz w:val="20"/>
                <w:szCs w:val="20"/>
                <w:color w:val="auto"/>
              </w:rPr>
            </w:pPr>
            <w:r>
              <w:rPr>
                <w:rFonts w:ascii="Arial" w:cs="Arial" w:eastAsia="Arial" w:hAnsi="Arial"/>
                <w:sz w:val="16"/>
                <w:szCs w:val="16"/>
                <w:color w:val="auto"/>
              </w:rPr>
              <w:t>Amortization of intangibles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406</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336</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239"/>
              <w:spacing w:after="0"/>
              <w:rPr>
                <w:sz w:val="20"/>
                <w:szCs w:val="20"/>
                <w:color w:val="auto"/>
              </w:rPr>
            </w:pPr>
            <w:r>
              <w:rPr>
                <w:rFonts w:ascii="Arial" w:cs="Arial" w:eastAsia="Arial" w:hAnsi="Arial"/>
                <w:sz w:val="18"/>
                <w:szCs w:val="18"/>
                <w:color w:val="auto"/>
              </w:rPr>
              <w:t>774</w:t>
            </w:r>
          </w:p>
        </w:tc>
        <w:tc>
          <w:tcPr>
            <w:tcW w:w="2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shd w:val="clear" w:color="auto" w:fill="CCEEFF"/>
          </w:tcPr>
          <w:p>
            <w:pPr>
              <w:ind w:left="40"/>
              <w:spacing w:after="0"/>
              <w:rPr>
                <w:sz w:val="20"/>
                <w:szCs w:val="20"/>
                <w:color w:val="auto"/>
              </w:rPr>
            </w:pPr>
            <w:r>
              <w:rPr>
                <w:rFonts w:ascii="Arial" w:cs="Arial" w:eastAsia="Arial" w:hAnsi="Arial"/>
                <w:sz w:val="16"/>
                <w:szCs w:val="16"/>
                <w:b w:val="1"/>
                <w:bCs w:val="1"/>
                <w:color w:val="auto"/>
              </w:rPr>
              <w:t>Non-GAAP net loss</w:t>
            </w: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jc w:val="right"/>
              <w:ind w:right="179"/>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gridSpan w:val="2"/>
            <w:vMerge w:val="restart"/>
            <w:shd w:val="clear" w:color="auto" w:fill="CCEEFF"/>
          </w:tcPr>
          <w:p>
            <w:pPr>
              <w:jc w:val="right"/>
              <w:ind w:right="55"/>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line="20" w:lineRule="exact"/>
              <w:rPr>
                <w:sz w:val="1"/>
                <w:szCs w:val="1"/>
                <w:color w:val="auto"/>
              </w:rPr>
            </w:pPr>
          </w:p>
        </w:tc>
      </w:tr>
      <w:tr>
        <w:trPr>
          <w:trHeight w:val="209"/>
        </w:trPr>
        <w:tc>
          <w:tcPr>
            <w:tcW w:w="56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(1,514)</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(1,707)</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2,956</w:t>
            </w:r>
          </w:p>
        </w:tc>
        <w:tc>
          <w:tcPr>
            <w:tcW w:w="3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3,618</w:t>
            </w:r>
          </w:p>
        </w:tc>
        <w:tc>
          <w:tcPr>
            <w:tcW w:w="1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GAAP net loss</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(1,937)</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(2,098)</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3,784</w:t>
            </w:r>
            <w:r>
              <w:rPr>
                <w:rFonts w:ascii="Arial" w:cs="Arial" w:eastAsia="Arial" w:hAnsi="Arial"/>
                <w:sz w:val="16"/>
                <w:szCs w:val="16"/>
                <w:color w:val="auto"/>
              </w:rPr>
              <w:t>)</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6"/>
                <w:szCs w:val="16"/>
                <w:color w:val="auto"/>
              </w:rPr>
              <w:t>$</w:t>
            </w:r>
          </w:p>
        </w:tc>
        <w:tc>
          <w:tcPr>
            <w:tcW w:w="1020" w:type="dxa"/>
            <w:vAlign w:val="bottom"/>
            <w:gridSpan w:val="3"/>
            <w:shd w:val="clear" w:color="auto" w:fill="CCEEFF"/>
          </w:tcPr>
          <w:p>
            <w:pPr>
              <w:jc w:val="right"/>
              <w:ind w:right="55"/>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4,447</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600" w:type="dxa"/>
            <w:vAlign w:val="bottom"/>
          </w:tcPr>
          <w:p>
            <w:pPr>
              <w:ind w:left="40"/>
              <w:spacing w:after="0"/>
              <w:rPr>
                <w:sz w:val="20"/>
                <w:szCs w:val="20"/>
                <w:color w:val="auto"/>
              </w:rPr>
            </w:pPr>
            <w:r>
              <w:rPr>
                <w:rFonts w:ascii="Arial" w:cs="Arial" w:eastAsia="Arial" w:hAnsi="Arial"/>
                <w:sz w:val="16"/>
                <w:szCs w:val="16"/>
                <w:color w:val="auto"/>
              </w:rPr>
              <w:t>Number of shares used in computing GAAP loss per share (diluted)</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16,650,774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16,630,770</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39"/>
              <w:spacing w:after="0"/>
              <w:rPr>
                <w:sz w:val="20"/>
                <w:szCs w:val="20"/>
                <w:color w:val="auto"/>
              </w:rPr>
            </w:pPr>
            <w:r>
              <w:rPr>
                <w:rFonts w:ascii="Arial" w:cs="Arial" w:eastAsia="Arial" w:hAnsi="Arial"/>
                <w:sz w:val="18"/>
                <w:szCs w:val="18"/>
                <w:color w:val="auto"/>
                <w:w w:val="99"/>
              </w:rPr>
              <w:t>16,650,750</w:t>
            </w:r>
          </w:p>
        </w:tc>
        <w:tc>
          <w:tcPr>
            <w:tcW w:w="2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9"/>
              </w:rPr>
              <w:t>16,630,684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GAAP loss per share (diluted)</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(0.12)</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(0.13)</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0.23</w:t>
            </w:r>
            <w:r>
              <w:rPr>
                <w:rFonts w:ascii="Arial" w:cs="Arial" w:eastAsia="Arial" w:hAnsi="Arial"/>
                <w:sz w:val="16"/>
                <w:szCs w:val="16"/>
                <w:color w:val="auto"/>
              </w:rPr>
              <w:t>)</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6"/>
                <w:szCs w:val="16"/>
                <w:color w:val="auto"/>
              </w:rPr>
              <w:t>$</w:t>
            </w:r>
          </w:p>
        </w:tc>
        <w:tc>
          <w:tcPr>
            <w:tcW w:w="1020" w:type="dxa"/>
            <w:vAlign w:val="bottom"/>
            <w:gridSpan w:val="3"/>
            <w:shd w:val="clear" w:color="auto" w:fill="CCEEFF"/>
          </w:tcPr>
          <w:p>
            <w:pPr>
              <w:jc w:val="right"/>
              <w:ind w:right="55"/>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0.27</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5600" w:type="dxa"/>
            <w:vAlign w:val="bottom"/>
          </w:tcPr>
          <w:p>
            <w:pPr>
              <w:ind w:left="40"/>
              <w:spacing w:after="0"/>
              <w:rPr>
                <w:sz w:val="20"/>
                <w:szCs w:val="20"/>
                <w:color w:val="auto"/>
              </w:rPr>
            </w:pPr>
            <w:r>
              <w:rPr>
                <w:rFonts w:ascii="Arial" w:cs="Arial" w:eastAsia="Arial" w:hAnsi="Arial"/>
                <w:sz w:val="16"/>
                <w:szCs w:val="16"/>
                <w:color w:val="auto"/>
              </w:rPr>
              <w:t>Non-GAAP net loss</w:t>
            </w:r>
          </w:p>
        </w:tc>
        <w:tc>
          <w:tcPr>
            <w:tcW w:w="200" w:type="dxa"/>
            <w:vAlign w:val="bottom"/>
          </w:tcPr>
          <w:p>
            <w:pPr>
              <w:jc w:val="right"/>
              <w:ind w:right="11"/>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(1,514)</w:t>
            </w:r>
          </w:p>
        </w:tc>
        <w:tc>
          <w:tcPr>
            <w:tcW w:w="260" w:type="dxa"/>
            <w:vAlign w:val="bottom"/>
          </w:tcPr>
          <w:p>
            <w:pPr>
              <w:jc w:val="right"/>
              <w:ind w:right="72"/>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(1,707)</w:t>
            </w:r>
          </w:p>
        </w:tc>
        <w:tc>
          <w:tcPr>
            <w:tcW w:w="220" w:type="dxa"/>
            <w:vAlign w:val="bottom"/>
          </w:tcPr>
          <w:p>
            <w:pPr>
              <w:jc w:val="right"/>
              <w:ind w:right="32"/>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79"/>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2,956</w:t>
            </w:r>
            <w:r>
              <w:rPr>
                <w:rFonts w:ascii="Arial" w:cs="Arial" w:eastAsia="Arial" w:hAnsi="Arial"/>
                <w:sz w:val="16"/>
                <w:szCs w:val="16"/>
                <w:color w:val="auto"/>
              </w:rPr>
              <w:t>)</w:t>
            </w:r>
          </w:p>
        </w:tc>
        <w:tc>
          <w:tcPr>
            <w:tcW w:w="240" w:type="dxa"/>
            <w:vAlign w:val="bottom"/>
          </w:tcPr>
          <w:p>
            <w:pPr>
              <w:jc w:val="right"/>
              <w:ind w:right="52"/>
              <w:spacing w:after="0"/>
              <w:rPr>
                <w:sz w:val="20"/>
                <w:szCs w:val="20"/>
                <w:color w:val="auto"/>
              </w:rPr>
            </w:pPr>
            <w:r>
              <w:rPr>
                <w:rFonts w:ascii="Arial" w:cs="Arial" w:eastAsia="Arial" w:hAnsi="Arial"/>
                <w:sz w:val="16"/>
                <w:szCs w:val="16"/>
                <w:color w:val="auto"/>
              </w:rPr>
              <w:t>$</w:t>
            </w:r>
          </w:p>
        </w:tc>
        <w:tc>
          <w:tcPr>
            <w:tcW w:w="1020" w:type="dxa"/>
            <w:vAlign w:val="bottom"/>
            <w:gridSpan w:val="3"/>
          </w:tcPr>
          <w:p>
            <w:pPr>
              <w:jc w:val="right"/>
              <w:ind w:right="55"/>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3,618</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Number of shares used in computing Non-GAAP loss per share (diluted)</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16,650,774</w:t>
            </w: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16,630,770</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39"/>
              <w:spacing w:after="0"/>
              <w:rPr>
                <w:sz w:val="20"/>
                <w:szCs w:val="20"/>
                <w:color w:val="auto"/>
              </w:rPr>
            </w:pPr>
            <w:r>
              <w:rPr>
                <w:rFonts w:ascii="Arial" w:cs="Arial" w:eastAsia="Arial" w:hAnsi="Arial"/>
                <w:sz w:val="18"/>
                <w:szCs w:val="18"/>
                <w:color w:val="auto"/>
                <w:w w:val="99"/>
              </w:rPr>
              <w:t>16,650,750</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16,630,684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40"/>
              <w:spacing w:after="0"/>
              <w:rPr>
                <w:sz w:val="20"/>
                <w:szCs w:val="20"/>
                <w:color w:val="auto"/>
              </w:rPr>
            </w:pPr>
            <w:r>
              <w:rPr>
                <w:rFonts w:ascii="Arial" w:cs="Arial" w:eastAsia="Arial" w:hAnsi="Arial"/>
                <w:sz w:val="16"/>
                <w:szCs w:val="16"/>
                <w:b w:val="1"/>
                <w:bCs w:val="1"/>
                <w:color w:val="auto"/>
              </w:rPr>
              <w:t>Non-GAAP loss per share (diluted)</w:t>
            </w:r>
          </w:p>
        </w:tc>
        <w:tc>
          <w:tcPr>
            <w:tcW w:w="200" w:type="dxa"/>
            <w:vAlign w:val="bottom"/>
          </w:tcPr>
          <w:p>
            <w:pPr>
              <w:jc w:val="right"/>
              <w:ind w:right="11"/>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(0.09)</w:t>
            </w:r>
          </w:p>
        </w:tc>
        <w:tc>
          <w:tcPr>
            <w:tcW w:w="260" w:type="dxa"/>
            <w:vAlign w:val="bottom"/>
          </w:tcPr>
          <w:p>
            <w:pPr>
              <w:jc w:val="right"/>
              <w:ind w:right="72"/>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(0.10)</w:t>
            </w:r>
          </w:p>
        </w:tc>
        <w:tc>
          <w:tcPr>
            <w:tcW w:w="220" w:type="dxa"/>
            <w:vAlign w:val="bottom"/>
          </w:tcPr>
          <w:p>
            <w:pPr>
              <w:jc w:val="right"/>
              <w:ind w:right="32"/>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79"/>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0.18</w:t>
            </w:r>
            <w:r>
              <w:rPr>
                <w:rFonts w:ascii="Arial" w:cs="Arial" w:eastAsia="Arial" w:hAnsi="Arial"/>
                <w:sz w:val="16"/>
                <w:szCs w:val="16"/>
                <w:color w:val="auto"/>
              </w:rPr>
              <w:t>)</w:t>
            </w:r>
          </w:p>
        </w:tc>
        <w:tc>
          <w:tcPr>
            <w:tcW w:w="240" w:type="dxa"/>
            <w:vAlign w:val="bottom"/>
          </w:tcPr>
          <w:p>
            <w:pPr>
              <w:jc w:val="right"/>
              <w:ind w:right="52"/>
              <w:spacing w:after="0"/>
              <w:rPr>
                <w:sz w:val="20"/>
                <w:szCs w:val="20"/>
                <w:color w:val="auto"/>
              </w:rPr>
            </w:pPr>
            <w:r>
              <w:rPr>
                <w:rFonts w:ascii="Arial" w:cs="Arial" w:eastAsia="Arial" w:hAnsi="Arial"/>
                <w:sz w:val="16"/>
                <w:szCs w:val="16"/>
                <w:color w:val="auto"/>
              </w:rPr>
              <w:t>$</w:t>
            </w:r>
          </w:p>
        </w:tc>
        <w:tc>
          <w:tcPr>
            <w:tcW w:w="1020" w:type="dxa"/>
            <w:vAlign w:val="bottom"/>
            <w:gridSpan w:val="3"/>
          </w:tcPr>
          <w:p>
            <w:pPr>
              <w:jc w:val="right"/>
              <w:ind w:right="55"/>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0.22</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40"/>
              <w:spacing w:after="0"/>
              <w:rPr>
                <w:sz w:val="20"/>
                <w:szCs w:val="20"/>
                <w:color w:val="auto"/>
              </w:rPr>
            </w:pPr>
            <w:r>
              <w:rPr>
                <w:rFonts w:ascii="Arial" w:cs="Arial" w:eastAsia="Arial" w:hAnsi="Arial"/>
                <w:sz w:val="16"/>
                <w:szCs w:val="16"/>
                <w:b w:val="1"/>
                <w:bCs w:val="1"/>
                <w:color w:val="auto"/>
              </w:rPr>
              <w:t>GAAP net loss</w:t>
            </w:r>
          </w:p>
        </w:tc>
        <w:tc>
          <w:tcPr>
            <w:tcW w:w="200" w:type="dxa"/>
            <w:vAlign w:val="bottom"/>
          </w:tcPr>
          <w:p>
            <w:pPr>
              <w:jc w:val="right"/>
              <w:ind w:right="11"/>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(1,937)</w:t>
            </w:r>
          </w:p>
        </w:tc>
        <w:tc>
          <w:tcPr>
            <w:tcW w:w="260" w:type="dxa"/>
            <w:vAlign w:val="bottom"/>
          </w:tcPr>
          <w:p>
            <w:pPr>
              <w:jc w:val="right"/>
              <w:ind w:right="72"/>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(2,098)</w:t>
            </w:r>
          </w:p>
        </w:tc>
        <w:tc>
          <w:tcPr>
            <w:tcW w:w="220" w:type="dxa"/>
            <w:vAlign w:val="bottom"/>
          </w:tcPr>
          <w:p>
            <w:pPr>
              <w:jc w:val="right"/>
              <w:ind w:right="32"/>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79"/>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3,784</w:t>
            </w:r>
            <w:r>
              <w:rPr>
                <w:rFonts w:ascii="Arial" w:cs="Arial" w:eastAsia="Arial" w:hAnsi="Arial"/>
                <w:sz w:val="16"/>
                <w:szCs w:val="16"/>
                <w:color w:val="auto"/>
              </w:rPr>
              <w:t>)</w:t>
            </w:r>
          </w:p>
        </w:tc>
        <w:tc>
          <w:tcPr>
            <w:tcW w:w="240" w:type="dxa"/>
            <w:vAlign w:val="bottom"/>
          </w:tcPr>
          <w:p>
            <w:pPr>
              <w:jc w:val="right"/>
              <w:ind w:right="52"/>
              <w:spacing w:after="0"/>
              <w:rPr>
                <w:sz w:val="20"/>
                <w:szCs w:val="20"/>
                <w:color w:val="auto"/>
              </w:rPr>
            </w:pPr>
            <w:r>
              <w:rPr>
                <w:rFonts w:ascii="Arial" w:cs="Arial" w:eastAsia="Arial" w:hAnsi="Arial"/>
                <w:sz w:val="16"/>
                <w:szCs w:val="16"/>
                <w:color w:val="auto"/>
              </w:rPr>
              <w:t>$</w:t>
            </w:r>
          </w:p>
        </w:tc>
        <w:tc>
          <w:tcPr>
            <w:tcW w:w="1020" w:type="dxa"/>
            <w:vAlign w:val="bottom"/>
            <w:gridSpan w:val="3"/>
          </w:tcPr>
          <w:p>
            <w:pPr>
              <w:jc w:val="right"/>
              <w:ind w:right="55"/>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4,447</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Stock-based compensation</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39"/>
              <w:spacing w:after="0"/>
              <w:rPr>
                <w:sz w:val="20"/>
                <w:szCs w:val="20"/>
                <w:color w:val="auto"/>
              </w:rPr>
            </w:pPr>
            <w:r>
              <w:rPr>
                <w:rFonts w:ascii="Arial" w:cs="Arial" w:eastAsia="Arial" w:hAnsi="Arial"/>
                <w:sz w:val="18"/>
                <w:szCs w:val="18"/>
                <w:color w:val="auto"/>
              </w:rPr>
              <w:t>54</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40"/>
              <w:spacing w:after="0"/>
              <w:rPr>
                <w:sz w:val="20"/>
                <w:szCs w:val="20"/>
                <w:color w:val="auto"/>
              </w:rPr>
            </w:pPr>
            <w:r>
              <w:rPr>
                <w:rFonts w:ascii="Arial" w:cs="Arial" w:eastAsia="Arial" w:hAnsi="Arial"/>
                <w:sz w:val="16"/>
                <w:szCs w:val="16"/>
                <w:color w:val="auto"/>
              </w:rPr>
              <w:t>Depreciation</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104</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126</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239"/>
              <w:spacing w:after="0"/>
              <w:rPr>
                <w:sz w:val="20"/>
                <w:szCs w:val="20"/>
                <w:color w:val="auto"/>
              </w:rPr>
            </w:pPr>
            <w:r>
              <w:rPr>
                <w:rFonts w:ascii="Arial" w:cs="Arial" w:eastAsia="Arial" w:hAnsi="Arial"/>
                <w:sz w:val="18"/>
                <w:szCs w:val="18"/>
                <w:color w:val="auto"/>
              </w:rPr>
              <w:t>208</w:t>
            </w:r>
          </w:p>
        </w:tc>
        <w:tc>
          <w:tcPr>
            <w:tcW w:w="2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258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intangibles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39"/>
              <w:spacing w:after="0"/>
              <w:rPr>
                <w:sz w:val="20"/>
                <w:szCs w:val="20"/>
                <w:color w:val="auto"/>
              </w:rPr>
            </w:pPr>
            <w:r>
              <w:rPr>
                <w:rFonts w:ascii="Arial" w:cs="Arial" w:eastAsia="Arial" w:hAnsi="Arial"/>
                <w:sz w:val="18"/>
                <w:szCs w:val="18"/>
                <w:color w:val="auto"/>
              </w:rPr>
              <w:t>774</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60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109</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217</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6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(benefit from) income taxes</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39"/>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Non-GAAP Adjusted EBITDA</w:t>
            </w: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vMerge w:val="restart"/>
          </w:tcPr>
          <w:p>
            <w:pPr>
              <w:jc w:val="right"/>
              <w:ind w:right="179"/>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gridSpan w:val="2"/>
            <w:vMerge w:val="restart"/>
          </w:tcPr>
          <w:p>
            <w:pPr>
              <w:jc w:val="right"/>
              <w:ind w:right="55"/>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line="20" w:lineRule="exact"/>
              <w:rPr>
                <w:sz w:val="1"/>
                <w:szCs w:val="1"/>
                <w:color w:val="auto"/>
              </w:rPr>
            </w:pPr>
          </w:p>
        </w:tc>
      </w:tr>
      <w:tr>
        <w:trPr>
          <w:trHeight w:val="210"/>
        </w:trPr>
        <w:tc>
          <w:tcPr>
            <w:tcW w:w="5600" w:type="dxa"/>
            <w:vAlign w:val="bottom"/>
            <w:vMerge w:val="continue"/>
          </w:tcPr>
          <w:p>
            <w:pPr>
              <w:spacing w:after="0"/>
              <w:rPr>
                <w:sz w:val="18"/>
                <w:szCs w:val="18"/>
                <w:color w:val="auto"/>
              </w:rPr>
            </w:pPr>
          </w:p>
        </w:tc>
        <w:tc>
          <w:tcPr>
            <w:tcW w:w="200" w:type="dxa"/>
            <w:vAlign w:val="bottom"/>
          </w:tcPr>
          <w:p>
            <w:pPr>
              <w:jc w:val="right"/>
              <w:ind w:right="11"/>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(1,296)</w:t>
            </w:r>
          </w:p>
        </w:tc>
        <w:tc>
          <w:tcPr>
            <w:tcW w:w="260" w:type="dxa"/>
            <w:vAlign w:val="bottom"/>
          </w:tcPr>
          <w:p>
            <w:pPr>
              <w:jc w:val="right"/>
              <w:ind w:right="72"/>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(1,536)</w:t>
            </w:r>
          </w:p>
        </w:tc>
        <w:tc>
          <w:tcPr>
            <w:tcW w:w="220" w:type="dxa"/>
            <w:vAlign w:val="bottom"/>
          </w:tcPr>
          <w:p>
            <w:pPr>
              <w:jc w:val="right"/>
              <w:ind w:right="32"/>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2,503</w:t>
            </w:r>
          </w:p>
        </w:tc>
        <w:tc>
          <w:tcPr>
            <w:tcW w:w="320" w:type="dxa"/>
            <w:vAlign w:val="bottom"/>
            <w:vMerge w:val="continue"/>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3,315</w:t>
            </w:r>
          </w:p>
        </w:tc>
        <w:tc>
          <w:tcPr>
            <w:tcW w:w="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2020-08-14T21:12:18Z</dcterms:created>
  <dcterms:modified xsi:type="dcterms:W3CDTF">2020-08-14T21:12:18Z</dcterms:modified>
</cp:coreProperties>
</file>