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120"/>
        <w:spacing w:after="0"/>
        <w:rPr>
          <w:sz w:val="20"/>
          <w:szCs w:val="20"/>
          <w:color w:val="auto"/>
        </w:rPr>
      </w:pPr>
      <w:r>
        <w:rPr>
          <w:rFonts w:ascii="Courier New" w:cs="Courier New" w:eastAsia="Courier New" w:hAnsi="Courier New"/>
          <w:sz w:val="18"/>
          <w:szCs w:val="18"/>
          <w:color w:val="auto"/>
        </w:rPr>
        <w:t>U.S. SECURITIES AND EXCHANGE COMMISSION</w:t>
      </w:r>
    </w:p>
    <w:p>
      <w:pPr>
        <w:ind w:left="30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CURRENT REPORT</w:t>
      </w:r>
    </w:p>
    <w:p>
      <w:pPr>
        <w:spacing w:after="0" w:line="207"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Pursuant to Section 13 or 15(d) of the Securities Exchange Act of 1934</w:t>
      </w:r>
    </w:p>
    <w:p>
      <w:pPr>
        <w:spacing w:after="0" w:line="200" w:lineRule="exact"/>
        <w:rPr>
          <w:sz w:val="24"/>
          <w:szCs w:val="24"/>
          <w:color w:val="auto"/>
        </w:rPr>
      </w:pPr>
    </w:p>
    <w:p>
      <w:pPr>
        <w:spacing w:after="0" w:line="22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Date of Report (Date of earliest event reported): August 7, 1996</w:t>
      </w:r>
    </w:p>
    <w:p>
      <w:pPr>
        <w:ind w:left="612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GENTNER COMMUNICATIONS CORPORATION</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3"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UTAH</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(State or other juris-</w:t>
      </w:r>
    </w:p>
    <w:p>
      <w:pPr>
        <w:spacing w:after="0" w:line="238" w:lineRule="auto"/>
        <w:rPr>
          <w:sz w:val="20"/>
          <w:szCs w:val="20"/>
          <w:color w:val="auto"/>
        </w:rPr>
      </w:pPr>
      <w:r>
        <w:rPr>
          <w:rFonts w:ascii="Courier New" w:cs="Courier New" w:eastAsia="Courier New" w:hAnsi="Courier New"/>
          <w:sz w:val="18"/>
          <w:szCs w:val="18"/>
          <w:color w:val="auto"/>
        </w:rPr>
        <w:t>diction of incorporation)</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0-17219</w:t>
      </w:r>
    </w:p>
    <w:p>
      <w:pPr>
        <w:spacing w:after="0" w:line="4"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w:t>
      </w:r>
    </w:p>
    <w:p>
      <w:pPr>
        <w:ind w:left="520"/>
        <w:spacing w:after="0" w:line="238" w:lineRule="auto"/>
        <w:rPr>
          <w:sz w:val="20"/>
          <w:szCs w:val="20"/>
          <w:color w:val="auto"/>
        </w:rPr>
      </w:pPr>
      <w:r>
        <w:rPr>
          <w:rFonts w:ascii="Courier New" w:cs="Courier New" w:eastAsia="Courier New" w:hAnsi="Courier New"/>
          <w:sz w:val="18"/>
          <w:szCs w:val="18"/>
          <w:color w:val="auto"/>
        </w:rPr>
        <w:t>Number)</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87-039887</w:t>
      </w:r>
    </w:p>
    <w:p>
      <w:pPr>
        <w:spacing w:after="0" w:line="4"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 Employer</w:t>
      </w:r>
    </w:p>
    <w:p>
      <w:pPr>
        <w:ind w:left="100"/>
        <w:spacing w:after="0" w:line="238" w:lineRule="auto"/>
        <w:rPr>
          <w:sz w:val="20"/>
          <w:szCs w:val="20"/>
          <w:color w:val="auto"/>
        </w:rPr>
      </w:pPr>
      <w:r>
        <w:rPr>
          <w:rFonts w:ascii="Courier New" w:cs="Courier New" w:eastAsia="Courier New" w:hAnsi="Courier New"/>
          <w:sz w:val="18"/>
          <w:szCs w:val="18"/>
          <w:color w:val="auto"/>
        </w:rPr>
        <w:t>Identification</w:t>
      </w:r>
    </w:p>
    <w:p>
      <w:pPr>
        <w:ind w:left="520"/>
        <w:spacing w:after="0"/>
        <w:rPr>
          <w:sz w:val="20"/>
          <w:szCs w:val="20"/>
          <w:color w:val="auto"/>
        </w:rPr>
      </w:pPr>
      <w:r>
        <w:rPr>
          <w:rFonts w:ascii="Courier New" w:cs="Courier New" w:eastAsia="Courier New" w:hAnsi="Courier New"/>
          <w:sz w:val="18"/>
          <w:szCs w:val="18"/>
          <w:color w:val="auto"/>
        </w:rPr>
        <w:t>Number)</w:t>
      </w:r>
    </w:p>
    <w:p>
      <w:pPr>
        <w:spacing w:after="0" w:line="200" w:lineRule="exact"/>
        <w:rPr>
          <w:sz w:val="24"/>
          <w:szCs w:val="24"/>
          <w:color w:val="auto"/>
        </w:rPr>
      </w:pPr>
    </w:p>
    <w:p>
      <w:pPr>
        <w:sectPr>
          <w:pgSz w:w="11900" w:h="16838" w:orient="portrait"/>
          <w:cols w:equalWidth="0" w:num="3">
            <w:col w:w="2740" w:space="540"/>
            <w:col w:w="2200" w:space="640"/>
            <w:col w:w="4099"/>
          </w:cols>
          <w:pgMar w:left="240" w:top="244" w:right="1440" w:bottom="0" w:gutter="0" w:footer="0" w:header="0"/>
          <w:type w:val="continuous"/>
        </w:sectPr>
      </w:pPr>
    </w:p>
    <w:p>
      <w:pPr>
        <w:spacing w:after="0" w:line="203" w:lineRule="exact"/>
        <w:rPr>
          <w:sz w:val="24"/>
          <w:szCs w:val="24"/>
          <w:color w:val="auto"/>
        </w:rPr>
      </w:pPr>
    </w:p>
    <w:p>
      <w:pPr>
        <w:ind w:left="640"/>
        <w:spacing w:after="0"/>
        <w:tabs>
          <w:tab w:leader="none" w:pos="6840" w:val="left"/>
        </w:tabs>
        <w:rPr>
          <w:sz w:val="20"/>
          <w:szCs w:val="20"/>
          <w:color w:val="auto"/>
        </w:rPr>
      </w:pPr>
      <w:r>
        <w:rPr>
          <w:rFonts w:ascii="Courier New" w:cs="Courier New" w:eastAsia="Courier New" w:hAnsi="Courier New"/>
          <w:sz w:val="18"/>
          <w:szCs w:val="18"/>
          <w:color w:val="auto"/>
        </w:rPr>
        <w:t>1825 RESEARCH WAY, SALT LAKE CITY, UTAH</w:t>
      </w:r>
      <w:r>
        <w:rPr>
          <w:sz w:val="20"/>
          <w:szCs w:val="20"/>
          <w:color w:val="auto"/>
        </w:rPr>
        <w:tab/>
      </w:r>
      <w:r>
        <w:rPr>
          <w:rFonts w:ascii="Courier New" w:cs="Courier New" w:eastAsia="Courier New" w:hAnsi="Courier New"/>
          <w:sz w:val="16"/>
          <w:szCs w:val="16"/>
          <w:color w:val="auto"/>
        </w:rPr>
        <w:t>84119</w:t>
      </w:r>
    </w:p>
    <w:p>
      <w:pPr>
        <w:spacing w:after="0" w:line="4"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540"/>
        <w:spacing w:after="0"/>
        <w:tabs>
          <w:tab w:leader="none" w:pos="652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38" w:orient="portrait"/>
          <w:cols w:equalWidth="0" w:num="1">
            <w:col w:w="10219"/>
          </w:cols>
          <w:pgMar w:left="240" w:top="244" w:right="1440" w:bottom="0" w:gutter="0" w:footer="0" w:header="0"/>
          <w:type w:val="continuous"/>
        </w:sectPr>
      </w:pPr>
    </w:p>
    <w:p>
      <w:pPr>
        <w:spacing w:after="0" w:line="200" w:lineRule="exact"/>
        <w:rPr>
          <w:sz w:val="24"/>
          <w:szCs w:val="24"/>
          <w:color w:val="auto"/>
        </w:rPr>
      </w:pPr>
    </w:p>
    <w:p>
      <w:pPr>
        <w:spacing w:after="0" w:line="204"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Registrant's telephone number, including area code: (801) 975-7200</w:t>
      </w:r>
    </w:p>
    <w:p>
      <w:pPr>
        <w:ind w:left="622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4"/>
          <w:szCs w:val="24"/>
          <w:color w:val="auto"/>
        </w:rPr>
      </w:pPr>
    </w:p>
    <w:p>
      <w:pPr>
        <w:ind w:right="2519" w:firstLine="527"/>
        <w:spacing w:after="0" w:line="236" w:lineRule="auto"/>
        <w:rPr>
          <w:sz w:val="20"/>
          <w:szCs w:val="20"/>
          <w:color w:val="auto"/>
        </w:rPr>
      </w:pPr>
      <w:r>
        <w:rPr>
          <w:rFonts w:ascii="Courier New" w:cs="Courier New" w:eastAsia="Courier New" w:hAnsi="Courier New"/>
          <w:sz w:val="18"/>
          <w:szCs w:val="18"/>
          <w:color w:val="auto"/>
        </w:rPr>
        <w:t>On August 7, 1996, the registrant announced that it is extending the expiration date of its outstanding warrants to September 22, 1997. The warrants were due to expire on September 22, 1996.</w:t>
      </w:r>
    </w:p>
    <w:p>
      <w:pPr>
        <w:spacing w:after="0" w:line="209" w:lineRule="exact"/>
        <w:rPr>
          <w:sz w:val="24"/>
          <w:szCs w:val="24"/>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The warrants give the holder the option to purchase one share of the registrant's Common Stock at an exercise price of $1.50 per share. The registrant's board of directors believes that this extension is in the best interest of the company's shareholders because it will preserve a source of capital to the company upon exercise of the warrants.</w:t>
      </w:r>
    </w:p>
    <w:p>
      <w:pPr>
        <w:spacing w:after="0" w:line="209" w:lineRule="exact"/>
        <w:rPr>
          <w:sz w:val="24"/>
          <w:szCs w:val="24"/>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warrants were originally issued as part of Unit offering in September 1991. Each Unit consisted of three shares of Common Stock and two Redeemable Common Stock Purchase Warrants. Since February 1992, the shares and warrants have traded separately. All remaining terms and conditions of the warrants will remain the same.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4"/>
          <w:szCs w:val="24"/>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and Exchange Act of 1934, the registrant has duly caused this report to be signed on its behalf by the undersigned hereunto duly authorized.</w:t>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left="4640"/>
        <w:spacing w:after="0"/>
        <w:rPr>
          <w:sz w:val="20"/>
          <w:szCs w:val="20"/>
          <w:color w:val="auto"/>
        </w:rPr>
      </w:pPr>
      <w:r>
        <w:rPr>
          <w:rFonts w:ascii="Courier New" w:cs="Courier New" w:eastAsia="Courier New" w:hAnsi="Courier New"/>
          <w:sz w:val="16"/>
          <w:szCs w:val="16"/>
          <w:color w:val="auto"/>
        </w:rPr>
        <w:t>GENTNER COMMUNICATIONS CORPORATION</w:t>
      </w:r>
    </w:p>
    <w:p>
      <w:pPr>
        <w:sectPr>
          <w:pgSz w:w="11900" w:h="16838" w:orient="portrait"/>
          <w:cols w:equalWidth="0" w:num="1">
            <w:col w:w="10219"/>
          </w:cols>
          <w:pgMar w:left="240" w:top="244" w:right="1440" w:bottom="0" w:gutter="0" w:footer="0" w:header="0"/>
          <w:type w:val="continuous"/>
        </w:sectPr>
      </w:pPr>
    </w:p>
    <w:p>
      <w:pPr>
        <w:spacing w:after="0" w:line="200" w:lineRule="exact"/>
        <w:rPr>
          <w:sz w:val="24"/>
          <w:szCs w:val="24"/>
          <w:color w:val="auto"/>
        </w:rPr>
      </w:pPr>
    </w:p>
    <w:p>
      <w:pPr>
        <w:spacing w:after="0" w:line="226" w:lineRule="exact"/>
        <w:rPr>
          <w:sz w:val="24"/>
          <w:szCs w:val="24"/>
          <w:color w:val="auto"/>
        </w:rPr>
      </w:pPr>
    </w:p>
    <w:p>
      <w:pPr>
        <w:jc w:val="right"/>
        <w:ind w:right="1700"/>
        <w:spacing w:after="0"/>
        <w:rPr>
          <w:sz w:val="20"/>
          <w:szCs w:val="20"/>
          <w:color w:val="auto"/>
        </w:rPr>
      </w:pPr>
      <w:r>
        <w:rPr>
          <w:rFonts w:ascii="Courier New" w:cs="Courier New" w:eastAsia="Courier New" w:hAnsi="Courier New"/>
          <w:sz w:val="16"/>
          <w:szCs w:val="16"/>
          <w:color w:val="auto"/>
        </w:rPr>
        <w:t>Date: August 30, 1996</w:t>
      </w:r>
    </w:p>
    <w:p>
      <w:pPr>
        <w:spacing w:after="0" w:line="16" w:lineRule="exact"/>
        <w:rPr>
          <w:sz w:val="24"/>
          <w:szCs w:val="24"/>
          <w:color w:val="auto"/>
        </w:rPr>
      </w:pPr>
    </w:p>
    <w:p>
      <w:pPr>
        <w:jc w:val="right"/>
        <w:ind w:right="1700"/>
        <w:spacing w:after="0"/>
        <w:rPr>
          <w:sz w:val="20"/>
          <w:szCs w:val="20"/>
          <w:color w:val="auto"/>
        </w:rPr>
      </w:pPr>
      <w:r>
        <w:rPr>
          <w:rFonts w:ascii="Courier New" w:cs="Courier New" w:eastAsia="Courier New" w:hAnsi="Courier New"/>
          <w:sz w:val="18"/>
          <w:szCs w:val="18"/>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/s/ David L. Harmon</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David L. Harmon</w:t>
      </w:r>
    </w:p>
    <w:p>
      <w:pPr>
        <w:spacing w:after="0" w:line="238" w:lineRule="auto"/>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3">
            <w:col w:w="3920" w:space="720"/>
            <w:col w:w="320" w:space="100"/>
            <w:col w:w="5159"/>
          </w:cols>
          <w:pgMar w:left="240" w:top="244" w:right="1440"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2019-12-13T18:12:55Z</dcterms:created>
  <dcterms:modified xsi:type="dcterms:W3CDTF">2019-12-13T18:12:55Z</dcterms:modified>
</cp:coreProperties>
</file>