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BALDWIN BRAD</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720" w:type="dxa"/>
            <w:vAlign w:val="bottom"/>
            <w:gridSpan w:val="5"/>
          </w:tcPr>
          <w:p>
            <w:pPr>
              <w:ind w:left="280"/>
              <w:spacing w:after="0"/>
              <w:rPr>
                <w:sz w:val="20"/>
                <w:szCs w:val="20"/>
                <w:color w:val="auto"/>
              </w:rPr>
            </w:pPr>
            <w:r>
              <w:rPr>
                <w:rFonts w:ascii="Arial" w:cs="Arial" w:eastAsia="Arial" w:hAnsi="Arial"/>
                <w:sz w:val="17"/>
                <w:szCs w:val="17"/>
                <w:color w:val="0000FF"/>
              </w:rPr>
              <w:t>01/30/2014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3"/>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gridSpan w:val="5"/>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6"/>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2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920" w:type="dxa"/>
            <w:vAlign w:val="bottom"/>
            <w:gridSpan w:val="5"/>
          </w:tcPr>
          <w:p>
            <w:pPr>
              <w:ind w:left="900"/>
              <w:spacing w:after="0"/>
              <w:rPr>
                <w:sz w:val="20"/>
                <w:szCs w:val="20"/>
                <w:color w:val="auto"/>
              </w:rPr>
            </w:pPr>
            <w:r>
              <w:rPr>
                <w:rFonts w:ascii="Arial" w:cs="Arial" w:eastAsia="Arial" w:hAnsi="Arial"/>
                <w:sz w:val="17"/>
                <w:szCs w:val="17"/>
                <w:color w:val="0000FF"/>
              </w:rPr>
              <w:t>01/30/2014</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jc w:val="right"/>
              <w:ind w:right="298"/>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18,000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6.4</w:t>
            </w:r>
          </w:p>
        </w:tc>
        <w:tc>
          <w:tcPr>
            <w:tcW w:w="60" w:type="dxa"/>
            <w:vAlign w:val="bottom"/>
          </w:tcPr>
          <w:p>
            <w:pPr>
              <w:spacing w:after="0"/>
              <w:rPr>
                <w:sz w:val="23"/>
                <w:szCs w:val="23"/>
                <w:color w:val="auto"/>
              </w:rPr>
            </w:pP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55,500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01/30/2014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40"/>
              <w:spacing w:after="0"/>
              <w:rPr>
                <w:sz w:val="20"/>
                <w:szCs w:val="20"/>
                <w:color w:val="auto"/>
              </w:rPr>
            </w:pPr>
            <w:r>
              <w:rPr>
                <w:rFonts w:ascii="Arial" w:cs="Arial" w:eastAsia="Arial" w:hAnsi="Arial"/>
                <w:sz w:val="13"/>
                <w:szCs w:val="13"/>
                <w:color w:val="0000FF"/>
              </w:rPr>
              <w:t>18,000</w:t>
            </w:r>
          </w:p>
        </w:tc>
        <w:tc>
          <w:tcPr>
            <w:tcW w:w="780" w:type="dxa"/>
            <w:vAlign w:val="bottom"/>
            <w:gridSpan w:val="3"/>
          </w:tcPr>
          <w:p>
            <w:pPr>
              <w:jc w:val="right"/>
              <w:ind w:right="298"/>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03/24/2014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18,000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One-third of the options granted vested on the first anniversary of the date of grant, which was March 24, 2004. The remaining options vested in equal monthly increments over the subsequent twenty-four month period.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Brad R. Baldwin</w:t>
            </w:r>
          </w:p>
        </w:tc>
        <w:tc>
          <w:tcPr>
            <w:tcW w:w="11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02/03/2014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076"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2019-12-17T06:00:24Z</dcterms:created>
  <dcterms:modified xsi:type="dcterms:W3CDTF">2019-12-17T06:00:24Z</dcterms:modified>
</cp:coreProperties>
</file>