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right="1980" w:firstLine="8"/>
        <w:spacing w:after="0" w:line="261"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2010</w:t>
      </w: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right="2040" w:firstLine="8"/>
        <w:spacing w:after="0" w:line="261"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_______ to _______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60" w:type="dxa"/>
            <w:vAlign w:val="bottom"/>
            <w:tcBorders>
              <w:bottom w:val="single" w:sz="8" w:color="auto"/>
            </w:tcBorders>
            <w:gridSpan w:val="3"/>
          </w:tcPr>
          <w:p>
            <w:pPr>
              <w:ind w:left="2740"/>
              <w:spacing w:after="0"/>
              <w:rPr>
                <w:sz w:val="20"/>
                <w:szCs w:val="20"/>
                <w:color w:val="auto"/>
              </w:rPr>
            </w:pPr>
            <w:r>
              <w:rPr>
                <w:rFonts w:ascii="Arial" w:cs="Arial" w:eastAsia="Arial" w:hAnsi="Arial"/>
                <w:sz w:val="18"/>
                <w:szCs w:val="18"/>
                <w:b w:val="1"/>
                <w:bCs w:val="1"/>
                <w:color w:val="auto"/>
              </w:rPr>
              <w:t>Utah</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20" w:type="dxa"/>
            <w:vAlign w:val="bottom"/>
          </w:tcPr>
          <w:p>
            <w:pPr>
              <w:spacing w:after="0"/>
              <w:rPr>
                <w:sz w:val="20"/>
                <w:szCs w:val="20"/>
                <w:color w:val="auto"/>
              </w:rPr>
            </w:pPr>
          </w:p>
        </w:tc>
        <w:tc>
          <w:tcPr>
            <w:tcW w:w="8060" w:type="dxa"/>
            <w:vAlign w:val="bottom"/>
            <w:gridSpan w:val="3"/>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340" w:type="dxa"/>
            <w:vAlign w:val="bottom"/>
          </w:tcPr>
          <w:p>
            <w:pPr>
              <w:jc w:val="right"/>
              <w:spacing w:after="0"/>
              <w:rPr>
                <w:sz w:val="20"/>
                <w:szCs w:val="20"/>
                <w:color w:val="auto"/>
              </w:rPr>
            </w:pPr>
            <w:r>
              <w:rPr>
                <w:rFonts w:ascii="Arial" w:cs="Arial" w:eastAsia="Arial" w:hAnsi="Arial"/>
                <w:sz w:val="18"/>
                <w:szCs w:val="18"/>
                <w:color w:val="auto"/>
              </w:rPr>
              <w:t>(I.R.S. employer identification number)</w:t>
            </w:r>
          </w:p>
        </w:tc>
      </w:tr>
      <w:tr>
        <w:trPr>
          <w:trHeight w:val="452"/>
        </w:trPr>
        <w:tc>
          <w:tcPr>
            <w:tcW w:w="8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5225 Wiley Post Way, Suite 500, Salt Lake City, Utah</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84116</w:t>
            </w:r>
          </w:p>
        </w:tc>
      </w:tr>
      <w:tr>
        <w:trPr>
          <w:trHeight w:val="230"/>
        </w:trPr>
        <w:tc>
          <w:tcPr>
            <w:tcW w:w="8080" w:type="dxa"/>
            <w:vAlign w:val="bottom"/>
            <w:gridSpan w:val="4"/>
          </w:tcPr>
          <w:p>
            <w:pPr>
              <w:spacing w:after="0"/>
              <w:rPr>
                <w:sz w:val="20"/>
                <w:szCs w:val="20"/>
                <w:color w:val="auto"/>
              </w:rPr>
            </w:pPr>
            <w:r>
              <w:rPr>
                <w:rFonts w:ascii="Arial" w:cs="Arial" w:eastAsia="Arial" w:hAnsi="Arial"/>
                <w:sz w:val="18"/>
                <w:szCs w:val="18"/>
                <w:color w:val="auto"/>
              </w:rPr>
              <w:t>(Address of principal executive offices)</w:t>
            </w:r>
          </w:p>
        </w:tc>
        <w:tc>
          <w:tcPr>
            <w:tcW w:w="3340" w:type="dxa"/>
            <w:vAlign w:val="bottom"/>
          </w:tcPr>
          <w:p>
            <w:pPr>
              <w:jc w:val="right"/>
              <w:spacing w:after="0"/>
              <w:rPr>
                <w:sz w:val="20"/>
                <w:szCs w:val="20"/>
                <w:color w:val="auto"/>
              </w:rPr>
            </w:pPr>
            <w:r>
              <w:rPr>
                <w:rFonts w:ascii="Arial" w:cs="Arial" w:eastAsia="Arial" w:hAnsi="Arial"/>
                <w:sz w:val="18"/>
                <w:szCs w:val="18"/>
                <w:color w:val="auto"/>
              </w:rPr>
              <w:t>(Zip Code)</w:t>
            </w:r>
          </w:p>
        </w:tc>
      </w:tr>
      <w:tr>
        <w:trPr>
          <w:trHeight w:val="404"/>
        </w:trPr>
        <w:tc>
          <w:tcPr>
            <w:tcW w:w="6280" w:type="dxa"/>
            <w:vAlign w:val="bottom"/>
            <w:gridSpan w:val="3"/>
          </w:tcPr>
          <w:p>
            <w:pPr>
              <w:jc w:val="right"/>
              <w:spacing w:after="0"/>
              <w:rPr>
                <w:sz w:val="20"/>
                <w:szCs w:val="20"/>
                <w:color w:val="auto"/>
              </w:rPr>
            </w:pPr>
            <w:r>
              <w:rPr>
                <w:rFonts w:ascii="Arial" w:cs="Arial" w:eastAsia="Arial" w:hAnsi="Arial"/>
                <w:sz w:val="18"/>
                <w:szCs w:val="18"/>
                <w:b w:val="1"/>
                <w:bCs w:val="1"/>
                <w:color w:val="auto"/>
              </w:rPr>
              <w:t>(801) 975-7200</w:t>
            </w:r>
          </w:p>
        </w:tc>
        <w:tc>
          <w:tcPr>
            <w:tcW w:w="18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60" w:type="dxa"/>
            <w:vAlign w:val="bottom"/>
            <w:gridSpan w:val="3"/>
          </w:tcPr>
          <w:p>
            <w:pPr>
              <w:ind w:left="3760"/>
              <w:spacing w:after="0"/>
              <w:rPr>
                <w:sz w:val="20"/>
                <w:szCs w:val="20"/>
                <w:color w:val="auto"/>
              </w:rPr>
            </w:pPr>
            <w:r>
              <w:rPr>
                <w:rFonts w:ascii="Arial" w:cs="Arial" w:eastAsia="Arial" w:hAnsi="Arial"/>
                <w:sz w:val="18"/>
                <w:szCs w:val="18"/>
                <w:color w:val="auto"/>
              </w:rPr>
              <w:t>(Registrant’s telephone number, including area code)</w:t>
            </w:r>
          </w:p>
        </w:tc>
        <w:tc>
          <w:tcPr>
            <w:tcW w:w="3340" w:type="dxa"/>
            <w:vAlign w:val="bottom"/>
          </w:tcPr>
          <w:p>
            <w:pPr>
              <w:spacing w:after="0"/>
              <w:rPr>
                <w:sz w:val="20"/>
                <w:szCs w:val="20"/>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No[ ]</w:t>
      </w:r>
    </w:p>
    <w:p>
      <w:pPr>
        <w:spacing w:after="0" w:line="208"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420"/>
          </w:cols>
          <w:pgMar w:left="240" w:top="553"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3">
            <w:col w:w="7220" w:space="720"/>
            <w:col w:w="2080" w:space="140"/>
            <w:col w:w="1260"/>
          </w:cols>
          <w:pgMar w:left="240" w:top="553"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5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8,929,439 shares issued and outstanding as of November 12,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0"/>
        <w:spacing w:after="0"/>
        <w:tabs>
          <w:tab w:leader="none" w:pos="10680" w:val="left"/>
        </w:tabs>
        <w:rPr>
          <w:sz w:val="20"/>
          <w:szCs w:val="20"/>
          <w:color w:val="auto"/>
        </w:rPr>
      </w:pPr>
      <w:r>
        <w:rPr>
          <w:rFonts w:ascii="Arial" w:cs="Arial" w:eastAsia="Arial" w:hAnsi="Arial"/>
          <w:sz w:val="18"/>
          <w:szCs w:val="18"/>
          <w:b w:val="1"/>
          <w:bCs w:val="1"/>
          <w:color w:val="auto"/>
        </w:rPr>
        <w:t>Item Number</w:t>
      </w:r>
      <w:r>
        <w:rPr>
          <w:sz w:val="20"/>
          <w:szCs w:val="20"/>
          <w:color w:val="auto"/>
        </w:rPr>
        <w:tab/>
      </w:r>
      <w:r>
        <w:rPr>
          <w:rFonts w:ascii="Arial" w:cs="Arial" w:eastAsia="Arial" w:hAnsi="Arial"/>
          <w:sz w:val="15"/>
          <w:szCs w:val="15"/>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391" w:lineRule="auto"/>
        <w:rPr>
          <w:sz w:val="20"/>
          <w:szCs w:val="20"/>
          <w:color w:val="auto"/>
        </w:rPr>
      </w:pPr>
      <w:r>
        <w:rPr>
          <w:rFonts w:ascii="Arial" w:cs="Arial" w:eastAsia="Arial" w:hAnsi="Arial"/>
          <w:sz w:val="18"/>
          <w:szCs w:val="18"/>
          <w:color w:val="auto"/>
        </w:rPr>
        <w:t xml:space="preserve">Item 2 Item 3 Item 4T </w:t>
      </w: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57785</wp:posOffset>
            </wp:positionV>
            <wp:extent cx="72466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6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2010 and December 31, 2009</w:t>
              </w:r>
            </w:hyperlink>
          </w:p>
        </w:tc>
        <w:tc>
          <w:tcPr>
            <w:tcW w:w="1040" w:type="dxa"/>
            <w:vAlign w:val="bottom"/>
          </w:tcPr>
          <w:p>
            <w:pPr>
              <w:jc w:val="center"/>
              <w:ind w:left="770"/>
              <w:spacing w:after="0"/>
              <w:rPr>
                <w:sz w:val="20"/>
                <w:szCs w:val="20"/>
                <w:color w:val="auto"/>
              </w:rPr>
            </w:pPr>
            <w:r>
              <w:rPr>
                <w:rFonts w:ascii="Arial" w:cs="Arial" w:eastAsia="Arial" w:hAnsi="Arial"/>
                <w:sz w:val="18"/>
                <w:szCs w:val="18"/>
                <w:color w:val="auto"/>
                <w:w w:val="99"/>
              </w:rPr>
              <w:t>1</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60" w:type="dxa"/>
            <w:vAlign w:val="bottom"/>
            <w:gridSpan w:val="8"/>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Operations for the three and nine months ended September 30, 2010 and 2009</w:t>
              </w:r>
            </w:hyperlink>
          </w:p>
        </w:tc>
        <w:tc>
          <w:tcPr>
            <w:tcW w:w="1040" w:type="dxa"/>
            <w:vAlign w:val="bottom"/>
          </w:tcPr>
          <w:p>
            <w:pPr>
              <w:jc w:val="center"/>
              <w:ind w:left="770"/>
              <w:spacing w:after="0"/>
              <w:rPr>
                <w:sz w:val="20"/>
                <w:szCs w:val="20"/>
                <w:color w:val="auto"/>
              </w:rPr>
            </w:pPr>
            <w:r>
              <w:rPr>
                <w:rFonts w:ascii="Arial" w:cs="Arial" w:eastAsia="Arial" w:hAnsi="Arial"/>
                <w:sz w:val="18"/>
                <w:szCs w:val="18"/>
                <w:color w:val="auto"/>
                <w:w w:val="99"/>
              </w:rPr>
              <w:t>2</w:t>
            </w:r>
          </w:p>
        </w:tc>
      </w:tr>
      <w:tr>
        <w:trPr>
          <w:trHeight w:val="331"/>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0" w:type="dxa"/>
            <w:vAlign w:val="bottom"/>
            <w:tcBorders>
              <w:top w:val="single" w:sz="8" w:color="0000EE"/>
            </w:tcBorders>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nine months ended September 30, 2010 and 2009</w:t>
              </w:r>
            </w:hyperlink>
          </w:p>
        </w:tc>
        <w:tc>
          <w:tcPr>
            <w:tcW w:w="860" w:type="dxa"/>
            <w:vAlign w:val="bottom"/>
          </w:tcPr>
          <w:p>
            <w:pPr>
              <w:spacing w:after="0"/>
              <w:rPr>
                <w:sz w:val="24"/>
                <w:szCs w:val="24"/>
                <w:color w:val="auto"/>
              </w:rPr>
            </w:pPr>
          </w:p>
        </w:tc>
        <w:tc>
          <w:tcPr>
            <w:tcW w:w="1040" w:type="dxa"/>
            <w:vAlign w:val="bottom"/>
          </w:tcPr>
          <w:p>
            <w:pPr>
              <w:jc w:val="center"/>
              <w:ind w:left="770"/>
              <w:spacing w:after="0"/>
              <w:rPr>
                <w:sz w:val="20"/>
                <w:szCs w:val="20"/>
                <w:color w:val="auto"/>
              </w:rPr>
            </w:pPr>
            <w:r>
              <w:rPr>
                <w:rFonts w:ascii="Arial" w:cs="Arial" w:eastAsia="Arial" w:hAnsi="Arial"/>
                <w:sz w:val="18"/>
                <w:szCs w:val="18"/>
                <w:color w:val="auto"/>
                <w:w w:val="99"/>
              </w:rPr>
              <w:t>3</w:t>
            </w:r>
          </w:p>
        </w:tc>
      </w:tr>
      <w:tr>
        <w:trPr>
          <w:trHeight w:val="331"/>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2680" w:type="dxa"/>
            <w:vAlign w:val="bottom"/>
            <w:tcBorders>
              <w:top w:val="single" w:sz="8" w:color="0000EE"/>
            </w:tcBorders>
            <w:gridSpan w:val="4"/>
          </w:tcPr>
          <w:p>
            <w:pPr>
              <w:spacing w:after="0"/>
              <w:rPr>
                <w:sz w:val="24"/>
                <w:szCs w:val="24"/>
                <w:color w:val="auto"/>
              </w:rPr>
            </w:pPr>
          </w:p>
        </w:tc>
        <w:tc>
          <w:tcPr>
            <w:tcW w:w="1780" w:type="dxa"/>
            <w:vAlign w:val="bottom"/>
            <w:gridSpan w:val="2"/>
          </w:tcPr>
          <w:p>
            <w:pPr>
              <w:spacing w:after="0"/>
              <w:rPr>
                <w:sz w:val="24"/>
                <w:szCs w:val="24"/>
                <w:color w:val="auto"/>
              </w:rPr>
            </w:pPr>
          </w:p>
        </w:tc>
        <w:tc>
          <w:tcPr>
            <w:tcW w:w="1040" w:type="dxa"/>
            <w:vAlign w:val="bottom"/>
          </w:tcPr>
          <w:p>
            <w:pPr>
              <w:jc w:val="center"/>
              <w:ind w:left="770"/>
              <w:spacing w:after="0"/>
              <w:rPr>
                <w:sz w:val="20"/>
                <w:szCs w:val="20"/>
                <w:color w:val="auto"/>
              </w:rPr>
            </w:pPr>
            <w:r>
              <w:rPr>
                <w:rFonts w:ascii="Arial" w:cs="Arial" w:eastAsia="Arial" w:hAnsi="Arial"/>
                <w:sz w:val="18"/>
                <w:szCs w:val="18"/>
                <w:color w:val="auto"/>
                <w:w w:val="99"/>
              </w:rPr>
              <w:t>4</w:t>
            </w:r>
          </w:p>
        </w:tc>
      </w:tr>
      <w:tr>
        <w:trPr>
          <w:trHeight w:val="331"/>
        </w:trPr>
        <w:tc>
          <w:tcPr>
            <w:tcW w:w="40" w:type="dxa"/>
            <w:vAlign w:val="bottom"/>
          </w:tcPr>
          <w:p>
            <w:pPr>
              <w:spacing w:after="0"/>
              <w:rPr>
                <w:sz w:val="24"/>
                <w:szCs w:val="24"/>
                <w:color w:val="auto"/>
              </w:rPr>
            </w:pPr>
          </w:p>
        </w:tc>
        <w:tc>
          <w:tcPr>
            <w:tcW w:w="64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2320" w:type="dxa"/>
            <w:vAlign w:val="bottom"/>
            <w:gridSpan w:val="3"/>
          </w:tcPr>
          <w:p>
            <w:pPr>
              <w:spacing w:after="0"/>
              <w:rPr>
                <w:sz w:val="24"/>
                <w:szCs w:val="24"/>
                <w:color w:val="auto"/>
              </w:rPr>
            </w:pPr>
          </w:p>
        </w:tc>
        <w:tc>
          <w:tcPr>
            <w:tcW w:w="1040" w:type="dxa"/>
            <w:vAlign w:val="bottom"/>
          </w:tcPr>
          <w:p>
            <w:pPr>
              <w:jc w:val="center"/>
              <w:ind w:left="770"/>
              <w:spacing w:after="0"/>
              <w:rPr>
                <w:sz w:val="20"/>
                <w:szCs w:val="20"/>
                <w:color w:val="auto"/>
              </w:rPr>
            </w:pPr>
            <w:r>
              <w:rPr>
                <w:rFonts w:ascii="Arial" w:cs="Arial" w:eastAsia="Arial" w:hAnsi="Arial"/>
                <w:sz w:val="18"/>
                <w:szCs w:val="18"/>
                <w:color w:val="auto"/>
                <w:w w:val="99"/>
              </w:rPr>
              <w:t>8</w:t>
            </w:r>
          </w:p>
        </w:tc>
      </w:tr>
      <w:tr>
        <w:trPr>
          <w:trHeight w:val="331"/>
        </w:trPr>
        <w:tc>
          <w:tcPr>
            <w:tcW w:w="40" w:type="dxa"/>
            <w:vAlign w:val="bottom"/>
          </w:tcPr>
          <w:p>
            <w:pPr>
              <w:spacing w:after="0"/>
              <w:rPr>
                <w:sz w:val="24"/>
                <w:szCs w:val="24"/>
                <w:color w:val="auto"/>
              </w:rPr>
            </w:pPr>
          </w:p>
        </w:tc>
        <w:tc>
          <w:tcPr>
            <w:tcW w:w="43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Quantitative and Qualitative Disclosures About Market Risk</w:t>
              </w:r>
            </w:hyperlink>
          </w:p>
        </w:tc>
        <w:tc>
          <w:tcPr>
            <w:tcW w:w="4420" w:type="dxa"/>
            <w:vAlign w:val="bottom"/>
            <w:gridSpan w:val="5"/>
          </w:tcPr>
          <w:p>
            <w:pPr>
              <w:spacing w:after="0"/>
              <w:rPr>
                <w:sz w:val="24"/>
                <w:szCs w:val="24"/>
                <w:color w:val="auto"/>
              </w:rPr>
            </w:pPr>
          </w:p>
        </w:tc>
        <w:tc>
          <w:tcPr>
            <w:tcW w:w="1040" w:type="dxa"/>
            <w:vAlign w:val="bottom"/>
          </w:tcPr>
          <w:p>
            <w:pPr>
              <w:jc w:val="center"/>
              <w:ind w:left="770"/>
              <w:spacing w:after="0"/>
              <w:rPr>
                <w:sz w:val="20"/>
                <w:szCs w:val="20"/>
                <w:color w:val="auto"/>
              </w:rPr>
            </w:pPr>
            <w:r>
              <w:rPr>
                <w:rFonts w:ascii="Arial" w:cs="Arial" w:eastAsia="Arial" w:hAnsi="Arial"/>
                <w:sz w:val="18"/>
                <w:szCs w:val="18"/>
                <w:color w:val="auto"/>
                <w:w w:val="89"/>
              </w:rPr>
              <w:t>15</w:t>
            </w:r>
          </w:p>
        </w:tc>
      </w:tr>
      <w:tr>
        <w:trPr>
          <w:trHeight w:val="331"/>
        </w:trPr>
        <w:tc>
          <w:tcPr>
            <w:tcW w:w="40" w:type="dxa"/>
            <w:vAlign w:val="bottom"/>
          </w:tcPr>
          <w:p>
            <w:pPr>
              <w:spacing w:after="0"/>
              <w:rPr>
                <w:sz w:val="24"/>
                <w:szCs w:val="24"/>
                <w:color w:val="auto"/>
              </w:rPr>
            </w:pPr>
          </w:p>
        </w:tc>
        <w:tc>
          <w:tcPr>
            <w:tcW w:w="8780" w:type="dxa"/>
            <w:vAlign w:val="bottom"/>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1040" w:type="dxa"/>
            <w:vAlign w:val="bottom"/>
          </w:tcPr>
          <w:p>
            <w:pPr>
              <w:jc w:val="center"/>
              <w:ind w:left="770"/>
              <w:spacing w:after="0"/>
              <w:rPr>
                <w:sz w:val="20"/>
                <w:szCs w:val="20"/>
                <w:color w:val="auto"/>
              </w:rPr>
            </w:pPr>
            <w:r>
              <w:rPr>
                <w:rFonts w:ascii="Arial" w:cs="Arial" w:eastAsia="Arial" w:hAnsi="Arial"/>
                <w:sz w:val="18"/>
                <w:szCs w:val="18"/>
                <w:color w:val="auto"/>
                <w:w w:val="89"/>
              </w:rPr>
              <w:t>15</w:t>
            </w:r>
          </w:p>
        </w:tc>
      </w:tr>
      <w:tr>
        <w:trPr>
          <w:trHeight w:val="20"/>
        </w:trPr>
        <w:tc>
          <w:tcPr>
            <w:tcW w:w="4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702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72"/>
        </w:trPr>
        <w:tc>
          <w:tcPr>
            <w:tcW w:w="8820" w:type="dxa"/>
            <w:vAlign w:val="bottom"/>
            <w:gridSpan w:val="10"/>
          </w:tcPr>
          <w:p>
            <w:pPr>
              <w:spacing w:after="0"/>
              <w:rPr>
                <w:sz w:val="20"/>
                <w:szCs w:val="20"/>
                <w:color w:val="auto"/>
              </w:rPr>
            </w:pPr>
            <w:r>
              <w:rPr>
                <w:rFonts w:ascii="Arial" w:cs="Arial" w:eastAsia="Arial" w:hAnsi="Arial"/>
                <w:sz w:val="18"/>
                <w:szCs w:val="18"/>
                <w:b w:val="1"/>
                <w:bCs w:val="1"/>
                <w:color w:val="auto"/>
              </w:rPr>
              <w:t>OTHER INFORMATION</w:t>
            </w: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-1294130</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-848360</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-402590</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660" w:space="600"/>
            <w:col w:w="10160"/>
          </w:cols>
          <w:pgMar w:left="240" w:top="486" w:right="2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1260" w:type="dxa"/>
            <w:vAlign w:val="bottom"/>
            <w:shd w:val="clear" w:color="auto" w:fill="FFC080"/>
          </w:tcPr>
          <w:p>
            <w:pPr>
              <w:spacing w:after="0"/>
              <w:rPr>
                <w:sz w:val="20"/>
                <w:szCs w:val="20"/>
                <w:color w:val="auto"/>
              </w:rPr>
            </w:pPr>
            <w:r>
              <w:rPr>
                <w:rFonts w:ascii="Arial" w:cs="Arial" w:eastAsia="Arial" w:hAnsi="Arial"/>
                <w:sz w:val="18"/>
                <w:szCs w:val="18"/>
                <w:color w:val="auto"/>
              </w:rPr>
              <w:t>Item 1</w:t>
            </w:r>
          </w:p>
        </w:tc>
        <w:tc>
          <w:tcPr>
            <w:tcW w:w="7020" w:type="dxa"/>
            <w:vAlign w:val="bottom"/>
            <w:gridSpan w:val="8"/>
            <w:shd w:val="clear" w:color="auto" w:fill="FFC08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3140" w:type="dxa"/>
            <w:vAlign w:val="bottom"/>
            <w:shd w:val="clear" w:color="auto" w:fill="FFC080"/>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Borders>
              <w:top w:val="single" w:sz="8" w:color="FFC080"/>
            </w:tcBorders>
            <w:shd w:val="clear" w:color="auto" w:fill="FFC080"/>
          </w:tcPr>
          <w:p>
            <w:pPr>
              <w:spacing w:after="0"/>
              <w:rPr>
                <w:sz w:val="7"/>
                <w:szCs w:val="7"/>
                <w:color w:val="auto"/>
              </w:rPr>
            </w:pPr>
          </w:p>
        </w:tc>
        <w:tc>
          <w:tcPr>
            <w:tcW w:w="60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400" w:type="dxa"/>
            <w:vAlign w:val="bottom"/>
            <w:tcBorders>
              <w:top w:val="single" w:sz="8" w:color="0000EE"/>
            </w:tcBorders>
            <w:shd w:val="clear" w:color="auto" w:fill="FFC080"/>
          </w:tcPr>
          <w:p>
            <w:pPr>
              <w:spacing w:after="0"/>
              <w:rPr>
                <w:sz w:val="7"/>
                <w:szCs w:val="7"/>
                <w:color w:val="auto"/>
              </w:rPr>
            </w:pPr>
          </w:p>
        </w:tc>
        <w:tc>
          <w:tcPr>
            <w:tcW w:w="2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FFC080"/>
            </w:tcBorders>
            <w:shd w:val="clear" w:color="auto" w:fill="FFC080"/>
          </w:tcPr>
          <w:p>
            <w:pPr>
              <w:spacing w:after="0"/>
              <w:rPr>
                <w:sz w:val="7"/>
                <w:szCs w:val="7"/>
                <w:color w:val="auto"/>
              </w:rPr>
            </w:pPr>
          </w:p>
        </w:tc>
        <w:tc>
          <w:tcPr>
            <w:tcW w:w="620" w:type="dxa"/>
            <w:vAlign w:val="bottom"/>
            <w:tcBorders>
              <w:top w:val="single" w:sz="8" w:color="FFC080"/>
            </w:tcBorders>
            <w:shd w:val="clear" w:color="auto" w:fill="FFC080"/>
          </w:tcPr>
          <w:p>
            <w:pPr>
              <w:spacing w:after="0"/>
              <w:rPr>
                <w:sz w:val="7"/>
                <w:szCs w:val="7"/>
                <w:color w:val="auto"/>
              </w:rPr>
            </w:pPr>
          </w:p>
        </w:tc>
        <w:tc>
          <w:tcPr>
            <w:tcW w:w="2020" w:type="dxa"/>
            <w:vAlign w:val="bottom"/>
            <w:tcBorders>
              <w:top w:val="single" w:sz="8" w:color="FFC080"/>
            </w:tcBorders>
            <w:shd w:val="clear" w:color="auto" w:fill="FFC080"/>
          </w:tcPr>
          <w:p>
            <w:pPr>
              <w:spacing w:after="0"/>
              <w:rPr>
                <w:sz w:val="7"/>
                <w:szCs w:val="7"/>
                <w:color w:val="auto"/>
              </w:rPr>
            </w:pPr>
          </w:p>
        </w:tc>
        <w:tc>
          <w:tcPr>
            <w:tcW w:w="2680" w:type="dxa"/>
            <w:vAlign w:val="bottom"/>
            <w:tcBorders>
              <w:top w:val="single" w:sz="8" w:color="FFC080"/>
            </w:tcBorders>
            <w:shd w:val="clear" w:color="auto" w:fill="FFC080"/>
          </w:tcPr>
          <w:p>
            <w:pPr>
              <w:spacing w:after="0"/>
              <w:rPr>
                <w:sz w:val="7"/>
                <w:szCs w:val="7"/>
                <w:color w:val="auto"/>
              </w:rPr>
            </w:pPr>
          </w:p>
        </w:tc>
        <w:tc>
          <w:tcPr>
            <w:tcW w:w="3140" w:type="dxa"/>
            <w:vAlign w:val="bottom"/>
            <w:tcBorders>
              <w:top w:val="single" w:sz="8" w:color="FFC080"/>
            </w:tcBorders>
            <w:shd w:val="clear" w:color="auto" w:fill="FFC080"/>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702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314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FFC080"/>
          </w:tcPr>
          <w:p>
            <w:pPr>
              <w:spacing w:after="0"/>
              <w:rPr>
                <w:sz w:val="20"/>
                <w:szCs w:val="20"/>
                <w:color w:val="auto"/>
              </w:rPr>
            </w:pPr>
            <w:r>
              <w:rPr>
                <w:rFonts w:ascii="Arial" w:cs="Arial" w:eastAsia="Arial" w:hAnsi="Arial"/>
                <w:sz w:val="18"/>
                <w:szCs w:val="18"/>
                <w:color w:val="auto"/>
              </w:rPr>
              <w:t>Item 2</w:t>
            </w:r>
          </w:p>
        </w:tc>
        <w:tc>
          <w:tcPr>
            <w:tcW w:w="7020" w:type="dxa"/>
            <w:vAlign w:val="bottom"/>
            <w:gridSpan w:val="8"/>
            <w:shd w:val="clear" w:color="auto" w:fill="FFC08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3140" w:type="dxa"/>
            <w:vAlign w:val="bottom"/>
            <w:shd w:val="clear" w:color="auto" w:fill="FFC080"/>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Borders>
              <w:top w:val="single" w:sz="8" w:color="FFC080"/>
            </w:tcBorders>
            <w:shd w:val="clear" w:color="auto" w:fill="FFC080"/>
          </w:tcPr>
          <w:p>
            <w:pPr>
              <w:spacing w:after="0"/>
              <w:rPr>
                <w:sz w:val="7"/>
                <w:szCs w:val="7"/>
                <w:color w:val="auto"/>
              </w:rPr>
            </w:pPr>
          </w:p>
        </w:tc>
        <w:tc>
          <w:tcPr>
            <w:tcW w:w="60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400" w:type="dxa"/>
            <w:vAlign w:val="bottom"/>
            <w:tcBorders>
              <w:top w:val="single" w:sz="8" w:color="0000EE"/>
            </w:tcBorders>
            <w:shd w:val="clear" w:color="auto" w:fill="FFC080"/>
          </w:tcPr>
          <w:p>
            <w:pPr>
              <w:spacing w:after="0"/>
              <w:rPr>
                <w:sz w:val="7"/>
                <w:szCs w:val="7"/>
                <w:color w:val="auto"/>
              </w:rPr>
            </w:pPr>
          </w:p>
        </w:tc>
        <w:tc>
          <w:tcPr>
            <w:tcW w:w="2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20" w:type="dxa"/>
            <w:vAlign w:val="bottom"/>
            <w:tcBorders>
              <w:top w:val="single" w:sz="8" w:color="0000EE"/>
            </w:tcBorders>
            <w:shd w:val="clear" w:color="auto" w:fill="FFC080"/>
          </w:tcPr>
          <w:p>
            <w:pPr>
              <w:spacing w:after="0"/>
              <w:rPr>
                <w:sz w:val="7"/>
                <w:szCs w:val="7"/>
                <w:color w:val="auto"/>
              </w:rPr>
            </w:pPr>
          </w:p>
        </w:tc>
        <w:tc>
          <w:tcPr>
            <w:tcW w:w="2020" w:type="dxa"/>
            <w:vAlign w:val="bottom"/>
            <w:tcBorders>
              <w:top w:val="single" w:sz="8" w:color="0000EE"/>
            </w:tcBorders>
            <w:shd w:val="clear" w:color="auto" w:fill="FFC080"/>
          </w:tcPr>
          <w:p>
            <w:pPr>
              <w:spacing w:after="0"/>
              <w:rPr>
                <w:sz w:val="7"/>
                <w:szCs w:val="7"/>
                <w:color w:val="auto"/>
              </w:rPr>
            </w:pPr>
          </w:p>
        </w:tc>
        <w:tc>
          <w:tcPr>
            <w:tcW w:w="2680" w:type="dxa"/>
            <w:vAlign w:val="bottom"/>
            <w:tcBorders>
              <w:top w:val="single" w:sz="8" w:color="FFC080"/>
            </w:tcBorders>
            <w:shd w:val="clear" w:color="auto" w:fill="FFC080"/>
          </w:tcPr>
          <w:p>
            <w:pPr>
              <w:spacing w:after="0"/>
              <w:rPr>
                <w:sz w:val="7"/>
                <w:szCs w:val="7"/>
                <w:color w:val="auto"/>
              </w:rPr>
            </w:pPr>
          </w:p>
        </w:tc>
        <w:tc>
          <w:tcPr>
            <w:tcW w:w="3140" w:type="dxa"/>
            <w:vAlign w:val="bottom"/>
            <w:tcBorders>
              <w:top w:val="single" w:sz="8" w:color="FFC080"/>
            </w:tcBorders>
            <w:shd w:val="clear" w:color="auto" w:fill="FFC080"/>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702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Defaults Upon Senior Securities</w:t>
              </w:r>
            </w:hyperlink>
          </w:p>
        </w:tc>
        <w:tc>
          <w:tcPr>
            <w:tcW w:w="314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20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FFC080"/>
          </w:tcPr>
          <w:p>
            <w:pPr>
              <w:spacing w:after="0"/>
              <w:rPr>
                <w:sz w:val="20"/>
                <w:szCs w:val="20"/>
                <w:color w:val="auto"/>
              </w:rPr>
            </w:pPr>
            <w:r>
              <w:rPr>
                <w:rFonts w:ascii="Arial" w:cs="Arial" w:eastAsia="Arial" w:hAnsi="Arial"/>
                <w:sz w:val="18"/>
                <w:szCs w:val="18"/>
                <w:color w:val="auto"/>
              </w:rPr>
              <w:t>Item 4</w:t>
            </w:r>
          </w:p>
        </w:tc>
        <w:tc>
          <w:tcPr>
            <w:tcW w:w="7020" w:type="dxa"/>
            <w:vAlign w:val="bottom"/>
            <w:gridSpan w:val="8"/>
            <w:shd w:val="clear" w:color="auto" w:fill="FFC08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Removed and Reserved</w:t>
              </w:r>
            </w:hyperlink>
          </w:p>
        </w:tc>
        <w:tc>
          <w:tcPr>
            <w:tcW w:w="3140" w:type="dxa"/>
            <w:vAlign w:val="bottom"/>
            <w:shd w:val="clear" w:color="auto" w:fill="FFC080"/>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Borders>
              <w:top w:val="single" w:sz="8" w:color="FFC080"/>
            </w:tcBorders>
            <w:shd w:val="clear" w:color="auto" w:fill="FFC080"/>
          </w:tcPr>
          <w:p>
            <w:pPr>
              <w:spacing w:after="0"/>
              <w:rPr>
                <w:sz w:val="7"/>
                <w:szCs w:val="7"/>
                <w:color w:val="auto"/>
              </w:rPr>
            </w:pPr>
          </w:p>
        </w:tc>
        <w:tc>
          <w:tcPr>
            <w:tcW w:w="60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0000EE"/>
            </w:tcBorders>
            <w:shd w:val="clear" w:color="auto" w:fill="FFC080"/>
          </w:tcPr>
          <w:p>
            <w:pPr>
              <w:spacing w:after="0"/>
              <w:rPr>
                <w:sz w:val="7"/>
                <w:szCs w:val="7"/>
                <w:color w:val="auto"/>
              </w:rPr>
            </w:pPr>
          </w:p>
        </w:tc>
        <w:tc>
          <w:tcPr>
            <w:tcW w:w="400" w:type="dxa"/>
            <w:vAlign w:val="bottom"/>
            <w:tcBorders>
              <w:top w:val="single" w:sz="8" w:color="0000EE"/>
            </w:tcBorders>
            <w:shd w:val="clear" w:color="auto" w:fill="FFC080"/>
          </w:tcPr>
          <w:p>
            <w:pPr>
              <w:spacing w:after="0"/>
              <w:rPr>
                <w:sz w:val="7"/>
                <w:szCs w:val="7"/>
                <w:color w:val="auto"/>
              </w:rPr>
            </w:pPr>
          </w:p>
        </w:tc>
        <w:tc>
          <w:tcPr>
            <w:tcW w:w="20" w:type="dxa"/>
            <w:vAlign w:val="bottom"/>
            <w:tcBorders>
              <w:top w:val="single" w:sz="8" w:color="0000EE"/>
            </w:tcBorders>
            <w:shd w:val="clear" w:color="auto" w:fill="FFC080"/>
          </w:tcPr>
          <w:p>
            <w:pPr>
              <w:spacing w:after="0"/>
              <w:rPr>
                <w:sz w:val="7"/>
                <w:szCs w:val="7"/>
                <w:color w:val="auto"/>
              </w:rPr>
            </w:pPr>
          </w:p>
        </w:tc>
        <w:tc>
          <w:tcPr>
            <w:tcW w:w="380" w:type="dxa"/>
            <w:vAlign w:val="bottom"/>
            <w:tcBorders>
              <w:top w:val="single" w:sz="8" w:color="0000EE"/>
            </w:tcBorders>
            <w:shd w:val="clear" w:color="auto" w:fill="FFC080"/>
          </w:tcPr>
          <w:p>
            <w:pPr>
              <w:spacing w:after="0"/>
              <w:rPr>
                <w:sz w:val="7"/>
                <w:szCs w:val="7"/>
                <w:color w:val="auto"/>
              </w:rPr>
            </w:pPr>
          </w:p>
        </w:tc>
        <w:tc>
          <w:tcPr>
            <w:tcW w:w="620" w:type="dxa"/>
            <w:vAlign w:val="bottom"/>
            <w:tcBorders>
              <w:top w:val="single" w:sz="8" w:color="FFC080"/>
            </w:tcBorders>
            <w:shd w:val="clear" w:color="auto" w:fill="FFC080"/>
          </w:tcPr>
          <w:p>
            <w:pPr>
              <w:spacing w:after="0"/>
              <w:rPr>
                <w:sz w:val="7"/>
                <w:szCs w:val="7"/>
                <w:color w:val="auto"/>
              </w:rPr>
            </w:pPr>
          </w:p>
        </w:tc>
        <w:tc>
          <w:tcPr>
            <w:tcW w:w="2020" w:type="dxa"/>
            <w:vAlign w:val="bottom"/>
            <w:tcBorders>
              <w:top w:val="single" w:sz="8" w:color="FFC080"/>
            </w:tcBorders>
            <w:shd w:val="clear" w:color="auto" w:fill="FFC080"/>
          </w:tcPr>
          <w:p>
            <w:pPr>
              <w:spacing w:after="0"/>
              <w:rPr>
                <w:sz w:val="7"/>
                <w:szCs w:val="7"/>
                <w:color w:val="auto"/>
              </w:rPr>
            </w:pPr>
          </w:p>
        </w:tc>
        <w:tc>
          <w:tcPr>
            <w:tcW w:w="2680" w:type="dxa"/>
            <w:vAlign w:val="bottom"/>
            <w:tcBorders>
              <w:top w:val="single" w:sz="8" w:color="FFC080"/>
            </w:tcBorders>
            <w:shd w:val="clear" w:color="auto" w:fill="FFC080"/>
          </w:tcPr>
          <w:p>
            <w:pPr>
              <w:spacing w:after="0"/>
              <w:rPr>
                <w:sz w:val="7"/>
                <w:szCs w:val="7"/>
                <w:color w:val="auto"/>
              </w:rPr>
            </w:pPr>
          </w:p>
        </w:tc>
        <w:tc>
          <w:tcPr>
            <w:tcW w:w="3140" w:type="dxa"/>
            <w:vAlign w:val="bottom"/>
            <w:tcBorders>
              <w:top w:val="single" w:sz="8" w:color="FFC080"/>
            </w:tcBorders>
            <w:shd w:val="clear" w:color="auto" w:fill="FFC080"/>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702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314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60" w:type="dxa"/>
            <w:vAlign w:val="bottom"/>
            <w:shd w:val="clear" w:color="auto" w:fill="FFC080"/>
          </w:tcPr>
          <w:p>
            <w:pPr>
              <w:spacing w:after="0"/>
              <w:rPr>
                <w:sz w:val="20"/>
                <w:szCs w:val="20"/>
                <w:color w:val="auto"/>
              </w:rPr>
            </w:pPr>
            <w:r>
              <w:rPr>
                <w:rFonts w:ascii="Arial" w:cs="Arial" w:eastAsia="Arial" w:hAnsi="Arial"/>
                <w:sz w:val="18"/>
                <w:szCs w:val="18"/>
                <w:color w:val="auto"/>
              </w:rPr>
              <w:t>Item 6</w:t>
            </w:r>
          </w:p>
        </w:tc>
        <w:tc>
          <w:tcPr>
            <w:tcW w:w="7020" w:type="dxa"/>
            <w:vAlign w:val="bottom"/>
            <w:gridSpan w:val="8"/>
            <w:shd w:val="clear" w:color="auto" w:fill="FFC08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3140" w:type="dxa"/>
            <w:vAlign w:val="bottom"/>
            <w:vMerge w:val="restart"/>
            <w:shd w:val="clear" w:color="auto" w:fill="FFC080"/>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260" w:type="dxa"/>
            <w:vAlign w:val="bottom"/>
            <w:tcBorders>
              <w:top w:val="single" w:sz="8" w:color="FFC080"/>
            </w:tcBorders>
            <w:shd w:val="clear" w:color="auto" w:fill="FFC080"/>
          </w:tcPr>
          <w:p>
            <w:pPr>
              <w:spacing w:after="0"/>
              <w:rPr>
                <w:sz w:val="7"/>
                <w:szCs w:val="7"/>
                <w:color w:val="auto"/>
              </w:rPr>
            </w:pPr>
          </w:p>
        </w:tc>
        <w:tc>
          <w:tcPr>
            <w:tcW w:w="600" w:type="dxa"/>
            <w:vAlign w:val="bottom"/>
            <w:tcBorders>
              <w:top w:val="single" w:sz="8" w:color="0000EE"/>
            </w:tcBorders>
            <w:shd w:val="clear" w:color="auto" w:fill="FFC080"/>
          </w:tcPr>
          <w:p>
            <w:pPr>
              <w:spacing w:after="0"/>
              <w:rPr>
                <w:sz w:val="7"/>
                <w:szCs w:val="7"/>
                <w:color w:val="auto"/>
              </w:rPr>
            </w:pPr>
          </w:p>
        </w:tc>
        <w:tc>
          <w:tcPr>
            <w:tcW w:w="300" w:type="dxa"/>
            <w:vAlign w:val="bottom"/>
            <w:tcBorders>
              <w:top w:val="single" w:sz="8" w:color="FFC080"/>
            </w:tcBorders>
            <w:shd w:val="clear" w:color="auto" w:fill="FFC080"/>
          </w:tcPr>
          <w:p>
            <w:pPr>
              <w:spacing w:after="0"/>
              <w:rPr>
                <w:sz w:val="7"/>
                <w:szCs w:val="7"/>
                <w:color w:val="auto"/>
              </w:rPr>
            </w:pPr>
          </w:p>
        </w:tc>
        <w:tc>
          <w:tcPr>
            <w:tcW w:w="400" w:type="dxa"/>
            <w:vAlign w:val="bottom"/>
            <w:tcBorders>
              <w:top w:val="single" w:sz="8" w:color="FFC080"/>
            </w:tcBorders>
            <w:shd w:val="clear" w:color="auto" w:fill="FFC080"/>
          </w:tcPr>
          <w:p>
            <w:pPr>
              <w:spacing w:after="0"/>
              <w:rPr>
                <w:sz w:val="7"/>
                <w:szCs w:val="7"/>
                <w:color w:val="auto"/>
              </w:rPr>
            </w:pPr>
          </w:p>
        </w:tc>
        <w:tc>
          <w:tcPr>
            <w:tcW w:w="20" w:type="dxa"/>
            <w:vAlign w:val="bottom"/>
            <w:tcBorders>
              <w:top w:val="single" w:sz="8" w:color="FFC080"/>
            </w:tcBorders>
            <w:shd w:val="clear" w:color="auto" w:fill="FFC080"/>
          </w:tcPr>
          <w:p>
            <w:pPr>
              <w:spacing w:after="0"/>
              <w:rPr>
                <w:sz w:val="7"/>
                <w:szCs w:val="7"/>
                <w:color w:val="auto"/>
              </w:rPr>
            </w:pPr>
          </w:p>
        </w:tc>
        <w:tc>
          <w:tcPr>
            <w:tcW w:w="380" w:type="dxa"/>
            <w:vAlign w:val="bottom"/>
            <w:tcBorders>
              <w:top w:val="single" w:sz="8" w:color="FFC080"/>
            </w:tcBorders>
            <w:shd w:val="clear" w:color="auto" w:fill="FFC080"/>
          </w:tcPr>
          <w:p>
            <w:pPr>
              <w:spacing w:after="0"/>
              <w:rPr>
                <w:sz w:val="7"/>
                <w:szCs w:val="7"/>
                <w:color w:val="auto"/>
              </w:rPr>
            </w:pPr>
          </w:p>
        </w:tc>
        <w:tc>
          <w:tcPr>
            <w:tcW w:w="620" w:type="dxa"/>
            <w:vAlign w:val="bottom"/>
            <w:tcBorders>
              <w:top w:val="single" w:sz="8" w:color="FFC080"/>
            </w:tcBorders>
            <w:shd w:val="clear" w:color="auto" w:fill="FFC080"/>
          </w:tcPr>
          <w:p>
            <w:pPr>
              <w:spacing w:after="0"/>
              <w:rPr>
                <w:sz w:val="7"/>
                <w:szCs w:val="7"/>
                <w:color w:val="auto"/>
              </w:rPr>
            </w:pPr>
          </w:p>
        </w:tc>
        <w:tc>
          <w:tcPr>
            <w:tcW w:w="2020" w:type="dxa"/>
            <w:vAlign w:val="bottom"/>
            <w:tcBorders>
              <w:top w:val="single" w:sz="8" w:color="FFC080"/>
            </w:tcBorders>
            <w:shd w:val="clear" w:color="auto" w:fill="FFC080"/>
          </w:tcPr>
          <w:p>
            <w:pPr>
              <w:spacing w:after="0"/>
              <w:rPr>
                <w:sz w:val="7"/>
                <w:szCs w:val="7"/>
                <w:color w:val="auto"/>
              </w:rPr>
            </w:pPr>
          </w:p>
        </w:tc>
        <w:tc>
          <w:tcPr>
            <w:tcW w:w="2680" w:type="dxa"/>
            <w:vAlign w:val="bottom"/>
            <w:tcBorders>
              <w:top w:val="single" w:sz="8" w:color="FFC080"/>
            </w:tcBorders>
            <w:shd w:val="clear" w:color="auto" w:fill="FFC080"/>
          </w:tcPr>
          <w:p>
            <w:pPr>
              <w:spacing w:after="0"/>
              <w:rPr>
                <w:sz w:val="7"/>
                <w:szCs w:val="7"/>
                <w:color w:val="auto"/>
              </w:rPr>
            </w:pPr>
          </w:p>
        </w:tc>
        <w:tc>
          <w:tcPr>
            <w:tcW w:w="3140" w:type="dxa"/>
            <w:vAlign w:val="bottom"/>
            <w:tcBorders>
              <w:top w:val="single" w:sz="8" w:color="FFC080"/>
            </w:tcBorders>
            <w:vMerge w:val="continue"/>
            <w:shd w:val="clear" w:color="auto" w:fill="FFC080"/>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Signatures</w:t>
              </w:r>
            </w:hyperlink>
          </w:p>
        </w:tc>
        <w:tc>
          <w:tcPr>
            <w:tcW w:w="8160" w:type="dxa"/>
            <w:vAlign w:val="bottom"/>
            <w:vMerge w:val="restart"/>
          </w:tcPr>
          <w:p>
            <w:pPr>
              <w:jc w:val="right"/>
              <w:ind w:right="2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95"/>
        </w:trPr>
        <w:tc>
          <w:tcPr>
            <w:tcW w:w="820" w:type="dxa"/>
            <w:vAlign w:val="bottom"/>
            <w:tcBorders>
              <w:top w:val="single" w:sz="8" w:color="0000EE"/>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8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8"/>
        </w:trPr>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160" w:type="dxa"/>
            <w:vAlign w:val="bottom"/>
          </w:tcPr>
          <w:p>
            <w:pPr>
              <w:jc w:val="right"/>
              <w:ind w:right="559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645"/>
        </w:trPr>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2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6"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As of</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December 31, 2009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ind w:left="3640"/>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FFC080"/>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11,516</w:t>
            </w:r>
          </w:p>
        </w:tc>
        <w:tc>
          <w:tcPr>
            <w:tcW w:w="360" w:type="dxa"/>
            <w:vAlign w:val="bottom"/>
            <w:gridSpan w:val="2"/>
            <w:shd w:val="clear" w:color="auto" w:fill="FFC080"/>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$310 and $103,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8,805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FFC080"/>
          </w:tcPr>
          <w:p>
            <w:pPr>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6,024</w:t>
            </w:r>
          </w:p>
        </w:tc>
        <w:tc>
          <w:tcPr>
            <w:tcW w:w="80" w:type="dxa"/>
            <w:vAlign w:val="bottom"/>
            <w:shd w:val="clear" w:color="auto" w:fill="FFC080"/>
          </w:tcPr>
          <w:p>
            <w:pPr>
              <w:spacing w:after="0"/>
              <w:rPr>
                <w:sz w:val="18"/>
                <w:szCs w:val="18"/>
                <w:color w:val="auto"/>
              </w:rPr>
            </w:pPr>
          </w:p>
        </w:tc>
        <w:tc>
          <w:tcPr>
            <w:tcW w:w="28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3,340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FFC080"/>
            </w:tcBorders>
            <w:shd w:val="clear" w:color="auto" w:fill="FFC080"/>
          </w:tcPr>
          <w:p>
            <w:pPr>
              <w:spacing w:after="0"/>
              <w:rPr>
                <w:sz w:val="19"/>
                <w:szCs w:val="19"/>
                <w:color w:val="auto"/>
              </w:rPr>
            </w:pPr>
          </w:p>
        </w:tc>
        <w:tc>
          <w:tcPr>
            <w:tcW w:w="16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Borders>
              <w:bottom w:val="single" w:sz="8" w:color="FFC080"/>
            </w:tcBorders>
            <w:shd w:val="clear" w:color="auto" w:fill="FFC080"/>
          </w:tcPr>
          <w:p>
            <w:pPr>
              <w:spacing w:after="0"/>
              <w:rPr>
                <w:sz w:val="19"/>
                <w:szCs w:val="19"/>
                <w:color w:val="auto"/>
              </w:rPr>
            </w:pPr>
          </w:p>
        </w:tc>
        <w:tc>
          <w:tcPr>
            <w:tcW w:w="80" w:type="dxa"/>
            <w:vAlign w:val="bottom"/>
            <w:tcBorders>
              <w:bottom w:val="single" w:sz="8" w:color="FFC080"/>
            </w:tcBorders>
            <w:shd w:val="clear" w:color="auto" w:fill="FFC080"/>
          </w:tcPr>
          <w:p>
            <w:pPr>
              <w:spacing w:after="0"/>
              <w:rPr>
                <w:sz w:val="19"/>
                <w:szCs w:val="19"/>
                <w:color w:val="auto"/>
              </w:rPr>
            </w:pPr>
          </w:p>
        </w:tc>
        <w:tc>
          <w:tcPr>
            <w:tcW w:w="280" w:type="dxa"/>
            <w:vAlign w:val="bottom"/>
            <w:tcBorders>
              <w:bottom w:val="single" w:sz="8" w:color="auto"/>
            </w:tcBorders>
            <w:shd w:val="clear" w:color="auto" w:fill="FFC080"/>
          </w:tcPr>
          <w:p>
            <w:pPr>
              <w:spacing w:after="0"/>
              <w:rPr>
                <w:sz w:val="19"/>
                <w:szCs w:val="19"/>
                <w:color w:val="auto"/>
              </w:rPr>
            </w:pPr>
          </w:p>
        </w:tc>
        <w:tc>
          <w:tcPr>
            <w:tcW w:w="12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30,042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60" w:type="dxa"/>
            <w:vAlign w:val="bottom"/>
            <w:tcBorders>
              <w:top w:val="single" w:sz="8" w:color="auto"/>
            </w:tcBorders>
            <w:shd w:val="clear" w:color="auto" w:fill="FFC080"/>
          </w:tcPr>
          <w:p>
            <w:pPr>
              <w:spacing w:after="0"/>
              <w:rPr>
                <w:sz w:val="18"/>
                <w:szCs w:val="18"/>
                <w:color w:val="auto"/>
              </w:rPr>
            </w:pPr>
          </w:p>
        </w:tc>
        <w:tc>
          <w:tcPr>
            <w:tcW w:w="134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80" w:type="dxa"/>
            <w:vAlign w:val="bottom"/>
            <w:tcBorders>
              <w:top w:val="single" w:sz="8" w:color="auto"/>
            </w:tcBorders>
            <w:shd w:val="clear" w:color="auto" w:fill="FFC080"/>
          </w:tcPr>
          <w:p>
            <w:pPr>
              <w:spacing w:after="0"/>
              <w:rPr>
                <w:sz w:val="18"/>
                <w:szCs w:val="18"/>
                <w:color w:val="auto"/>
              </w:rPr>
            </w:pPr>
          </w:p>
        </w:tc>
        <w:tc>
          <w:tcPr>
            <w:tcW w:w="122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Long-term inventory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4,135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FFC080"/>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3,151</w:t>
            </w:r>
          </w:p>
        </w:tc>
        <w:tc>
          <w:tcPr>
            <w:tcW w:w="80" w:type="dxa"/>
            <w:vAlign w:val="bottom"/>
            <w:shd w:val="clear" w:color="auto" w:fill="FFC080"/>
          </w:tcPr>
          <w:p>
            <w:pPr>
              <w:spacing w:after="0"/>
              <w:rPr>
                <w:sz w:val="18"/>
                <w:szCs w:val="18"/>
                <w:color w:val="auto"/>
              </w:rPr>
            </w:pPr>
          </w:p>
        </w:tc>
        <w:tc>
          <w:tcPr>
            <w:tcW w:w="28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Intangibles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2,832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FFC080"/>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FFC080"/>
          </w:tcPr>
          <w:p>
            <w:pPr>
              <w:spacing w:after="0"/>
              <w:rPr>
                <w:sz w:val="18"/>
                <w:szCs w:val="18"/>
                <w:color w:val="auto"/>
              </w:rPr>
            </w:pPr>
          </w:p>
        </w:tc>
        <w:tc>
          <w:tcPr>
            <w:tcW w:w="28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FFC080"/>
            </w:tcBorders>
            <w:shd w:val="clear" w:color="auto" w:fill="FFC080"/>
          </w:tcPr>
          <w:p>
            <w:pPr>
              <w:spacing w:after="0"/>
              <w:rPr>
                <w:sz w:val="19"/>
                <w:szCs w:val="19"/>
                <w:color w:val="auto"/>
              </w:rPr>
            </w:pPr>
          </w:p>
        </w:tc>
        <w:tc>
          <w:tcPr>
            <w:tcW w:w="16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FFC080"/>
            </w:tcBorders>
            <w:shd w:val="clear" w:color="auto" w:fill="FFC080"/>
          </w:tcPr>
          <w:p>
            <w:pPr>
              <w:spacing w:after="0"/>
              <w:rPr>
                <w:sz w:val="19"/>
                <w:szCs w:val="19"/>
                <w:color w:val="auto"/>
              </w:rPr>
            </w:pPr>
          </w:p>
        </w:tc>
        <w:tc>
          <w:tcPr>
            <w:tcW w:w="80" w:type="dxa"/>
            <w:vAlign w:val="bottom"/>
            <w:tcBorders>
              <w:bottom w:val="single" w:sz="8" w:color="FFC080"/>
            </w:tcBorders>
            <w:shd w:val="clear" w:color="auto" w:fill="FFC080"/>
          </w:tcPr>
          <w:p>
            <w:pPr>
              <w:spacing w:after="0"/>
              <w:rPr>
                <w:sz w:val="19"/>
                <w:szCs w:val="19"/>
                <w:color w:val="auto"/>
              </w:rPr>
            </w:pPr>
          </w:p>
        </w:tc>
        <w:tc>
          <w:tcPr>
            <w:tcW w:w="280" w:type="dxa"/>
            <w:vAlign w:val="bottom"/>
            <w:tcBorders>
              <w:bottom w:val="single" w:sz="8" w:color="auto"/>
            </w:tcBorders>
            <w:shd w:val="clear" w:color="auto" w:fill="FFC080"/>
          </w:tcPr>
          <w:p>
            <w:pPr>
              <w:spacing w:after="0"/>
              <w:rPr>
                <w:sz w:val="19"/>
                <w:szCs w:val="19"/>
                <w:color w:val="auto"/>
              </w:rPr>
            </w:pPr>
          </w:p>
        </w:tc>
        <w:tc>
          <w:tcPr>
            <w:tcW w:w="12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41,526</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80" w:type="dxa"/>
            <w:vAlign w:val="bottom"/>
            <w:shd w:val="clear" w:color="auto" w:fill="FFC080"/>
          </w:tcPr>
          <w:p>
            <w:pPr>
              <w:spacing w:after="0"/>
              <w:rPr>
                <w:sz w:val="18"/>
                <w:szCs w:val="18"/>
                <w:color w:val="auto"/>
              </w:rPr>
            </w:pPr>
          </w:p>
        </w:tc>
        <w:tc>
          <w:tcPr>
            <w:tcW w:w="12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FFC080"/>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80" w:type="dxa"/>
            <w:vAlign w:val="bottom"/>
            <w:shd w:val="clear" w:color="auto" w:fill="FFC080"/>
          </w:tcPr>
          <w:p>
            <w:pPr>
              <w:spacing w:after="0"/>
              <w:rPr>
                <w:sz w:val="18"/>
                <w:szCs w:val="18"/>
                <w:color w:val="auto"/>
              </w:rPr>
            </w:pPr>
          </w:p>
        </w:tc>
        <w:tc>
          <w:tcPr>
            <w:tcW w:w="122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2,188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FFC080"/>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2,855</w:t>
            </w:r>
          </w:p>
        </w:tc>
        <w:tc>
          <w:tcPr>
            <w:tcW w:w="80" w:type="dxa"/>
            <w:vAlign w:val="bottom"/>
            <w:shd w:val="clear" w:color="auto" w:fill="FFC080"/>
          </w:tcPr>
          <w:p>
            <w:pPr>
              <w:spacing w:after="0"/>
              <w:rPr>
                <w:sz w:val="18"/>
                <w:szCs w:val="18"/>
                <w:color w:val="auto"/>
              </w:rPr>
            </w:pPr>
          </w:p>
        </w:tc>
        <w:tc>
          <w:tcPr>
            <w:tcW w:w="280" w:type="dxa"/>
            <w:vAlign w:val="bottom"/>
            <w:shd w:val="clear" w:color="auto" w:fill="FFC080"/>
          </w:tcPr>
          <w:p>
            <w:pPr>
              <w:spacing w:after="0"/>
              <w:rPr>
                <w:sz w:val="18"/>
                <w:szCs w:val="18"/>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Deferred product revenue</w:t>
            </w:r>
          </w:p>
        </w:tc>
        <w:tc>
          <w:tcPr>
            <w:tcW w:w="140" w:type="dxa"/>
            <w:vAlign w:val="bottom"/>
            <w:tcBorders>
              <w:bottom w:val="single" w:sz="8" w:color="FFC080"/>
            </w:tcBorders>
            <w:shd w:val="clear" w:color="auto" w:fill="FFC080"/>
          </w:tcPr>
          <w:p>
            <w:pPr>
              <w:spacing w:after="0"/>
              <w:rPr>
                <w:sz w:val="19"/>
                <w:szCs w:val="19"/>
                <w:color w:val="auto"/>
              </w:rPr>
            </w:pPr>
          </w:p>
        </w:tc>
        <w:tc>
          <w:tcPr>
            <w:tcW w:w="16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4,699</w:t>
            </w:r>
          </w:p>
        </w:tc>
        <w:tc>
          <w:tcPr>
            <w:tcW w:w="140" w:type="dxa"/>
            <w:vAlign w:val="bottom"/>
            <w:tcBorders>
              <w:bottom w:val="single" w:sz="8" w:color="FFC080"/>
            </w:tcBorders>
            <w:shd w:val="clear" w:color="auto" w:fill="FFC080"/>
          </w:tcPr>
          <w:p>
            <w:pPr>
              <w:spacing w:after="0"/>
              <w:rPr>
                <w:sz w:val="19"/>
                <w:szCs w:val="19"/>
                <w:color w:val="auto"/>
              </w:rPr>
            </w:pPr>
          </w:p>
        </w:tc>
        <w:tc>
          <w:tcPr>
            <w:tcW w:w="80" w:type="dxa"/>
            <w:vAlign w:val="bottom"/>
            <w:tcBorders>
              <w:bottom w:val="single" w:sz="8" w:color="FFC080"/>
            </w:tcBorders>
            <w:shd w:val="clear" w:color="auto" w:fill="FFC080"/>
          </w:tcPr>
          <w:p>
            <w:pPr>
              <w:spacing w:after="0"/>
              <w:rPr>
                <w:sz w:val="19"/>
                <w:szCs w:val="19"/>
                <w:color w:val="auto"/>
              </w:rPr>
            </w:pPr>
          </w:p>
        </w:tc>
        <w:tc>
          <w:tcPr>
            <w:tcW w:w="280" w:type="dxa"/>
            <w:vAlign w:val="bottom"/>
            <w:tcBorders>
              <w:bottom w:val="single" w:sz="8" w:color="auto"/>
            </w:tcBorders>
            <w:shd w:val="clear" w:color="auto" w:fill="FFC080"/>
          </w:tcPr>
          <w:p>
            <w:pPr>
              <w:spacing w:after="0"/>
              <w:rPr>
                <w:sz w:val="19"/>
                <w:szCs w:val="19"/>
                <w:color w:val="auto"/>
              </w:rPr>
            </w:pPr>
          </w:p>
        </w:tc>
        <w:tc>
          <w:tcPr>
            <w:tcW w:w="12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9,742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10,779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60" w:type="dxa"/>
            <w:vAlign w:val="bottom"/>
            <w:tcBorders>
              <w:top w:val="single" w:sz="8" w:color="auto"/>
            </w:tcBorders>
            <w:shd w:val="clear" w:color="auto" w:fill="FFC080"/>
          </w:tcPr>
          <w:p>
            <w:pPr>
              <w:spacing w:after="0"/>
              <w:rPr>
                <w:sz w:val="18"/>
                <w:szCs w:val="18"/>
                <w:color w:val="auto"/>
              </w:rPr>
            </w:pPr>
          </w:p>
        </w:tc>
        <w:tc>
          <w:tcPr>
            <w:tcW w:w="134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80" w:type="dxa"/>
            <w:vAlign w:val="bottom"/>
            <w:tcBorders>
              <w:top w:val="single" w:sz="8" w:color="auto"/>
            </w:tcBorders>
            <w:shd w:val="clear" w:color="auto" w:fill="FFC080"/>
          </w:tcPr>
          <w:p>
            <w:pPr>
              <w:spacing w:after="0"/>
              <w:rPr>
                <w:sz w:val="18"/>
                <w:szCs w:val="18"/>
                <w:color w:val="auto"/>
              </w:rPr>
            </w:pPr>
          </w:p>
        </w:tc>
        <w:tc>
          <w:tcPr>
            <w:tcW w:w="122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FFC080"/>
            </w:tcBorders>
            <w:shd w:val="clear" w:color="auto" w:fill="FFC080"/>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FFC080"/>
            </w:tcBorders>
            <w:shd w:val="clear" w:color="auto" w:fill="FFC080"/>
          </w:tcPr>
          <w:p>
            <w:pPr>
              <w:spacing w:after="0"/>
              <w:rPr>
                <w:sz w:val="19"/>
                <w:szCs w:val="19"/>
                <w:color w:val="auto"/>
              </w:rPr>
            </w:pPr>
          </w:p>
        </w:tc>
        <w:tc>
          <w:tcPr>
            <w:tcW w:w="16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Borders>
              <w:bottom w:val="single" w:sz="8" w:color="FFC080"/>
            </w:tcBorders>
            <w:shd w:val="clear" w:color="auto" w:fill="FFC080"/>
          </w:tcPr>
          <w:p>
            <w:pPr>
              <w:spacing w:after="0"/>
              <w:rPr>
                <w:sz w:val="19"/>
                <w:szCs w:val="19"/>
                <w:color w:val="auto"/>
              </w:rPr>
            </w:pPr>
          </w:p>
        </w:tc>
        <w:tc>
          <w:tcPr>
            <w:tcW w:w="80" w:type="dxa"/>
            <w:vAlign w:val="bottom"/>
            <w:tcBorders>
              <w:bottom w:val="single" w:sz="8" w:color="FFC080"/>
            </w:tcBorders>
            <w:shd w:val="clear" w:color="auto" w:fill="FFC080"/>
          </w:tcPr>
          <w:p>
            <w:pPr>
              <w:spacing w:after="0"/>
              <w:rPr>
                <w:sz w:val="19"/>
                <w:szCs w:val="19"/>
                <w:color w:val="auto"/>
              </w:rPr>
            </w:pPr>
          </w:p>
        </w:tc>
        <w:tc>
          <w:tcPr>
            <w:tcW w:w="280" w:type="dxa"/>
            <w:vAlign w:val="bottom"/>
            <w:tcBorders>
              <w:bottom w:val="single" w:sz="8" w:color="auto"/>
            </w:tcBorders>
            <w:shd w:val="clear" w:color="auto" w:fill="FFC080"/>
          </w:tcPr>
          <w:p>
            <w:pPr>
              <w:spacing w:after="0"/>
              <w:rPr>
                <w:sz w:val="19"/>
                <w:szCs w:val="19"/>
                <w:color w:val="auto"/>
              </w:rPr>
            </w:pPr>
          </w:p>
        </w:tc>
        <w:tc>
          <w:tcPr>
            <w:tcW w:w="122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10,647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60" w:type="dxa"/>
            <w:vAlign w:val="bottom"/>
            <w:tcBorders>
              <w:top w:val="single" w:sz="8" w:color="auto"/>
            </w:tcBorders>
            <w:shd w:val="clear" w:color="auto" w:fill="FFC080"/>
          </w:tcPr>
          <w:p>
            <w:pPr>
              <w:spacing w:after="0"/>
              <w:rPr>
                <w:sz w:val="18"/>
                <w:szCs w:val="18"/>
                <w:color w:val="auto"/>
              </w:rPr>
            </w:pPr>
          </w:p>
        </w:tc>
        <w:tc>
          <w:tcPr>
            <w:tcW w:w="134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280" w:type="dxa"/>
            <w:vAlign w:val="bottom"/>
            <w:tcBorders>
              <w:top w:val="single" w:sz="8" w:color="auto"/>
            </w:tcBorders>
            <w:shd w:val="clear" w:color="auto" w:fill="FFC080"/>
          </w:tcPr>
          <w:p>
            <w:pPr>
              <w:spacing w:after="0"/>
              <w:rPr>
                <w:sz w:val="18"/>
                <w:szCs w:val="18"/>
                <w:color w:val="auto"/>
              </w:rPr>
            </w:pPr>
          </w:p>
        </w:tc>
        <w:tc>
          <w:tcPr>
            <w:tcW w:w="122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shd w:val="clear" w:color="auto" w:fill="FFC080"/>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8,929,350 and 8,929,134 shares issued and</w:t>
            </w:r>
          </w:p>
        </w:tc>
        <w:tc>
          <w:tcPr>
            <w:tcW w:w="14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134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80" w:type="dxa"/>
            <w:vAlign w:val="bottom"/>
            <w:shd w:val="clear" w:color="auto" w:fill="FFC080"/>
          </w:tcPr>
          <w:p>
            <w:pPr>
              <w:spacing w:after="0"/>
              <w:rPr>
                <w:sz w:val="17"/>
                <w:szCs w:val="17"/>
                <w:color w:val="auto"/>
              </w:rPr>
            </w:pPr>
          </w:p>
        </w:tc>
        <w:tc>
          <w:tcPr>
            <w:tcW w:w="280" w:type="dxa"/>
            <w:vAlign w:val="bottom"/>
            <w:shd w:val="clear" w:color="auto" w:fill="FFC080"/>
          </w:tcPr>
          <w:p>
            <w:pPr>
              <w:spacing w:after="0"/>
              <w:rPr>
                <w:sz w:val="17"/>
                <w:szCs w:val="17"/>
                <w:color w:val="auto"/>
              </w:rPr>
            </w:pPr>
          </w:p>
        </w:tc>
        <w:tc>
          <w:tcPr>
            <w:tcW w:w="122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shd w:val="clear" w:color="auto" w:fill="FFC080"/>
          </w:tcPr>
          <w:p>
            <w:pPr>
              <w:ind w:left="160"/>
              <w:spacing w:after="0"/>
              <w:rPr>
                <w:sz w:val="20"/>
                <w:szCs w:val="20"/>
                <w:color w:val="auto"/>
              </w:rPr>
            </w:pPr>
            <w:r>
              <w:rPr>
                <w:rFonts w:ascii="Arial" w:cs="Arial" w:eastAsia="Arial" w:hAnsi="Arial"/>
                <w:sz w:val="18"/>
                <w:szCs w:val="18"/>
                <w:color w:val="auto"/>
              </w:rPr>
              <w:t>outstanding, respectively</w:t>
            </w:r>
          </w:p>
        </w:tc>
        <w:tc>
          <w:tcPr>
            <w:tcW w:w="140" w:type="dxa"/>
            <w:vAlign w:val="bottom"/>
            <w:shd w:val="clear" w:color="auto" w:fill="FFC080"/>
          </w:tcPr>
          <w:p>
            <w:pPr>
              <w:spacing w:after="0"/>
              <w:rPr>
                <w:sz w:val="20"/>
                <w:szCs w:val="20"/>
                <w:color w:val="auto"/>
              </w:rPr>
            </w:pPr>
          </w:p>
        </w:tc>
        <w:tc>
          <w:tcPr>
            <w:tcW w:w="160" w:type="dxa"/>
            <w:vAlign w:val="bottom"/>
            <w:shd w:val="clear" w:color="auto" w:fill="FFC080"/>
          </w:tcPr>
          <w:p>
            <w:pPr>
              <w:spacing w:after="0"/>
              <w:rPr>
                <w:sz w:val="20"/>
                <w:szCs w:val="20"/>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FFC080"/>
          </w:tcPr>
          <w:p>
            <w:pPr>
              <w:spacing w:after="0"/>
              <w:rPr>
                <w:sz w:val="20"/>
                <w:szCs w:val="20"/>
                <w:color w:val="auto"/>
              </w:rPr>
            </w:pPr>
          </w:p>
        </w:tc>
        <w:tc>
          <w:tcPr>
            <w:tcW w:w="280" w:type="dxa"/>
            <w:vAlign w:val="bottom"/>
            <w:shd w:val="clear" w:color="auto" w:fill="FFC080"/>
          </w:tcPr>
          <w:p>
            <w:pPr>
              <w:spacing w:after="0"/>
              <w:rPr>
                <w:sz w:val="20"/>
                <w:szCs w:val="20"/>
                <w:color w:val="auto"/>
              </w:rPr>
            </w:pP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39,034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shd w:val="clear" w:color="auto" w:fill="FFC080"/>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FFC080"/>
          </w:tcPr>
          <w:p>
            <w:pPr>
              <w:spacing w:after="0"/>
              <w:rPr>
                <w:sz w:val="19"/>
                <w:szCs w:val="19"/>
                <w:color w:val="auto"/>
              </w:rPr>
            </w:pPr>
          </w:p>
        </w:tc>
        <w:tc>
          <w:tcPr>
            <w:tcW w:w="160" w:type="dxa"/>
            <w:vAlign w:val="bottom"/>
            <w:shd w:val="clear" w:color="auto" w:fill="FFC080"/>
          </w:tcPr>
          <w:p>
            <w:pPr>
              <w:spacing w:after="0"/>
              <w:rPr>
                <w:sz w:val="19"/>
                <w:szCs w:val="19"/>
                <w:color w:val="auto"/>
              </w:rPr>
            </w:pPr>
          </w:p>
        </w:tc>
        <w:tc>
          <w:tcPr>
            <w:tcW w:w="14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(8,164)</w:t>
            </w:r>
          </w:p>
        </w:tc>
        <w:tc>
          <w:tcPr>
            <w:tcW w:w="80" w:type="dxa"/>
            <w:vAlign w:val="bottom"/>
            <w:shd w:val="clear" w:color="auto" w:fill="FFC080"/>
          </w:tcPr>
          <w:p>
            <w:pPr>
              <w:spacing w:after="0"/>
              <w:rPr>
                <w:sz w:val="19"/>
                <w:szCs w:val="19"/>
                <w:color w:val="auto"/>
              </w:rPr>
            </w:pPr>
          </w:p>
        </w:tc>
        <w:tc>
          <w:tcPr>
            <w:tcW w:w="280" w:type="dxa"/>
            <w:vAlign w:val="bottom"/>
            <w:shd w:val="clear" w:color="auto" w:fill="FFC080"/>
          </w:tcPr>
          <w:p>
            <w:pPr>
              <w:spacing w:after="0"/>
              <w:rPr>
                <w:sz w:val="19"/>
                <w:szCs w:val="19"/>
                <w:color w:val="auto"/>
              </w:rPr>
            </w:pPr>
          </w:p>
        </w:tc>
        <w:tc>
          <w:tcPr>
            <w:tcW w:w="13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top w:val="single" w:sz="8" w:color="FFC080"/>
            </w:tcBorders>
          </w:tcPr>
          <w:p>
            <w:pPr>
              <w:ind w:left="4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FFC080"/>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30,879</w:t>
            </w:r>
          </w:p>
        </w:tc>
        <w:tc>
          <w:tcPr>
            <w:tcW w:w="140" w:type="dxa"/>
            <w:vAlign w:val="bottom"/>
            <w:tcBorders>
              <w:top w:val="single" w:sz="8" w:color="FFC080"/>
            </w:tcBorders>
          </w:tcPr>
          <w:p>
            <w:pPr>
              <w:spacing w:after="0"/>
              <w:rPr>
                <w:sz w:val="19"/>
                <w:szCs w:val="19"/>
                <w:color w:val="auto"/>
              </w:rPr>
            </w:pPr>
          </w:p>
        </w:tc>
        <w:tc>
          <w:tcPr>
            <w:tcW w:w="80" w:type="dxa"/>
            <w:vAlign w:val="bottom"/>
            <w:tcBorders>
              <w:top w:val="single" w:sz="8" w:color="FFC080"/>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29,098</w:t>
            </w:r>
          </w:p>
        </w:tc>
        <w:tc>
          <w:tcPr>
            <w:tcW w:w="100" w:type="dxa"/>
            <w:vAlign w:val="bottom"/>
            <w:tcBorders>
              <w:top w:val="single" w:sz="8" w:color="FFC080"/>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shd w:val="clear" w:color="auto" w:fill="FFC080"/>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41,526</w:t>
            </w:r>
          </w:p>
        </w:tc>
        <w:tc>
          <w:tcPr>
            <w:tcW w:w="360" w:type="dxa"/>
            <w:vAlign w:val="bottom"/>
            <w:gridSpan w:val="2"/>
            <w:shd w:val="clear" w:color="auto" w:fill="FFC080"/>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FFC080"/>
            </w:tcBorders>
            <w:shd w:val="clear" w:color="auto" w:fill="FFC080"/>
          </w:tcPr>
          <w:p>
            <w:pPr>
              <w:spacing w:after="0" w:line="20" w:lineRule="exact"/>
              <w:rPr>
                <w:sz w:val="1"/>
                <w:szCs w:val="1"/>
                <w:color w:val="auto"/>
              </w:rPr>
            </w:pPr>
          </w:p>
        </w:tc>
        <w:tc>
          <w:tcPr>
            <w:tcW w:w="140" w:type="dxa"/>
            <w:vAlign w:val="bottom"/>
            <w:tcBorders>
              <w:top w:val="single" w:sz="8" w:color="FFC080"/>
            </w:tcBorders>
            <w:shd w:val="clear" w:color="auto" w:fill="FFC08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FC080"/>
            </w:tcBorders>
            <w:shd w:val="clear" w:color="auto" w:fill="FFC08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FC080"/>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10,359</w:t>
            </w:r>
          </w:p>
        </w:tc>
        <w:tc>
          <w:tcPr>
            <w:tcW w:w="28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7,646</w:t>
            </w:r>
          </w:p>
        </w:tc>
        <w:tc>
          <w:tcPr>
            <w:tcW w:w="140" w:type="dxa"/>
            <w:vAlign w:val="bottom"/>
            <w:shd w:val="clear" w:color="auto" w:fill="FFC080"/>
          </w:tcPr>
          <w:p>
            <w:pPr>
              <w:spacing w:after="0"/>
              <w:rPr>
                <w:sz w:val="18"/>
                <w:szCs w:val="18"/>
                <w:color w:val="auto"/>
              </w:rPr>
            </w:pPr>
          </w:p>
        </w:tc>
        <w:tc>
          <w:tcPr>
            <w:tcW w:w="20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28,652</w:t>
            </w:r>
          </w:p>
        </w:tc>
        <w:tc>
          <w:tcPr>
            <w:tcW w:w="22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goods sold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11,542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60" w:type="dxa"/>
            <w:vAlign w:val="bottom"/>
            <w:shd w:val="clear" w:color="auto" w:fill="FFC080"/>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FFC080"/>
          </w:tcPr>
          <w:p>
            <w:pPr>
              <w:spacing w:after="0"/>
              <w:rPr>
                <w:sz w:val="19"/>
                <w:szCs w:val="19"/>
                <w:color w:val="auto"/>
              </w:rPr>
            </w:pPr>
          </w:p>
        </w:tc>
        <w:tc>
          <w:tcPr>
            <w:tcW w:w="160" w:type="dxa"/>
            <w:vAlign w:val="bottom"/>
            <w:shd w:val="clear" w:color="auto" w:fill="FFC080"/>
          </w:tcPr>
          <w:p>
            <w:pPr>
              <w:spacing w:after="0"/>
              <w:rPr>
                <w:sz w:val="19"/>
                <w:szCs w:val="19"/>
                <w:color w:val="auto"/>
              </w:rPr>
            </w:pP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6,254</w:t>
            </w:r>
          </w:p>
        </w:tc>
        <w:tc>
          <w:tcPr>
            <w:tcW w:w="140" w:type="dxa"/>
            <w:vAlign w:val="bottom"/>
            <w:shd w:val="clear" w:color="auto" w:fill="FFC080"/>
          </w:tcPr>
          <w:p>
            <w:pPr>
              <w:spacing w:after="0"/>
              <w:rPr>
                <w:sz w:val="19"/>
                <w:szCs w:val="19"/>
                <w:color w:val="auto"/>
              </w:rPr>
            </w:pPr>
          </w:p>
        </w:tc>
        <w:tc>
          <w:tcPr>
            <w:tcW w:w="140" w:type="dxa"/>
            <w:vAlign w:val="bottom"/>
            <w:shd w:val="clear" w:color="auto" w:fill="FFC080"/>
          </w:tcPr>
          <w:p>
            <w:pPr>
              <w:spacing w:after="0"/>
              <w:rPr>
                <w:sz w:val="19"/>
                <w:szCs w:val="19"/>
                <w:color w:val="auto"/>
              </w:rPr>
            </w:pP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3,954</w:t>
            </w:r>
          </w:p>
        </w:tc>
        <w:tc>
          <w:tcPr>
            <w:tcW w:w="140" w:type="dxa"/>
            <w:vAlign w:val="bottom"/>
            <w:shd w:val="clear" w:color="auto" w:fill="FFC080"/>
          </w:tcPr>
          <w:p>
            <w:pPr>
              <w:spacing w:after="0"/>
              <w:rPr>
                <w:sz w:val="19"/>
                <w:szCs w:val="19"/>
                <w:color w:val="auto"/>
              </w:rPr>
            </w:pPr>
          </w:p>
        </w:tc>
        <w:tc>
          <w:tcPr>
            <w:tcW w:w="80" w:type="dxa"/>
            <w:vAlign w:val="bottom"/>
            <w:shd w:val="clear" w:color="auto" w:fill="FFC080"/>
          </w:tcPr>
          <w:p>
            <w:pPr>
              <w:spacing w:after="0"/>
              <w:rPr>
                <w:sz w:val="19"/>
                <w:szCs w:val="19"/>
                <w:color w:val="auto"/>
              </w:rPr>
            </w:pPr>
          </w:p>
        </w:tc>
        <w:tc>
          <w:tcPr>
            <w:tcW w:w="120" w:type="dxa"/>
            <w:vAlign w:val="bottom"/>
            <w:shd w:val="clear" w:color="auto" w:fill="FFC080"/>
          </w:tcPr>
          <w:p>
            <w:pPr>
              <w:spacing w:after="0"/>
              <w:rPr>
                <w:sz w:val="19"/>
                <w:szCs w:val="19"/>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17,110</w:t>
            </w:r>
          </w:p>
        </w:tc>
        <w:tc>
          <w:tcPr>
            <w:tcW w:w="80" w:type="dxa"/>
            <w:vAlign w:val="bottom"/>
            <w:shd w:val="clear" w:color="auto" w:fill="FFC080"/>
          </w:tcPr>
          <w:p>
            <w:pPr>
              <w:spacing w:after="0"/>
              <w:rPr>
                <w:sz w:val="19"/>
                <w:szCs w:val="19"/>
                <w:color w:val="auto"/>
              </w:rPr>
            </w:pPr>
          </w:p>
        </w:tc>
        <w:tc>
          <w:tcPr>
            <w:tcW w:w="140" w:type="dxa"/>
            <w:vAlign w:val="bottom"/>
            <w:shd w:val="clear" w:color="auto" w:fill="FFC080"/>
          </w:tcPr>
          <w:p>
            <w:pPr>
              <w:spacing w:after="0"/>
              <w:rPr>
                <w:sz w:val="19"/>
                <w:szCs w:val="19"/>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11,181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Borders>
              <w:top w:val="single" w:sz="8" w:color="FFC080"/>
            </w:tcBorders>
          </w:tcPr>
          <w:p>
            <w:pPr>
              <w:spacing w:after="0"/>
              <w:rPr>
                <w:sz w:val="18"/>
                <w:szCs w:val="18"/>
                <w:color w:val="auto"/>
              </w:rPr>
            </w:pPr>
          </w:p>
        </w:tc>
        <w:tc>
          <w:tcPr>
            <w:tcW w:w="720" w:type="dxa"/>
            <w:vAlign w:val="bottom"/>
            <w:tcBorders>
              <w:top w:val="single" w:sz="8" w:color="FFC080"/>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FFC080"/>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80" w:type="dxa"/>
            <w:vAlign w:val="bottom"/>
            <w:tcBorders>
              <w:top w:val="single" w:sz="8" w:color="FFC080"/>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80" w:type="dxa"/>
            <w:vAlign w:val="bottom"/>
            <w:tcBorders>
              <w:top w:val="single" w:sz="8" w:color="FFC080"/>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FFC080"/>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6,328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FC080"/>
          </w:tcPr>
          <w:p>
            <w:pPr>
              <w:spacing w:after="0"/>
              <w:rPr>
                <w:sz w:val="20"/>
                <w:szCs w:val="20"/>
                <w:color w:val="auto"/>
              </w:rPr>
            </w:pPr>
            <w:r>
              <w:rPr>
                <w:rFonts w:ascii="Arial" w:cs="Arial" w:eastAsia="Arial" w:hAnsi="Arial"/>
                <w:sz w:val="18"/>
                <w:szCs w:val="18"/>
                <w:color w:val="auto"/>
              </w:rPr>
              <w:t>Research and product development</w:t>
            </w:r>
          </w:p>
        </w:tc>
        <w:tc>
          <w:tcPr>
            <w:tcW w:w="7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2,124</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1,668</w:t>
            </w: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5,772</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3,252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FC080"/>
          </w:tcPr>
          <w:p>
            <w:pPr>
              <w:spacing w:after="0"/>
              <w:rPr>
                <w:sz w:val="20"/>
                <w:szCs w:val="20"/>
                <w:color w:val="auto"/>
              </w:rPr>
            </w:pPr>
            <w:r>
              <w:rPr>
                <w:rFonts w:ascii="Arial" w:cs="Arial" w:eastAsia="Arial" w:hAnsi="Arial"/>
                <w:sz w:val="18"/>
                <w:szCs w:val="18"/>
                <w:color w:val="auto"/>
              </w:rPr>
              <w:t>Insurance settlement</w:t>
            </w:r>
          </w:p>
        </w:tc>
        <w:tc>
          <w:tcPr>
            <w:tcW w:w="7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FFC080"/>
          </w:tcPr>
          <w:p>
            <w:pPr>
              <w:spacing w:after="0"/>
              <w:rPr>
                <w:sz w:val="2"/>
                <w:szCs w:val="2"/>
                <w:color w:val="auto"/>
              </w:rPr>
            </w:pPr>
          </w:p>
        </w:tc>
        <w:tc>
          <w:tcPr>
            <w:tcW w:w="720" w:type="dxa"/>
            <w:vAlign w:val="bottom"/>
            <w:shd w:val="clear" w:color="auto" w:fill="FFC08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5,473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15,352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FFC080"/>
          </w:tcPr>
          <w:p>
            <w:pPr>
              <w:spacing w:after="0"/>
              <w:rPr>
                <w:sz w:val="18"/>
                <w:szCs w:val="18"/>
                <w:color w:val="auto"/>
              </w:rPr>
            </w:pPr>
          </w:p>
        </w:tc>
        <w:tc>
          <w:tcPr>
            <w:tcW w:w="720" w:type="dxa"/>
            <w:vAlign w:val="bottom"/>
            <w:shd w:val="clear" w:color="auto" w:fill="FFC080"/>
          </w:tcPr>
          <w:p>
            <w:pPr>
              <w:spacing w:after="0"/>
              <w:rPr>
                <w:sz w:val="18"/>
                <w:szCs w:val="18"/>
                <w:color w:val="auto"/>
              </w:rPr>
            </w:pPr>
          </w:p>
        </w:tc>
        <w:tc>
          <w:tcPr>
            <w:tcW w:w="160" w:type="dxa"/>
            <w:vAlign w:val="bottom"/>
            <w:tcBorders>
              <w:top w:val="single" w:sz="8" w:color="auto"/>
            </w:tcBorders>
            <w:shd w:val="clear" w:color="auto" w:fill="FFC080"/>
          </w:tcPr>
          <w:p>
            <w:pPr>
              <w:spacing w:after="0"/>
              <w:rPr>
                <w:sz w:val="18"/>
                <w:szCs w:val="18"/>
                <w:color w:val="auto"/>
              </w:rPr>
            </w:pPr>
          </w:p>
        </w:tc>
        <w:tc>
          <w:tcPr>
            <w:tcW w:w="1340" w:type="dxa"/>
            <w:vAlign w:val="bottom"/>
            <w:tcBorders>
              <w:top w:val="single" w:sz="8" w:color="auto"/>
            </w:tcBorders>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 w:type="dxa"/>
            <w:vAlign w:val="bottom"/>
            <w:tcBorders>
              <w:top w:val="single" w:sz="8" w:color="auto"/>
            </w:tcBorders>
            <w:shd w:val="clear" w:color="auto" w:fill="FFC080"/>
          </w:tcPr>
          <w:p>
            <w:pPr>
              <w:spacing w:after="0"/>
              <w:rPr>
                <w:sz w:val="18"/>
                <w:szCs w:val="18"/>
                <w:color w:val="auto"/>
              </w:rPr>
            </w:pPr>
          </w:p>
        </w:tc>
        <w:tc>
          <w:tcPr>
            <w:tcW w:w="134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20" w:type="dxa"/>
            <w:vAlign w:val="bottom"/>
            <w:tcBorders>
              <w:top w:val="single" w:sz="8" w:color="auto"/>
            </w:tcBorders>
            <w:shd w:val="clear" w:color="auto" w:fill="FFC080"/>
          </w:tcPr>
          <w:p>
            <w:pPr>
              <w:spacing w:after="0"/>
              <w:rPr>
                <w:sz w:val="18"/>
                <w:szCs w:val="18"/>
                <w:color w:val="auto"/>
              </w:rPr>
            </w:pPr>
          </w:p>
        </w:tc>
        <w:tc>
          <w:tcPr>
            <w:tcW w:w="134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tcBorders>
              <w:top w:val="single" w:sz="8" w:color="auto"/>
            </w:tcBorders>
            <w:shd w:val="clear" w:color="auto" w:fill="FFC080"/>
          </w:tcPr>
          <w:p>
            <w:pPr>
              <w:spacing w:after="0"/>
              <w:rPr>
                <w:sz w:val="18"/>
                <w:szCs w:val="18"/>
                <w:color w:val="auto"/>
              </w:rPr>
            </w:pPr>
          </w:p>
        </w:tc>
        <w:tc>
          <w:tcPr>
            <w:tcW w:w="134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FFC080"/>
          </w:tcPr>
          <w:p>
            <w:pPr>
              <w:spacing w:after="0"/>
              <w:rPr>
                <w:sz w:val="18"/>
                <w:szCs w:val="18"/>
                <w:color w:val="auto"/>
              </w:rPr>
            </w:pPr>
          </w:p>
        </w:tc>
        <w:tc>
          <w:tcPr>
            <w:tcW w:w="7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FFC080"/>
            </w:tcBorders>
            <w:shd w:val="clear" w:color="auto" w:fill="FFC080"/>
          </w:tcPr>
          <w:p>
            <w:pPr>
              <w:spacing w:after="0"/>
              <w:rPr>
                <w:sz w:val="19"/>
                <w:szCs w:val="19"/>
                <w:color w:val="auto"/>
              </w:rPr>
            </w:pPr>
          </w:p>
        </w:tc>
        <w:tc>
          <w:tcPr>
            <w:tcW w:w="720" w:type="dxa"/>
            <w:vAlign w:val="bottom"/>
            <w:tcBorders>
              <w:bottom w:val="single" w:sz="8" w:color="FFC080"/>
            </w:tcBorders>
            <w:shd w:val="clear" w:color="auto" w:fill="FFC080"/>
          </w:tcPr>
          <w:p>
            <w:pPr>
              <w:spacing w:after="0"/>
              <w:rPr>
                <w:sz w:val="19"/>
                <w:szCs w:val="19"/>
                <w:color w:val="auto"/>
              </w:rPr>
            </w:pPr>
          </w:p>
        </w:tc>
        <w:tc>
          <w:tcPr>
            <w:tcW w:w="16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spacing w:after="0"/>
              <w:rPr>
                <w:sz w:val="19"/>
                <w:szCs w:val="19"/>
                <w:color w:val="auto"/>
              </w:rPr>
            </w:pPr>
          </w:p>
        </w:tc>
        <w:tc>
          <w:tcPr>
            <w:tcW w:w="12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spacing w:after="0"/>
              <w:rPr>
                <w:sz w:val="19"/>
                <w:szCs w:val="19"/>
                <w:color w:val="auto"/>
              </w:rPr>
            </w:pPr>
          </w:p>
        </w:tc>
        <w:tc>
          <w:tcPr>
            <w:tcW w:w="140" w:type="dxa"/>
            <w:vAlign w:val="bottom"/>
            <w:tcBorders>
              <w:bottom w:val="single" w:sz="8" w:color="FFC080"/>
            </w:tcBorders>
            <w:shd w:val="clear" w:color="auto" w:fill="FFC080"/>
          </w:tcPr>
          <w:p>
            <w:pPr>
              <w:spacing w:after="0"/>
              <w:rPr>
                <w:sz w:val="19"/>
                <w:szCs w:val="19"/>
                <w:color w:val="auto"/>
              </w:rPr>
            </w:pPr>
          </w:p>
        </w:tc>
        <w:tc>
          <w:tcPr>
            <w:tcW w:w="8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spacing w:after="0"/>
              <w:rPr>
                <w:sz w:val="19"/>
                <w:szCs w:val="19"/>
                <w:color w:val="auto"/>
              </w:rPr>
            </w:pPr>
          </w:p>
        </w:tc>
        <w:tc>
          <w:tcPr>
            <w:tcW w:w="140" w:type="dxa"/>
            <w:vAlign w:val="bottom"/>
            <w:tcBorders>
              <w:bottom w:val="single" w:sz="8" w:color="FFC080"/>
            </w:tcBorders>
            <w:shd w:val="clear" w:color="auto" w:fill="FFC080"/>
          </w:tcPr>
          <w:p>
            <w:pPr>
              <w:spacing w:after="0"/>
              <w:rPr>
                <w:sz w:val="19"/>
                <w:szCs w:val="19"/>
                <w:color w:val="auto"/>
              </w:rPr>
            </w:pPr>
          </w:p>
        </w:tc>
        <w:tc>
          <w:tcPr>
            <w:tcW w:w="8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FC080"/>
          </w:tcPr>
          <w:p>
            <w:pPr>
              <w:spacing w:after="0"/>
              <w:rPr>
                <w:sz w:val="20"/>
                <w:szCs w:val="20"/>
                <w:color w:val="auto"/>
              </w:rPr>
            </w:pPr>
            <w:r>
              <w:rPr>
                <w:rFonts w:ascii="Arial" w:cs="Arial" w:eastAsia="Arial" w:hAnsi="Arial"/>
                <w:sz w:val="18"/>
                <w:szCs w:val="18"/>
                <w:color w:val="auto"/>
              </w:rPr>
              <w:t>Benefit from (provision for) income taxes</w:t>
            </w:r>
          </w:p>
        </w:tc>
        <w:tc>
          <w:tcPr>
            <w:tcW w:w="7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FFC080"/>
          </w:tcPr>
          <w:p>
            <w:pPr>
              <w:spacing w:after="0"/>
              <w:rPr>
                <w:sz w:val="2"/>
                <w:szCs w:val="2"/>
                <w:color w:val="auto"/>
              </w:rPr>
            </w:pPr>
          </w:p>
        </w:tc>
        <w:tc>
          <w:tcPr>
            <w:tcW w:w="720" w:type="dxa"/>
            <w:vAlign w:val="bottom"/>
            <w:shd w:val="clear" w:color="auto" w:fill="FFC08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987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1,557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shd w:val="clear" w:color="auto" w:fill="FFC080"/>
          </w:tcPr>
          <w:p>
            <w:pPr>
              <w:spacing w:after="0"/>
              <w:rPr>
                <w:sz w:val="18"/>
                <w:szCs w:val="18"/>
                <w:color w:val="auto"/>
              </w:rPr>
            </w:pPr>
          </w:p>
        </w:tc>
        <w:tc>
          <w:tcPr>
            <w:tcW w:w="7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FFC080"/>
          </w:tcPr>
          <w:p>
            <w:pPr>
              <w:spacing w:after="0"/>
              <w:rPr>
                <w:sz w:val="20"/>
                <w:szCs w:val="20"/>
                <w:color w:val="auto"/>
              </w:rPr>
            </w:pPr>
            <w:r>
              <w:rPr>
                <w:rFonts w:ascii="Arial" w:cs="Arial" w:eastAsia="Arial" w:hAnsi="Arial"/>
                <w:sz w:val="18"/>
                <w:szCs w:val="18"/>
                <w:color w:val="auto"/>
              </w:rPr>
              <w:t>Diluted earnings (loss) per common share</w:t>
            </w:r>
          </w:p>
        </w:tc>
        <w:tc>
          <w:tcPr>
            <w:tcW w:w="88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0.17</w:t>
            </w:r>
          </w:p>
        </w:tc>
        <w:tc>
          <w:tcPr>
            <w:tcW w:w="22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FFC080"/>
          </w:tcPr>
          <w:p>
            <w:pPr>
              <w:spacing w:after="0"/>
              <w:rPr>
                <w:sz w:val="20"/>
                <w:szCs w:val="20"/>
                <w:color w:val="auto"/>
              </w:rPr>
            </w:pPr>
            <w:r>
              <w:rPr>
                <w:rFonts w:ascii="Arial" w:cs="Arial" w:eastAsia="Arial" w:hAnsi="Arial"/>
                <w:sz w:val="18"/>
                <w:szCs w:val="18"/>
                <w:color w:val="auto"/>
              </w:rPr>
              <w:t>Basic weighted average shares outstanding</w:t>
            </w:r>
          </w:p>
        </w:tc>
        <w:tc>
          <w:tcPr>
            <w:tcW w:w="7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8,929,342</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8,928,897</w:t>
            </w: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8,929,266</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8,923,869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9,108,102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9,052,070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9,095,879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9,043,977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1,557</w:t>
            </w:r>
          </w:p>
        </w:tc>
        <w:tc>
          <w:tcPr>
            <w:tcW w:w="22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(used in) operations: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Write-off of inventory</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Loss on disposal of assets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Provision for doubtful accounts</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Receivables</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(2,441)</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Note receivable</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2,344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609</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Accrued liabilities</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1,324</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Deferred product revenue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Other assets/liabilities, net</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(932)</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shd w:val="clear" w:color="auto" w:fill="FFC080"/>
          </w:tcPr>
          <w:p>
            <w:pPr>
              <w:spacing w:after="0"/>
              <w:rPr>
                <w:sz w:val="2"/>
                <w:szCs w:val="2"/>
                <w:color w:val="auto"/>
              </w:rPr>
            </w:pPr>
          </w:p>
        </w:tc>
        <w:tc>
          <w:tcPr>
            <w:tcW w:w="880" w:type="dxa"/>
            <w:vAlign w:val="bottom"/>
            <w:shd w:val="clear" w:color="auto" w:fill="FFC08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4,420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shd w:val="clear" w:color="auto" w:fill="FFC080"/>
          </w:tcPr>
          <w:p>
            <w:pPr>
              <w:spacing w:after="0"/>
              <w:rPr>
                <w:sz w:val="18"/>
                <w:szCs w:val="18"/>
                <w:color w:val="auto"/>
              </w:rPr>
            </w:pPr>
          </w:p>
        </w:tc>
        <w:tc>
          <w:tcPr>
            <w:tcW w:w="880" w:type="dxa"/>
            <w:vAlign w:val="bottom"/>
            <w:shd w:val="clear" w:color="auto" w:fill="FFC080"/>
          </w:tcPr>
          <w:p>
            <w:pPr>
              <w:spacing w:after="0"/>
              <w:rPr>
                <w:sz w:val="18"/>
                <w:szCs w:val="18"/>
                <w:color w:val="auto"/>
              </w:rPr>
            </w:pPr>
          </w:p>
        </w:tc>
        <w:tc>
          <w:tcPr>
            <w:tcW w:w="160" w:type="dxa"/>
            <w:vAlign w:val="bottom"/>
            <w:tcBorders>
              <w:top w:val="single" w:sz="8" w:color="auto"/>
            </w:tcBorders>
            <w:shd w:val="clear" w:color="auto" w:fill="FFC080"/>
          </w:tcPr>
          <w:p>
            <w:pPr>
              <w:spacing w:after="0"/>
              <w:rPr>
                <w:sz w:val="18"/>
                <w:szCs w:val="18"/>
                <w:color w:val="auto"/>
              </w:rPr>
            </w:pPr>
          </w:p>
        </w:tc>
        <w:tc>
          <w:tcPr>
            <w:tcW w:w="1340" w:type="dxa"/>
            <w:vAlign w:val="bottom"/>
            <w:tcBorders>
              <w:top w:val="single" w:sz="8" w:color="auto"/>
            </w:tcBorders>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tcBorders>
              <w:top w:val="single" w:sz="8" w:color="auto"/>
            </w:tcBorders>
            <w:shd w:val="clear" w:color="auto" w:fill="FFC080"/>
          </w:tcPr>
          <w:p>
            <w:pPr>
              <w:spacing w:after="0"/>
              <w:rPr>
                <w:sz w:val="18"/>
                <w:szCs w:val="18"/>
                <w:color w:val="auto"/>
              </w:rPr>
            </w:pPr>
          </w:p>
        </w:tc>
        <w:tc>
          <w:tcPr>
            <w:tcW w:w="1340" w:type="dxa"/>
            <w:vAlign w:val="bottom"/>
            <w:tcBorders>
              <w:top w:val="single" w:sz="8" w:color="auto"/>
            </w:tcBorders>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Escrow proceeds received pursuant to NetStreams acquisition</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Purchase of property and equipment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Purchase of marketable securities</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Sale of marketable securities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20" w:type="dxa"/>
            <w:vAlign w:val="bottom"/>
            <w:shd w:val="clear" w:color="auto" w:fill="FFC080"/>
          </w:tcPr>
          <w:p>
            <w:pPr>
              <w:spacing w:after="0"/>
              <w:rPr>
                <w:sz w:val="20"/>
                <w:szCs w:val="20"/>
                <w:color w:val="auto"/>
              </w:rPr>
            </w:pPr>
            <w:r>
              <w:rPr>
                <w:rFonts w:ascii="Arial" w:cs="Arial" w:eastAsia="Arial" w:hAnsi="Arial"/>
                <w:sz w:val="18"/>
                <w:szCs w:val="18"/>
                <w:color w:val="auto"/>
              </w:rPr>
              <w:t>Net cash (used in) provided by investing activities</w:t>
            </w:r>
          </w:p>
        </w:tc>
        <w:tc>
          <w:tcPr>
            <w:tcW w:w="880" w:type="dxa"/>
            <w:vAlign w:val="bottom"/>
            <w:shd w:val="clear" w:color="auto" w:fill="FFC080"/>
          </w:tcPr>
          <w:p>
            <w:pPr>
              <w:spacing w:after="0"/>
              <w:rPr>
                <w:sz w:val="19"/>
                <w:szCs w:val="19"/>
                <w:color w:val="auto"/>
              </w:rPr>
            </w:pPr>
          </w:p>
        </w:tc>
        <w:tc>
          <w:tcPr>
            <w:tcW w:w="160" w:type="dxa"/>
            <w:vAlign w:val="bottom"/>
            <w:shd w:val="clear" w:color="auto" w:fill="FFC080"/>
          </w:tcPr>
          <w:p>
            <w:pPr>
              <w:spacing w:after="0"/>
              <w:rPr>
                <w:sz w:val="19"/>
                <w:szCs w:val="19"/>
                <w:color w:val="auto"/>
              </w:rPr>
            </w:pPr>
          </w:p>
        </w:tc>
        <w:tc>
          <w:tcPr>
            <w:tcW w:w="14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FFC080"/>
          </w:tcPr>
          <w:p>
            <w:pPr>
              <w:spacing w:after="0"/>
              <w:rPr>
                <w:sz w:val="19"/>
                <w:szCs w:val="19"/>
                <w:color w:val="auto"/>
              </w:rPr>
            </w:pPr>
          </w:p>
        </w:tc>
        <w:tc>
          <w:tcPr>
            <w:tcW w:w="140" w:type="dxa"/>
            <w:vAlign w:val="bottom"/>
            <w:shd w:val="clear" w:color="auto" w:fill="FFC080"/>
          </w:tcPr>
          <w:p>
            <w:pPr>
              <w:spacing w:after="0"/>
              <w:rPr>
                <w:sz w:val="19"/>
                <w:szCs w:val="19"/>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Borders>
              <w:top w:val="single" w:sz="8" w:color="FFC080"/>
            </w:tcBorders>
          </w:tcPr>
          <w:p>
            <w:pPr>
              <w:spacing w:after="0"/>
              <w:rPr>
                <w:sz w:val="18"/>
                <w:szCs w:val="18"/>
                <w:color w:val="auto"/>
              </w:rPr>
            </w:pPr>
          </w:p>
        </w:tc>
        <w:tc>
          <w:tcPr>
            <w:tcW w:w="880" w:type="dxa"/>
            <w:vAlign w:val="bottom"/>
            <w:tcBorders>
              <w:top w:val="single" w:sz="8" w:color="FFC080"/>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80" w:type="dxa"/>
            <w:vAlign w:val="bottom"/>
            <w:tcBorders>
              <w:top w:val="single" w:sz="8" w:color="FFC080"/>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FFC080"/>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Proceeds from the issuance of common stock - options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Principal payments on long-term debt</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Tax benefit from stock options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20" w:type="dxa"/>
            <w:vAlign w:val="bottom"/>
            <w:shd w:val="clear" w:color="auto" w:fill="FFC080"/>
          </w:tcPr>
          <w:p>
            <w:pPr>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shd w:val="clear" w:color="auto" w:fill="FFC080"/>
          </w:tcPr>
          <w:p>
            <w:pPr>
              <w:spacing w:after="0"/>
              <w:rPr>
                <w:sz w:val="19"/>
                <w:szCs w:val="19"/>
                <w:color w:val="auto"/>
              </w:rPr>
            </w:pPr>
          </w:p>
        </w:tc>
        <w:tc>
          <w:tcPr>
            <w:tcW w:w="160" w:type="dxa"/>
            <w:vAlign w:val="bottom"/>
            <w:shd w:val="clear" w:color="auto" w:fill="FFC080"/>
          </w:tcPr>
          <w:p>
            <w:pPr>
              <w:spacing w:after="0"/>
              <w:rPr>
                <w:sz w:val="19"/>
                <w:szCs w:val="19"/>
                <w:color w:val="auto"/>
              </w:rPr>
            </w:pPr>
          </w:p>
        </w:tc>
        <w:tc>
          <w:tcPr>
            <w:tcW w:w="14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FFC080"/>
          </w:tcPr>
          <w:p>
            <w:pPr>
              <w:spacing w:after="0"/>
              <w:rPr>
                <w:sz w:val="19"/>
                <w:szCs w:val="19"/>
                <w:color w:val="auto"/>
              </w:rPr>
            </w:pPr>
          </w:p>
        </w:tc>
        <w:tc>
          <w:tcPr>
            <w:tcW w:w="140" w:type="dxa"/>
            <w:vAlign w:val="bottom"/>
            <w:shd w:val="clear" w:color="auto" w:fill="FFC080"/>
          </w:tcPr>
          <w:p>
            <w:pPr>
              <w:spacing w:after="0"/>
              <w:rPr>
                <w:sz w:val="19"/>
                <w:szCs w:val="19"/>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Borders>
              <w:top w:val="single" w:sz="8" w:color="FFC080"/>
            </w:tcBorders>
          </w:tcPr>
          <w:p>
            <w:pPr>
              <w:spacing w:after="0"/>
              <w:rPr>
                <w:sz w:val="18"/>
                <w:szCs w:val="18"/>
                <w:color w:val="auto"/>
              </w:rPr>
            </w:pPr>
          </w:p>
        </w:tc>
        <w:tc>
          <w:tcPr>
            <w:tcW w:w="880" w:type="dxa"/>
            <w:vAlign w:val="bottom"/>
            <w:tcBorders>
              <w:top w:val="single" w:sz="8" w:color="FFC080"/>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80" w:type="dxa"/>
            <w:vAlign w:val="bottom"/>
            <w:tcBorders>
              <w:top w:val="single" w:sz="8" w:color="FFC080"/>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FFC080"/>
          </w:tcPr>
          <w:p>
            <w:pPr>
              <w:spacing w:after="0"/>
              <w:rPr>
                <w:sz w:val="20"/>
                <w:szCs w:val="20"/>
                <w:color w:val="auto"/>
              </w:rPr>
            </w:pPr>
            <w:r>
              <w:rPr>
                <w:rFonts w:ascii="Arial" w:cs="Arial" w:eastAsia="Arial" w:hAnsi="Arial"/>
                <w:sz w:val="18"/>
                <w:szCs w:val="18"/>
                <w:color w:val="auto"/>
              </w:rPr>
              <w:t>Net increase in cash and cash equivalents</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9,494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20" w:type="dxa"/>
            <w:vAlign w:val="bottom"/>
            <w:shd w:val="clear" w:color="auto" w:fill="FFC080"/>
          </w:tcPr>
          <w:p>
            <w:pPr>
              <w:spacing w:after="0"/>
              <w:rPr>
                <w:sz w:val="20"/>
                <w:szCs w:val="20"/>
                <w:color w:val="auto"/>
              </w:rPr>
            </w:pPr>
            <w:r>
              <w:rPr>
                <w:rFonts w:ascii="Arial" w:cs="Arial" w:eastAsia="Arial" w:hAnsi="Arial"/>
                <w:sz w:val="18"/>
                <w:szCs w:val="18"/>
                <w:color w:val="auto"/>
              </w:rPr>
              <w:t>Cash and cash equivalents at the end of the period</w:t>
            </w:r>
          </w:p>
        </w:tc>
        <w:tc>
          <w:tcPr>
            <w:tcW w:w="880" w:type="dxa"/>
            <w:vAlign w:val="bottom"/>
            <w:shd w:val="clear" w:color="auto" w:fill="FFC080"/>
          </w:tcPr>
          <w:p>
            <w:pPr>
              <w:spacing w:after="0"/>
              <w:rPr>
                <w:sz w:val="22"/>
                <w:szCs w:val="22"/>
                <w:color w:val="auto"/>
              </w:rPr>
            </w:pPr>
          </w:p>
        </w:tc>
        <w:tc>
          <w:tcPr>
            <w:tcW w:w="16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11,516</w:t>
            </w:r>
          </w:p>
        </w:tc>
        <w:tc>
          <w:tcPr>
            <w:tcW w:w="22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Borders>
              <w:top w:val="single" w:sz="8" w:color="FFC080"/>
            </w:tcBorders>
          </w:tcPr>
          <w:p>
            <w:pPr>
              <w:spacing w:after="0"/>
              <w:rPr>
                <w:sz w:val="18"/>
                <w:szCs w:val="18"/>
                <w:color w:val="auto"/>
              </w:rPr>
            </w:pPr>
          </w:p>
        </w:tc>
        <w:tc>
          <w:tcPr>
            <w:tcW w:w="880" w:type="dxa"/>
            <w:vAlign w:val="bottom"/>
            <w:tcBorders>
              <w:top w:val="single" w:sz="8" w:color="FFC080"/>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80" w:type="dxa"/>
            <w:vAlign w:val="bottom"/>
            <w:tcBorders>
              <w:top w:val="single" w:sz="8" w:color="FFC080"/>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FFC080"/>
          </w:tcPr>
          <w:p>
            <w:pPr>
              <w:spacing w:after="0"/>
              <w:rPr>
                <w:sz w:val="20"/>
                <w:szCs w:val="20"/>
                <w:color w:val="auto"/>
              </w:rPr>
            </w:pPr>
            <w:r>
              <w:rPr>
                <w:rFonts w:ascii="Arial" w:cs="Arial" w:eastAsia="Arial" w:hAnsi="Arial"/>
                <w:sz w:val="18"/>
                <w:szCs w:val="18"/>
                <w:color w:val="auto"/>
              </w:rPr>
              <w:t>Supplemental disclosure of cash flow information:</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Cash paid for interest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Cash paid for income taxes</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FFC080"/>
          </w:tcPr>
          <w:p>
            <w:pPr>
              <w:spacing w:after="0"/>
              <w:rPr>
                <w:sz w:val="20"/>
                <w:szCs w:val="20"/>
                <w:color w:val="auto"/>
              </w:rPr>
            </w:pPr>
            <w:r>
              <w:rPr>
                <w:rFonts w:ascii="Arial" w:cs="Arial" w:eastAsia="Arial" w:hAnsi="Arial"/>
                <w:sz w:val="18"/>
                <w:szCs w:val="18"/>
                <w:color w:val="auto"/>
              </w:rPr>
              <w:t>Supplemental disclosure of non-cash activities:</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Exchanged deposits from a vendor with accounts payable to the same vendor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FFC080"/>
          </w:tcPr>
          <w:p>
            <w:pPr>
              <w:ind w:left="320"/>
              <w:spacing w:after="0"/>
              <w:rPr>
                <w:sz w:val="20"/>
                <w:szCs w:val="20"/>
                <w:color w:val="auto"/>
              </w:rPr>
            </w:pPr>
            <w:r>
              <w:rPr>
                <w:rFonts w:ascii="Arial" w:cs="Arial" w:eastAsia="Arial" w:hAnsi="Arial"/>
                <w:sz w:val="18"/>
                <w:szCs w:val="18"/>
                <w:color w:val="auto"/>
              </w:rPr>
              <w:t>Unrealized loss on marketable securities, net of tax of $0 and $19</w:t>
            </w:r>
          </w:p>
        </w:tc>
        <w:tc>
          <w:tcPr>
            <w:tcW w:w="88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Current liabilities reclassed to deferred rent</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CONDENSED CONSOLIDATED FINANCIAL STATEMENTS (Unaudited – Dollars in thousands)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fiscal year for ClearOne Communications, Inc. and its subsidiaries (collectively, “ClearOne” or the “Company”) is the 12 months ending on December</w:t>
      </w:r>
    </w:p>
    <w:p>
      <w:pPr>
        <w:spacing w:after="0" w:line="42"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interim consolidated financial statements for the three month and nine month periods ended September 30, 2010 and 2009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September 30, 2010, the results of operations for the thr ee and nine months ended September 30, 2010 and 2009, and the condensed statements of cash flows for the nine months ended September 30, 2010 and 2009. The results of operations for the three and nine months ended September 30, 2010 and 2009 are not necessarily indicative of the results for a full-year period. These interim consolidated financial statements should be read in conjunction with the financial statements included in our Annual Report on Form 10-K for the year ended June 30, 2009 and transition report on Form 10-KT for six months ended December 31, 2009 filed with the SEC.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 Goodwill and Intangibles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November 2009, the Company acquired NetStreams, Inc. and recorded an allocation of the associated purchase price.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goodwill retroactive to the period in which the acquisition occurred.</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three months ended March 31, 2010, the Company revised the amount of goodwill recorded on the acquisition of NetStreams, Inc. by $57 retrospectively to the acquisition date as of November 3, 2009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shd w:val="clear" w:color="auto" w:fill="FFC080"/>
          </w:tcPr>
          <w:p>
            <w:pPr>
              <w:spacing w:after="0"/>
              <w:rPr>
                <w:sz w:val="20"/>
                <w:szCs w:val="20"/>
                <w:color w:val="auto"/>
              </w:rPr>
            </w:pPr>
            <w:r>
              <w:rPr>
                <w:rFonts w:ascii="Arial" w:cs="Arial" w:eastAsia="Arial" w:hAnsi="Arial"/>
                <w:sz w:val="18"/>
                <w:szCs w:val="18"/>
                <w:color w:val="auto"/>
              </w:rPr>
              <w:t>Decrease in receivables</w:t>
            </w:r>
          </w:p>
        </w:tc>
        <w:tc>
          <w:tcPr>
            <w:tcW w:w="480" w:type="dxa"/>
            <w:vAlign w:val="bottom"/>
            <w:shd w:val="clear" w:color="auto" w:fill="FFC080"/>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FFC080"/>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FFC080"/>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Decrease in deferred income taxes - current</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23"/>
        </w:trPr>
        <w:tc>
          <w:tcPr>
            <w:tcW w:w="10180" w:type="dxa"/>
            <w:vAlign w:val="bottom"/>
            <w:shd w:val="clear" w:color="auto" w:fill="FFC080"/>
          </w:tcPr>
          <w:p>
            <w:pPr>
              <w:spacing w:after="0"/>
              <w:rPr>
                <w:sz w:val="20"/>
                <w:szCs w:val="20"/>
                <w:color w:val="auto"/>
              </w:rPr>
            </w:pPr>
            <w:r>
              <w:rPr>
                <w:rFonts w:ascii="Arial" w:cs="Arial" w:eastAsia="Arial" w:hAnsi="Arial"/>
                <w:sz w:val="18"/>
                <w:szCs w:val="18"/>
                <w:color w:val="auto"/>
              </w:rPr>
              <w:t>Increase in deferred income taxes - non current</w:t>
            </w:r>
          </w:p>
        </w:tc>
        <w:tc>
          <w:tcPr>
            <w:tcW w:w="480" w:type="dxa"/>
            <w:vAlign w:val="bottom"/>
            <w:shd w:val="clear" w:color="auto" w:fill="FFC080"/>
          </w:tcPr>
          <w:p>
            <w:pPr>
              <w:spacing w:after="0"/>
              <w:rPr>
                <w:sz w:val="19"/>
                <w:szCs w:val="19"/>
                <w:color w:val="auto"/>
              </w:rPr>
            </w:pPr>
          </w:p>
        </w:tc>
        <w:tc>
          <w:tcPr>
            <w:tcW w:w="76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10180" w:type="dxa"/>
            <w:vAlign w:val="bottom"/>
            <w:tcBorders>
              <w:top w:val="single" w:sz="8" w:color="FFC080"/>
            </w:tcBorders>
          </w:tcPr>
          <w:p>
            <w:pPr>
              <w:ind w:left="500"/>
              <w:spacing w:after="0"/>
              <w:rPr>
                <w:sz w:val="20"/>
                <w:szCs w:val="20"/>
                <w:color w:val="auto"/>
              </w:rPr>
            </w:pPr>
            <w:r>
              <w:rPr>
                <w:rFonts w:ascii="Arial" w:cs="Arial" w:eastAsia="Arial" w:hAnsi="Arial"/>
                <w:sz w:val="18"/>
                <w:szCs w:val="18"/>
                <w:color w:val="auto"/>
              </w:rPr>
              <w:t>Increase in goodwill</w:t>
            </w: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FFC080"/>
            </w:tcBorders>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consolidated balance sheets as of September 30, 2010 and December 31, 2009 reflect this adjustment. The adjustment was necessary to account for facts related to receivables acquired which became known to us during the three months ended March 31, 2010. No adjustment was made to goodwill since March 31, 2010. None of the amounts included in the goodwill are deductible for tax purposes.</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March 31, 2010, we received $350 from the sellers of NetStreams, Inc. out of the initial escrow deposit as a result of the final working capital adjustment prescribed in the acquisition agreement.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Intangibles as of September 30, 2010</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useful lives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Trade name</w:t>
            </w:r>
          </w:p>
        </w:tc>
        <w:tc>
          <w:tcPr>
            <w:tcW w:w="128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435</w:t>
            </w:r>
          </w:p>
        </w:tc>
        <w:tc>
          <w:tcPr>
            <w:tcW w:w="480" w:type="dxa"/>
            <w:vAlign w:val="bottom"/>
            <w:shd w:val="clear" w:color="auto" w:fill="FFC080"/>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56</w:t>
            </w:r>
          </w:p>
        </w:tc>
        <w:tc>
          <w:tcPr>
            <w:tcW w:w="520" w:type="dxa"/>
            <w:vAlign w:val="bottom"/>
            <w:gridSpan w:val="2"/>
            <w:shd w:val="clear" w:color="auto" w:fill="FFC080"/>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2,070</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Proprietary software</w:t>
            </w:r>
          </w:p>
        </w:tc>
        <w:tc>
          <w:tcPr>
            <w:tcW w:w="128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1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215</w:t>
            </w:r>
          </w:p>
        </w:tc>
        <w:tc>
          <w:tcPr>
            <w:tcW w:w="48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FFC080"/>
          </w:tcPr>
          <w:p>
            <w:pPr>
              <w:spacing w:after="0"/>
              <w:rPr>
                <w:sz w:val="18"/>
                <w:szCs w:val="18"/>
                <w:color w:val="auto"/>
              </w:rPr>
            </w:pPr>
          </w:p>
        </w:tc>
        <w:tc>
          <w:tcPr>
            <w:tcW w:w="400" w:type="dxa"/>
            <w:vAlign w:val="bottom"/>
            <w:shd w:val="clear" w:color="auto" w:fill="FFC080"/>
          </w:tcPr>
          <w:p>
            <w:pPr>
              <w:spacing w:after="0"/>
              <w:rPr>
                <w:sz w:val="18"/>
                <w:szCs w:val="18"/>
                <w:color w:val="auto"/>
              </w:rPr>
            </w:pPr>
          </w:p>
        </w:tc>
        <w:tc>
          <w:tcPr>
            <w:tcW w:w="8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FC080"/>
          </w:tcPr>
          <w:p>
            <w:pPr>
              <w:spacing w:after="0"/>
              <w:rPr>
                <w:sz w:val="18"/>
                <w:szCs w:val="18"/>
                <w:color w:val="auto"/>
              </w:rPr>
            </w:pPr>
          </w:p>
        </w:tc>
        <w:tc>
          <w:tcPr>
            <w:tcW w:w="116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9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2,769</w:t>
            </w:r>
          </w:p>
        </w:tc>
        <w:tc>
          <w:tcPr>
            <w:tcW w:w="200" w:type="dxa"/>
            <w:vAlign w:val="bottom"/>
            <w:shd w:val="clear" w:color="auto" w:fill="FFC080"/>
          </w:tcPr>
          <w:p>
            <w:pPr>
              <w:spacing w:after="0"/>
              <w:rPr>
                <w:sz w:val="18"/>
                <w:szCs w:val="18"/>
                <w:color w:val="auto"/>
              </w:rPr>
            </w:pPr>
          </w:p>
        </w:tc>
        <w:tc>
          <w:tcPr>
            <w:tcW w:w="48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FFC080"/>
          </w:tcPr>
          <w:p>
            <w:pPr>
              <w:spacing w:after="0"/>
              <w:rPr>
                <w:sz w:val="18"/>
                <w:szCs w:val="18"/>
                <w:color w:val="auto"/>
              </w:rPr>
            </w:pPr>
          </w:p>
        </w:tc>
        <w:tc>
          <w:tcPr>
            <w:tcW w:w="400" w:type="dxa"/>
            <w:vAlign w:val="bottom"/>
            <w:shd w:val="clear" w:color="auto" w:fill="FFC080"/>
          </w:tcPr>
          <w:p>
            <w:pPr>
              <w:spacing w:after="0"/>
              <w:rPr>
                <w:sz w:val="18"/>
                <w:szCs w:val="18"/>
                <w:color w:val="auto"/>
              </w:rPr>
            </w:pPr>
          </w:p>
        </w:tc>
        <w:tc>
          <w:tcPr>
            <w:tcW w:w="8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Indefinite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FFC080"/>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FFC080"/>
          </w:tcPr>
          <w:p>
            <w:pPr>
              <w:spacing w:after="0"/>
              <w:rPr>
                <w:sz w:val="20"/>
                <w:szCs w:val="20"/>
                <w:color w:val="auto"/>
              </w:rPr>
            </w:pPr>
          </w:p>
        </w:tc>
        <w:tc>
          <w:tcPr>
            <w:tcW w:w="120" w:type="dxa"/>
            <w:vAlign w:val="bottom"/>
            <w:shd w:val="clear" w:color="auto" w:fill="FFC080"/>
          </w:tcPr>
          <w:p>
            <w:pPr>
              <w:spacing w:after="0"/>
              <w:rPr>
                <w:sz w:val="20"/>
                <w:szCs w:val="20"/>
                <w:color w:val="auto"/>
              </w:rPr>
            </w:pPr>
          </w:p>
        </w:tc>
        <w:tc>
          <w:tcPr>
            <w:tcW w:w="2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FC080"/>
          </w:tcPr>
          <w:p>
            <w:pPr>
              <w:jc w:val="right"/>
              <w:ind w:right="200"/>
              <w:spacing w:after="0"/>
              <w:rPr>
                <w:sz w:val="20"/>
                <w:szCs w:val="20"/>
                <w:color w:val="auto"/>
              </w:rPr>
            </w:pPr>
            <w:r>
              <w:rPr>
                <w:rFonts w:ascii="Arial" w:cs="Arial" w:eastAsia="Arial" w:hAnsi="Arial"/>
                <w:sz w:val="18"/>
                <w:szCs w:val="18"/>
                <w:color w:val="auto"/>
              </w:rPr>
              <w:t>3,169</w:t>
            </w:r>
          </w:p>
        </w:tc>
        <w:tc>
          <w:tcPr>
            <w:tcW w:w="480" w:type="dxa"/>
            <w:vAlign w:val="bottom"/>
            <w:shd w:val="clear" w:color="auto" w:fill="FFC080"/>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337</w:t>
            </w:r>
          </w:p>
        </w:tc>
        <w:tc>
          <w:tcPr>
            <w:tcW w:w="520" w:type="dxa"/>
            <w:vAlign w:val="bottom"/>
            <w:gridSpan w:val="2"/>
            <w:shd w:val="clear" w:color="auto" w:fill="FFC080"/>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FFC080"/>
            </w:tcBorders>
            <w:shd w:val="clear" w:color="auto" w:fill="FFC080"/>
          </w:tcPr>
          <w:p>
            <w:pPr>
              <w:spacing w:after="0" w:line="20" w:lineRule="exact"/>
              <w:rPr>
                <w:sz w:val="1"/>
                <w:szCs w:val="1"/>
                <w:color w:val="auto"/>
              </w:rPr>
            </w:pPr>
          </w:p>
        </w:tc>
        <w:tc>
          <w:tcPr>
            <w:tcW w:w="116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FC080"/>
            </w:tcBorders>
            <w:shd w:val="clear" w:color="auto" w:fill="FFC08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amortization during the three and nine months ended September 30, 2010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ind w:lef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left="3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FFC080"/>
          </w:tcPr>
          <w:p>
            <w:pPr>
              <w:spacing w:after="0"/>
              <w:rPr>
                <w:sz w:val="20"/>
                <w:szCs w:val="20"/>
                <w:color w:val="auto"/>
              </w:rPr>
            </w:pPr>
            <w:r>
              <w:rPr>
                <w:rFonts w:ascii="Arial" w:cs="Arial" w:eastAsia="Arial" w:hAnsi="Arial"/>
                <w:sz w:val="18"/>
                <w:szCs w:val="18"/>
                <w:color w:val="auto"/>
              </w:rPr>
              <w:t>Amortization of intangibles with finite lives</w:t>
            </w:r>
          </w:p>
        </w:tc>
        <w:tc>
          <w:tcPr>
            <w:tcW w:w="52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88</w:t>
            </w:r>
          </w:p>
        </w:tc>
        <w:tc>
          <w:tcPr>
            <w:tcW w:w="1480" w:type="dxa"/>
            <w:vAlign w:val="bottom"/>
            <w:gridSpan w:val="2"/>
            <w:shd w:val="clear" w:color="auto" w:fill="FFC080"/>
          </w:tcPr>
          <w:p>
            <w:pPr>
              <w:jc w:val="right"/>
              <w:ind w:right="11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FC080"/>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263</w:t>
            </w:r>
          </w:p>
        </w:tc>
        <w:tc>
          <w:tcPr>
            <w:tcW w:w="360" w:type="dxa"/>
            <w:vAlign w:val="bottom"/>
            <w:gridSpan w:val="2"/>
            <w:shd w:val="clear" w:color="auto" w:fill="FFC080"/>
          </w:tcPr>
          <w:p>
            <w:pPr>
              <w:ind w:lef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3. Inventories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gridSpan w:val="2"/>
          </w:tcPr>
          <w:p>
            <w:pPr>
              <w:spacing w:after="0"/>
              <w:rPr>
                <w:sz w:val="20"/>
                <w:szCs w:val="20"/>
                <w:color w:val="auto"/>
              </w:rPr>
            </w:pPr>
            <w:r>
              <w:rPr>
                <w:rFonts w:ascii="Arial" w:cs="Arial" w:eastAsia="Arial" w:hAnsi="Arial"/>
                <w:sz w:val="18"/>
                <w:szCs w:val="18"/>
                <w:color w:val="auto"/>
                <w:w w:val="99"/>
              </w:rPr>
              <w:t>Inventories, net of reserves, consisted of the following:</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As of</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2009</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FFC080"/>
          </w:tcPr>
          <w:p>
            <w:pPr>
              <w:ind w:left="48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1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278</w:t>
            </w:r>
          </w:p>
        </w:tc>
        <w:tc>
          <w:tcPr>
            <w:tcW w:w="360" w:type="dxa"/>
            <w:vAlign w:val="bottom"/>
            <w:gridSpan w:val="2"/>
            <w:shd w:val="clear" w:color="auto" w:fill="FFC080"/>
          </w:tcPr>
          <w:p>
            <w:pPr>
              <w:ind w:lef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20" w:type="dxa"/>
            <w:vAlign w:val="bottom"/>
            <w:shd w:val="clear" w:color="auto" w:fill="FFC080"/>
          </w:tcPr>
          <w:p>
            <w:pPr>
              <w:spacing w:after="0"/>
              <w:rPr>
                <w:sz w:val="22"/>
                <w:szCs w:val="22"/>
                <w:color w:val="auto"/>
              </w:rPr>
            </w:pPr>
          </w:p>
        </w:tc>
        <w:tc>
          <w:tcPr>
            <w:tcW w:w="360" w:type="dxa"/>
            <w:vAlign w:val="bottom"/>
            <w:shd w:val="clear" w:color="auto" w:fill="FFC080"/>
          </w:tcPr>
          <w:p>
            <w:pPr>
              <w:spacing w:after="0"/>
              <w:rPr>
                <w:sz w:val="22"/>
                <w:szCs w:val="22"/>
                <w:color w:val="auto"/>
              </w:rPr>
            </w:pPr>
          </w:p>
        </w:tc>
        <w:tc>
          <w:tcPr>
            <w:tcW w:w="160" w:type="dxa"/>
            <w:vAlign w:val="bottom"/>
            <w:shd w:val="clear" w:color="auto" w:fill="FFC080"/>
          </w:tcPr>
          <w:p>
            <w:pPr>
              <w:spacing w:after="0"/>
              <w:rPr>
                <w:sz w:val="22"/>
                <w:szCs w:val="22"/>
                <w:color w:val="auto"/>
              </w:rPr>
            </w:pPr>
          </w:p>
        </w:tc>
        <w:tc>
          <w:tcPr>
            <w:tcW w:w="1340" w:type="dxa"/>
            <w:vAlign w:val="bottom"/>
            <w:shd w:val="clear" w:color="auto" w:fill="FFC080"/>
          </w:tcPr>
          <w:p>
            <w:pPr>
              <w:spacing w:after="0"/>
              <w:rPr>
                <w:sz w:val="22"/>
                <w:szCs w:val="22"/>
                <w:color w:val="auto"/>
              </w:rPr>
            </w:pPr>
          </w:p>
        </w:tc>
        <w:tc>
          <w:tcPr>
            <w:tcW w:w="120" w:type="dxa"/>
            <w:vAlign w:val="bottom"/>
            <w:shd w:val="clear" w:color="auto" w:fill="FFC080"/>
          </w:tcPr>
          <w:p>
            <w:pPr>
              <w:spacing w:after="0"/>
              <w:rPr>
                <w:sz w:val="22"/>
                <w:szCs w:val="22"/>
                <w:color w:val="auto"/>
              </w:rPr>
            </w:pPr>
          </w:p>
        </w:tc>
        <w:tc>
          <w:tcPr>
            <w:tcW w:w="140" w:type="dxa"/>
            <w:vAlign w:val="bottom"/>
            <w:shd w:val="clear" w:color="auto" w:fill="FFC080"/>
          </w:tcPr>
          <w:p>
            <w:pPr>
              <w:spacing w:after="0"/>
              <w:rPr>
                <w:sz w:val="22"/>
                <w:szCs w:val="22"/>
                <w:color w:val="auto"/>
              </w:rPr>
            </w:pPr>
          </w:p>
        </w:tc>
        <w:tc>
          <w:tcPr>
            <w:tcW w:w="1340" w:type="dxa"/>
            <w:vAlign w:val="bottom"/>
            <w:shd w:val="clear" w:color="auto" w:fill="FFC080"/>
          </w:tcPr>
          <w:p>
            <w:pPr>
              <w:spacing w:after="0"/>
              <w:rPr>
                <w:sz w:val="22"/>
                <w:szCs w:val="22"/>
                <w:color w:val="auto"/>
              </w:rPr>
            </w:pPr>
          </w:p>
        </w:tc>
        <w:tc>
          <w:tcPr>
            <w:tcW w:w="140" w:type="dxa"/>
            <w:vAlign w:val="bottom"/>
            <w:shd w:val="clear" w:color="auto" w:fill="FFC080"/>
          </w:tcPr>
          <w:p>
            <w:pPr>
              <w:spacing w:after="0"/>
              <w:rPr>
                <w:sz w:val="22"/>
                <w:szCs w:val="22"/>
                <w:color w:val="auto"/>
              </w:rPr>
            </w:pPr>
          </w:p>
        </w:tc>
        <w:tc>
          <w:tcPr>
            <w:tcW w:w="180" w:type="dxa"/>
            <w:vAlign w:val="bottom"/>
            <w:shd w:val="clear" w:color="auto" w:fill="FFC080"/>
          </w:tcPr>
          <w:p>
            <w:pPr>
              <w:spacing w:after="0"/>
              <w:rPr>
                <w:sz w:val="22"/>
                <w:szCs w:val="22"/>
                <w:color w:val="auto"/>
              </w:rPr>
            </w:pPr>
          </w:p>
        </w:tc>
        <w:tc>
          <w:tcPr>
            <w:tcW w:w="1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6,024</w:t>
            </w:r>
          </w:p>
        </w:tc>
        <w:tc>
          <w:tcPr>
            <w:tcW w:w="360" w:type="dxa"/>
            <w:vAlign w:val="bottom"/>
            <w:gridSpan w:val="2"/>
            <w:shd w:val="clear" w:color="auto" w:fill="FFC080"/>
          </w:tcPr>
          <w:p>
            <w:pPr>
              <w:ind w:lef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Borders>
              <w:top w:val="single" w:sz="8" w:color="FFC080"/>
            </w:tcBorders>
          </w:tcPr>
          <w:p>
            <w:pPr>
              <w:spacing w:after="0"/>
              <w:rPr>
                <w:sz w:val="18"/>
                <w:szCs w:val="18"/>
                <w:color w:val="auto"/>
              </w:rPr>
            </w:pPr>
          </w:p>
        </w:tc>
        <w:tc>
          <w:tcPr>
            <w:tcW w:w="360" w:type="dxa"/>
            <w:vAlign w:val="bottom"/>
            <w:tcBorders>
              <w:top w:val="single" w:sz="8" w:color="FFC080"/>
            </w:tcBorders>
          </w:tcPr>
          <w:p>
            <w:pPr>
              <w:spacing w:after="0"/>
              <w:rPr>
                <w:sz w:val="18"/>
                <w:szCs w:val="18"/>
                <w:color w:val="auto"/>
              </w:rPr>
            </w:pPr>
          </w:p>
        </w:tc>
        <w:tc>
          <w:tcPr>
            <w:tcW w:w="160" w:type="dxa"/>
            <w:vAlign w:val="bottom"/>
            <w:tcBorders>
              <w:top w:val="single" w:sz="8" w:color="FFC080"/>
            </w:tcBorders>
          </w:tcPr>
          <w:p>
            <w:pPr>
              <w:spacing w:after="0"/>
              <w:rPr>
                <w:sz w:val="18"/>
                <w:szCs w:val="18"/>
                <w:color w:val="auto"/>
              </w:rPr>
            </w:pPr>
          </w:p>
        </w:tc>
        <w:tc>
          <w:tcPr>
            <w:tcW w:w="1340" w:type="dxa"/>
            <w:vAlign w:val="bottom"/>
            <w:tcBorders>
              <w:top w:val="single" w:sz="8" w:color="FFC080"/>
            </w:tcBorders>
          </w:tcPr>
          <w:p>
            <w:pPr>
              <w:spacing w:after="0"/>
              <w:rPr>
                <w:sz w:val="18"/>
                <w:szCs w:val="18"/>
                <w:color w:val="auto"/>
              </w:rPr>
            </w:pPr>
          </w:p>
        </w:tc>
        <w:tc>
          <w:tcPr>
            <w:tcW w:w="120" w:type="dxa"/>
            <w:vAlign w:val="bottom"/>
            <w:tcBorders>
              <w:top w:val="single" w:sz="8" w:color="FFC080"/>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1340" w:type="dxa"/>
            <w:vAlign w:val="bottom"/>
            <w:tcBorders>
              <w:top w:val="single" w:sz="8" w:color="FFC080"/>
            </w:tcBorders>
          </w:tcPr>
          <w:p>
            <w:pPr>
              <w:spacing w:after="0"/>
              <w:rPr>
                <w:sz w:val="18"/>
                <w:szCs w:val="18"/>
                <w:color w:val="auto"/>
              </w:rPr>
            </w:pPr>
          </w:p>
        </w:tc>
        <w:tc>
          <w:tcPr>
            <w:tcW w:w="140" w:type="dxa"/>
            <w:vAlign w:val="bottom"/>
            <w:tcBorders>
              <w:top w:val="single" w:sz="8" w:color="FFC080"/>
            </w:tcBorders>
          </w:tcPr>
          <w:p>
            <w:pPr>
              <w:spacing w:after="0"/>
              <w:rPr>
                <w:sz w:val="18"/>
                <w:szCs w:val="18"/>
                <w:color w:val="auto"/>
              </w:rPr>
            </w:pPr>
          </w:p>
        </w:tc>
        <w:tc>
          <w:tcPr>
            <w:tcW w:w="180" w:type="dxa"/>
            <w:vAlign w:val="bottom"/>
            <w:tcBorders>
              <w:top w:val="single" w:sz="8" w:color="FFC080"/>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FFC080"/>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FFC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FFC080"/>
          </w:tcPr>
          <w:p>
            <w:pPr>
              <w:spacing w:after="0"/>
              <w:rPr>
                <w:sz w:val="20"/>
                <w:szCs w:val="20"/>
                <w:color w:val="auto"/>
              </w:rPr>
            </w:pPr>
            <w:r>
              <w:rPr>
                <w:rFonts w:ascii="Arial" w:cs="Arial" w:eastAsia="Arial" w:hAnsi="Arial"/>
                <w:sz w:val="18"/>
                <w:szCs w:val="18"/>
                <w:color w:val="auto"/>
              </w:rPr>
              <w:t>Long-term:</w:t>
            </w:r>
          </w:p>
        </w:tc>
        <w:tc>
          <w:tcPr>
            <w:tcW w:w="360" w:type="dxa"/>
            <w:vAlign w:val="bottom"/>
            <w:shd w:val="clear" w:color="auto" w:fill="FFC080"/>
          </w:tcPr>
          <w:p>
            <w:pPr>
              <w:spacing w:after="0"/>
              <w:rPr>
                <w:sz w:val="18"/>
                <w:szCs w:val="18"/>
                <w:color w:val="auto"/>
              </w:rPr>
            </w:pP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4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22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340" w:type="dxa"/>
            <w:vAlign w:val="bottom"/>
            <w:shd w:val="clear" w:color="auto" w:fill="FFC080"/>
          </w:tcPr>
          <w:p>
            <w:pPr>
              <w:spacing w:after="0"/>
              <w:rPr>
                <w:sz w:val="18"/>
                <w:szCs w:val="18"/>
                <w:color w:val="auto"/>
              </w:rPr>
            </w:pPr>
          </w:p>
        </w:tc>
        <w:tc>
          <w:tcPr>
            <w:tcW w:w="100" w:type="dxa"/>
            <w:vAlign w:val="bottom"/>
            <w:shd w:val="clear" w:color="auto" w:fill="FFC08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Raw materials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826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FFC080"/>
            </w:tcBorders>
            <w:shd w:val="clear" w:color="auto" w:fill="FFC080"/>
          </w:tcPr>
          <w:p>
            <w:pPr>
              <w:ind w:left="48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FFC080"/>
            </w:tcBorders>
            <w:shd w:val="clear" w:color="auto" w:fill="FFC080"/>
          </w:tcPr>
          <w:p>
            <w:pPr>
              <w:spacing w:after="0"/>
              <w:rPr>
                <w:sz w:val="19"/>
                <w:szCs w:val="19"/>
                <w:color w:val="auto"/>
              </w:rPr>
            </w:pPr>
          </w:p>
        </w:tc>
        <w:tc>
          <w:tcPr>
            <w:tcW w:w="160" w:type="dxa"/>
            <w:vAlign w:val="bottom"/>
            <w:tcBorders>
              <w:bottom w:val="single" w:sz="8" w:color="FFC080"/>
            </w:tcBorders>
            <w:shd w:val="clear" w:color="auto" w:fill="FFC080"/>
          </w:tcPr>
          <w:p>
            <w:pPr>
              <w:spacing w:after="0"/>
              <w:rPr>
                <w:sz w:val="19"/>
                <w:szCs w:val="19"/>
                <w:color w:val="auto"/>
              </w:rPr>
            </w:pPr>
          </w:p>
        </w:tc>
        <w:tc>
          <w:tcPr>
            <w:tcW w:w="134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FFC080"/>
            </w:tcBorders>
            <w:shd w:val="clear" w:color="auto" w:fill="FFC080"/>
          </w:tcPr>
          <w:p>
            <w:pPr>
              <w:spacing w:after="0"/>
              <w:rPr>
                <w:sz w:val="19"/>
                <w:szCs w:val="19"/>
                <w:color w:val="auto"/>
              </w:rPr>
            </w:pPr>
          </w:p>
        </w:tc>
        <w:tc>
          <w:tcPr>
            <w:tcW w:w="134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FFC080"/>
            </w:tcBorders>
            <w:shd w:val="clear" w:color="auto" w:fill="FFC080"/>
          </w:tcPr>
          <w:p>
            <w:pPr>
              <w:spacing w:after="0"/>
              <w:rPr>
                <w:sz w:val="19"/>
                <w:szCs w:val="19"/>
                <w:color w:val="auto"/>
              </w:rPr>
            </w:pPr>
          </w:p>
        </w:tc>
        <w:tc>
          <w:tcPr>
            <w:tcW w:w="180" w:type="dxa"/>
            <w:vAlign w:val="bottom"/>
            <w:tcBorders>
              <w:bottom w:val="single" w:sz="8" w:color="FFC080"/>
            </w:tcBorders>
            <w:shd w:val="clear" w:color="auto" w:fill="FFC080"/>
          </w:tcPr>
          <w:p>
            <w:pPr>
              <w:spacing w:after="0"/>
              <w:rPr>
                <w:sz w:val="19"/>
                <w:szCs w:val="19"/>
                <w:color w:val="auto"/>
              </w:rPr>
            </w:pPr>
          </w:p>
        </w:tc>
        <w:tc>
          <w:tcPr>
            <w:tcW w:w="40" w:type="dxa"/>
            <w:vAlign w:val="bottom"/>
            <w:tcBorders>
              <w:bottom w:val="single" w:sz="8" w:color="auto"/>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3,309</w:t>
            </w:r>
          </w:p>
        </w:tc>
        <w:tc>
          <w:tcPr>
            <w:tcW w:w="22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FFC080"/>
            </w:tcBorders>
            <w:shd w:val="clear" w:color="auto" w:fill="FFC08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4,135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Long-term inventory represents inventory held in excess of our current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20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$1,784 and $1,846 as of September 30, 2010 and December 31, 2009, respectively. Consigned inventory represents inventory at distributors and other customers where revenue recognition criteria have not been achieved.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nine months ended September 30, 2010 and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0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6"/>
          </w:tcPr>
          <w:p>
            <w:pPr>
              <w:ind w:left="7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tcPr>
          <w:p>
            <w:pPr>
              <w:jc w:val="center"/>
              <w:ind w:left="5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left="3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FFC080"/>
          </w:tcPr>
          <w:p>
            <w:pPr>
              <w:spacing w:after="0" w:line="201" w:lineRule="exact"/>
              <w:rPr>
                <w:sz w:val="20"/>
                <w:szCs w:val="20"/>
                <w:color w:val="auto"/>
              </w:rPr>
            </w:pPr>
            <w:r>
              <w:rPr>
                <w:rFonts w:ascii="Arial" w:cs="Arial" w:eastAsia="Arial" w:hAnsi="Arial"/>
                <w:sz w:val="18"/>
                <w:szCs w:val="18"/>
                <w:color w:val="auto"/>
                <w:w w:val="97"/>
              </w:rPr>
              <w:t>Losses incurred on valuation of inventory and write-off of</w:t>
            </w:r>
          </w:p>
        </w:tc>
        <w:tc>
          <w:tcPr>
            <w:tcW w:w="240" w:type="dxa"/>
            <w:vAlign w:val="bottom"/>
            <w:shd w:val="clear" w:color="auto" w:fill="FFC080"/>
          </w:tcPr>
          <w:p>
            <w:pPr>
              <w:spacing w:after="0"/>
              <w:rPr>
                <w:sz w:val="17"/>
                <w:szCs w:val="17"/>
                <w:color w:val="auto"/>
              </w:rPr>
            </w:pPr>
          </w:p>
        </w:tc>
        <w:tc>
          <w:tcPr>
            <w:tcW w:w="1360" w:type="dxa"/>
            <w:vAlign w:val="bottom"/>
            <w:tcBorders>
              <w:top w:val="single" w:sz="8" w:color="auto"/>
            </w:tcBorders>
            <w:shd w:val="clear" w:color="auto" w:fill="FFC080"/>
          </w:tcPr>
          <w:p>
            <w:pPr>
              <w:spacing w:after="0"/>
              <w:rPr>
                <w:sz w:val="17"/>
                <w:szCs w:val="17"/>
                <w:color w:val="auto"/>
              </w:rPr>
            </w:pPr>
          </w:p>
        </w:tc>
        <w:tc>
          <w:tcPr>
            <w:tcW w:w="140" w:type="dxa"/>
            <w:vAlign w:val="bottom"/>
            <w:tcBorders>
              <w:top w:val="single" w:sz="8" w:color="auto"/>
            </w:tcBorders>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1340" w:type="dxa"/>
            <w:vAlign w:val="bottom"/>
            <w:tcBorders>
              <w:top w:val="single" w:sz="8" w:color="auto"/>
            </w:tcBorders>
            <w:shd w:val="clear" w:color="auto" w:fill="FFC080"/>
          </w:tcPr>
          <w:p>
            <w:pPr>
              <w:spacing w:after="0"/>
              <w:rPr>
                <w:sz w:val="17"/>
                <w:szCs w:val="17"/>
                <w:color w:val="auto"/>
              </w:rPr>
            </w:pPr>
          </w:p>
        </w:tc>
        <w:tc>
          <w:tcPr>
            <w:tcW w:w="140" w:type="dxa"/>
            <w:vAlign w:val="bottom"/>
            <w:tcBorders>
              <w:top w:val="single" w:sz="8" w:color="auto"/>
            </w:tcBorders>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40" w:type="dxa"/>
            <w:vAlign w:val="bottom"/>
            <w:tcBorders>
              <w:top w:val="single" w:sz="8" w:color="auto"/>
            </w:tcBorders>
            <w:shd w:val="clear" w:color="auto" w:fill="FFC080"/>
          </w:tcPr>
          <w:p>
            <w:pPr>
              <w:spacing w:after="0"/>
              <w:rPr>
                <w:sz w:val="17"/>
                <w:szCs w:val="17"/>
                <w:color w:val="auto"/>
              </w:rPr>
            </w:pPr>
          </w:p>
        </w:tc>
        <w:tc>
          <w:tcPr>
            <w:tcW w:w="1320" w:type="dxa"/>
            <w:vAlign w:val="bottom"/>
            <w:tcBorders>
              <w:top w:val="single" w:sz="8" w:color="auto"/>
            </w:tcBorders>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40" w:type="dxa"/>
            <w:vAlign w:val="bottom"/>
            <w:tcBorders>
              <w:top w:val="single" w:sz="8" w:color="auto"/>
            </w:tcBorders>
            <w:shd w:val="clear" w:color="auto" w:fill="FFC080"/>
          </w:tcPr>
          <w:p>
            <w:pPr>
              <w:spacing w:after="0"/>
              <w:rPr>
                <w:sz w:val="17"/>
                <w:szCs w:val="17"/>
                <w:color w:val="auto"/>
              </w:rPr>
            </w:pPr>
          </w:p>
        </w:tc>
        <w:tc>
          <w:tcPr>
            <w:tcW w:w="1340" w:type="dxa"/>
            <w:vAlign w:val="bottom"/>
            <w:tcBorders>
              <w:top w:val="single" w:sz="8" w:color="auto"/>
            </w:tcBorders>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FFC080"/>
          </w:tcPr>
          <w:p>
            <w:pPr>
              <w:ind w:left="160"/>
              <w:spacing w:after="0"/>
              <w:rPr>
                <w:sz w:val="20"/>
                <w:szCs w:val="20"/>
                <w:color w:val="auto"/>
              </w:rPr>
            </w:pPr>
            <w:r>
              <w:rPr>
                <w:rFonts w:ascii="Arial" w:cs="Arial" w:eastAsia="Arial" w:hAnsi="Arial"/>
                <w:sz w:val="18"/>
                <w:szCs w:val="18"/>
                <w:color w:val="auto"/>
              </w:rPr>
              <w:t>obsolete inventory</w:t>
            </w:r>
          </w:p>
        </w:tc>
        <w:tc>
          <w:tcPr>
            <w:tcW w:w="1600" w:type="dxa"/>
            <w:vAlign w:val="bottom"/>
            <w:gridSpan w:val="2"/>
            <w:shd w:val="clear" w:color="auto" w:fill="FFC080"/>
          </w:tcPr>
          <w:p>
            <w:pPr>
              <w:jc w:val="right"/>
              <w:ind w:right="117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FFC080"/>
          </w:tcPr>
          <w:p>
            <w:pPr>
              <w:jc w:val="right"/>
              <w:ind w:right="117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149</w:t>
            </w:r>
          </w:p>
        </w:tc>
        <w:tc>
          <w:tcPr>
            <w:tcW w:w="24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1,927</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allocated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40" w:type="dxa"/>
            <w:vAlign w:val="bottom"/>
            <w:gridSpan w:val="7"/>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6"/>
          </w:tcPr>
          <w:p>
            <w:pPr>
              <w:ind w:left="72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September 30,</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FC080"/>
          </w:tcPr>
          <w:p>
            <w:pPr>
              <w:spacing w:after="0"/>
              <w:rPr>
                <w:sz w:val="20"/>
                <w:szCs w:val="20"/>
                <w:color w:val="auto"/>
              </w:rPr>
            </w:pPr>
            <w:r>
              <w:rPr>
                <w:rFonts w:ascii="Arial" w:cs="Arial" w:eastAsia="Arial" w:hAnsi="Arial"/>
                <w:sz w:val="18"/>
                <w:szCs w:val="18"/>
                <w:color w:val="auto"/>
              </w:rPr>
              <w:t>Cost of goods sold</w:t>
            </w:r>
          </w:p>
        </w:tc>
        <w:tc>
          <w:tcPr>
            <w:tcW w:w="2680" w:type="dxa"/>
            <w:vAlign w:val="bottom"/>
            <w:gridSpan w:val="2"/>
            <w:shd w:val="clear" w:color="auto" w:fill="FFC080"/>
          </w:tcPr>
          <w:p>
            <w:pPr>
              <w:jc w:val="right"/>
              <w:ind w:right="11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Sales and marketing</w:t>
            </w: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3320" w:type="dxa"/>
            <w:vAlign w:val="bottom"/>
            <w:shd w:val="clear" w:color="auto" w:fill="FFC080"/>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FFC080"/>
          </w:tcPr>
          <w:p>
            <w:pPr>
              <w:spacing w:after="0"/>
              <w:rPr>
                <w:sz w:val="18"/>
                <w:szCs w:val="18"/>
                <w:color w:val="auto"/>
              </w:rPr>
            </w:pPr>
          </w:p>
        </w:tc>
        <w:tc>
          <w:tcPr>
            <w:tcW w:w="1320" w:type="dxa"/>
            <w:vAlign w:val="bottom"/>
            <w:shd w:val="clear" w:color="auto" w:fill="FFC080"/>
          </w:tcPr>
          <w:p>
            <w:pPr>
              <w:spacing w:after="0"/>
              <w:rPr>
                <w:sz w:val="18"/>
                <w:szCs w:val="18"/>
                <w:color w:val="auto"/>
              </w:rPr>
            </w:pPr>
          </w:p>
        </w:tc>
        <w:tc>
          <w:tcPr>
            <w:tcW w:w="30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FFC080"/>
          </w:tcPr>
          <w:p>
            <w:pPr>
              <w:spacing w:after="0"/>
              <w:rPr>
                <w:sz w:val="20"/>
                <w:szCs w:val="20"/>
                <w:color w:val="auto"/>
              </w:rPr>
            </w:pPr>
          </w:p>
        </w:tc>
        <w:tc>
          <w:tcPr>
            <w:tcW w:w="1360" w:type="dxa"/>
            <w:vAlign w:val="bottom"/>
            <w:shd w:val="clear" w:color="auto" w:fill="FFC080"/>
          </w:tcPr>
          <w:p>
            <w:pPr>
              <w:spacing w:after="0"/>
              <w:rPr>
                <w:sz w:val="20"/>
                <w:szCs w:val="20"/>
                <w:color w:val="auto"/>
              </w:rPr>
            </w:pPr>
          </w:p>
        </w:tc>
        <w:tc>
          <w:tcPr>
            <w:tcW w:w="1320" w:type="dxa"/>
            <w:vAlign w:val="bottom"/>
            <w:shd w:val="clear" w:color="auto" w:fill="FFC080"/>
          </w:tcPr>
          <w:p>
            <w:pPr>
              <w:jc w:val="right"/>
              <w:ind w:right="11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w w:val="79"/>
              </w:rPr>
              <w:t>62</w:t>
            </w:r>
          </w:p>
        </w:tc>
        <w:tc>
          <w:tcPr>
            <w:tcW w:w="28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118</w:t>
            </w:r>
          </w:p>
        </w:tc>
        <w:tc>
          <w:tcPr>
            <w:tcW w:w="2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222</w:t>
            </w:r>
          </w:p>
        </w:tc>
        <w:tc>
          <w:tcPr>
            <w:tcW w:w="24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427</w:t>
            </w: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FC080"/>
            </w:tcBorders>
            <w:shd w:val="clear" w:color="auto" w:fill="FFC080"/>
          </w:tcPr>
          <w:p>
            <w:pPr>
              <w:spacing w:after="0" w:line="20" w:lineRule="exact"/>
              <w:rPr>
                <w:sz w:val="1"/>
                <w:szCs w:val="1"/>
                <w:color w:val="auto"/>
              </w:rPr>
            </w:pPr>
          </w:p>
        </w:tc>
        <w:tc>
          <w:tcPr>
            <w:tcW w:w="1360" w:type="dxa"/>
            <w:vAlign w:val="bottom"/>
            <w:tcBorders>
              <w:top w:val="single" w:sz="8" w:color="FFC080"/>
            </w:tcBorders>
            <w:shd w:val="clear" w:color="auto" w:fill="FFC08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40" w:type="dxa"/>
            <w:vAlign w:val="bottom"/>
            <w:tcBorders>
              <w:top w:val="single" w:sz="8" w:color="FFC080"/>
            </w:tcBorders>
            <w:shd w:val="clear" w:color="auto" w:fill="FFC08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FC080"/>
            </w:tcBorders>
            <w:shd w:val="clear" w:color="auto" w:fill="FFC08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r>
    </w:tbl>
    <w:p>
      <w:pPr>
        <w:spacing w:after="0" w:line="229" w:lineRule="exact"/>
        <w:rPr>
          <w:sz w:val="20"/>
          <w:szCs w:val="20"/>
          <w:color w:val="auto"/>
        </w:rPr>
      </w:pPr>
    </w:p>
    <w:p>
      <w:pPr>
        <w:ind w:right="180"/>
        <w:spacing w:after="0" w:line="223" w:lineRule="exact"/>
        <w:rPr>
          <w:sz w:val="20"/>
          <w:szCs w:val="20"/>
          <w:color w:val="auto"/>
        </w:rPr>
      </w:pPr>
      <w:r>
        <w:rPr>
          <w:rFonts w:ascii="Arial" w:cs="Arial" w:eastAsia="Arial" w:hAnsi="Arial"/>
          <w:sz w:val="18"/>
          <w:szCs w:val="18"/>
          <w:color w:val="auto"/>
        </w:rPr>
        <w:t>As of September 30, 2010, the total remaining unrecognized compensation cost related to non-vested stock options, net of forfeitures, was approximately $</w:t>
      </w:r>
      <w:r>
        <w:rPr>
          <w:rFonts w:ascii="MS PGothic" w:cs="MS PGothic" w:eastAsia="MS PGothic" w:hAnsi="MS PGothic"/>
          <w:sz w:val="18"/>
          <w:szCs w:val="18"/>
          <w:color w:val="auto"/>
        </w:rPr>
        <w:t>‐</w:t>
      </w:r>
      <w:r>
        <w:rPr>
          <w:rFonts w:ascii="Arial" w:cs="Arial" w:eastAsia="Arial" w:hAnsi="Arial"/>
          <w:sz w:val="18"/>
          <w:szCs w:val="18"/>
          <w:color w:val="auto"/>
        </w:rPr>
        <w:t xml:space="preserve"> 314.</w:t>
      </w:r>
    </w:p>
    <w:p>
      <w:pPr>
        <w:spacing w:after="0" w:line="23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three and nine months ended September 30, 2010, we granted 10,500 and 152,250 stock options, respectively. 92,500 stock options were issued during the nine months ended September 30, 2009.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 in shareholders’ equity during the three and nine months ended September 30, 2010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FFC080"/>
          </w:tcPr>
          <w:p>
            <w:pPr>
              <w:spacing w:after="0"/>
              <w:rPr>
                <w:sz w:val="20"/>
                <w:szCs w:val="20"/>
                <w:color w:val="auto"/>
              </w:rPr>
            </w:pPr>
            <w:r>
              <w:rPr>
                <w:rFonts w:ascii="Arial" w:cs="Arial" w:eastAsia="Arial" w:hAnsi="Arial"/>
                <w:sz w:val="18"/>
                <w:szCs w:val="18"/>
                <w:color w:val="auto"/>
              </w:rPr>
              <w:t>Balance at the beginning of the period</w:t>
            </w:r>
          </w:p>
        </w:tc>
        <w:tc>
          <w:tcPr>
            <w:tcW w:w="16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29,828</w:t>
            </w:r>
          </w:p>
        </w:tc>
        <w:tc>
          <w:tcPr>
            <w:tcW w:w="40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28,486</w:t>
            </w:r>
          </w:p>
        </w:tc>
        <w:tc>
          <w:tcPr>
            <w:tcW w:w="22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29,098</w:t>
            </w:r>
          </w:p>
        </w:tc>
        <w:tc>
          <w:tcPr>
            <w:tcW w:w="24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during the period</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FFC080"/>
          </w:tcPr>
          <w:p>
            <w:pPr>
              <w:spacing w:after="0"/>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FFC080"/>
          </w:tcPr>
          <w:p>
            <w:pPr>
              <w:spacing w:after="0"/>
              <w:rPr>
                <w:sz w:val="18"/>
                <w:szCs w:val="18"/>
                <w:color w:val="auto"/>
              </w:rPr>
            </w:pP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FFC080"/>
          </w:tcPr>
          <w:p>
            <w:pPr>
              <w:spacing w:after="0" w:line="201" w:lineRule="exact"/>
              <w:rPr>
                <w:sz w:val="20"/>
                <w:szCs w:val="20"/>
                <w:color w:val="auto"/>
              </w:rPr>
            </w:pPr>
            <w:r>
              <w:rPr>
                <w:rFonts w:ascii="Arial" w:cs="Arial" w:eastAsia="Arial" w:hAnsi="Arial"/>
                <w:sz w:val="18"/>
                <w:szCs w:val="18"/>
                <w:color w:val="auto"/>
              </w:rPr>
              <w:t>Unrealized gain (loss) on marketable securities net of tax,</w:t>
            </w:r>
          </w:p>
        </w:tc>
        <w:tc>
          <w:tcPr>
            <w:tcW w:w="160" w:type="dxa"/>
            <w:vAlign w:val="bottom"/>
            <w:shd w:val="clear" w:color="auto" w:fill="FFC080"/>
          </w:tcPr>
          <w:p>
            <w:pPr>
              <w:spacing w:after="0"/>
              <w:rPr>
                <w:sz w:val="17"/>
                <w:szCs w:val="17"/>
                <w:color w:val="auto"/>
              </w:rPr>
            </w:pPr>
          </w:p>
        </w:tc>
        <w:tc>
          <w:tcPr>
            <w:tcW w:w="134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134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8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132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134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FFC080"/>
          </w:tcPr>
          <w:p>
            <w:pPr>
              <w:spacing w:after="0"/>
              <w:rPr>
                <w:sz w:val="20"/>
                <w:szCs w:val="20"/>
                <w:color w:val="auto"/>
              </w:rPr>
            </w:pPr>
            <w:r>
              <w:rPr>
                <w:rFonts w:ascii="Arial" w:cs="Arial" w:eastAsia="Arial" w:hAnsi="Arial"/>
                <w:sz w:val="18"/>
                <w:szCs w:val="18"/>
                <w:color w:val="auto"/>
              </w:rPr>
              <w:t>$(11) and $8</w:t>
            </w:r>
          </w:p>
        </w:tc>
        <w:tc>
          <w:tcPr>
            <w:tcW w:w="160" w:type="dxa"/>
            <w:vAlign w:val="bottom"/>
            <w:shd w:val="clear" w:color="auto" w:fill="FFC080"/>
          </w:tcPr>
          <w:p>
            <w:pPr>
              <w:spacing w:after="0"/>
              <w:rPr>
                <w:sz w:val="20"/>
                <w:szCs w:val="20"/>
                <w:color w:val="auto"/>
              </w:rPr>
            </w:pP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FC080"/>
          </w:tcPr>
          <w:p>
            <w:pPr>
              <w:spacing w:after="0"/>
              <w:rPr>
                <w:sz w:val="20"/>
                <w:szCs w:val="20"/>
                <w:color w:val="auto"/>
              </w:rPr>
            </w:pPr>
          </w:p>
        </w:tc>
        <w:tc>
          <w:tcPr>
            <w:tcW w:w="140" w:type="dxa"/>
            <w:vAlign w:val="bottom"/>
            <w:shd w:val="clear" w:color="auto" w:fill="FFC080"/>
          </w:tcPr>
          <w:p>
            <w:pPr>
              <w:spacing w:after="0"/>
              <w:rPr>
                <w:sz w:val="20"/>
                <w:szCs w:val="20"/>
                <w:color w:val="auto"/>
              </w:rPr>
            </w:pPr>
          </w:p>
        </w:tc>
        <w:tc>
          <w:tcPr>
            <w:tcW w:w="13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FFC080"/>
          </w:tcPr>
          <w:p>
            <w:pPr>
              <w:spacing w:after="0"/>
              <w:rPr>
                <w:sz w:val="20"/>
                <w:szCs w:val="20"/>
                <w:color w:val="auto"/>
              </w:rPr>
            </w:pPr>
          </w:p>
        </w:tc>
        <w:tc>
          <w:tcPr>
            <w:tcW w:w="80" w:type="dxa"/>
            <w:vAlign w:val="bottom"/>
            <w:shd w:val="clear" w:color="auto" w:fill="FFC080"/>
          </w:tcPr>
          <w:p>
            <w:pPr>
              <w:spacing w:after="0"/>
              <w:rPr>
                <w:sz w:val="20"/>
                <w:szCs w:val="20"/>
                <w:color w:val="auto"/>
              </w:rPr>
            </w:pPr>
          </w:p>
        </w:tc>
        <w:tc>
          <w:tcPr>
            <w:tcW w:w="140" w:type="dxa"/>
            <w:vAlign w:val="bottom"/>
            <w:shd w:val="clear" w:color="auto" w:fill="FFC080"/>
          </w:tcPr>
          <w:p>
            <w:pPr>
              <w:spacing w:after="0"/>
              <w:rPr>
                <w:sz w:val="20"/>
                <w:szCs w:val="20"/>
                <w:color w:val="auto"/>
              </w:rPr>
            </w:pPr>
          </w:p>
        </w:tc>
        <w:tc>
          <w:tcPr>
            <w:tcW w:w="14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FC080"/>
          </w:tcPr>
          <w:p>
            <w:pPr>
              <w:spacing w:after="0"/>
              <w:rPr>
                <w:sz w:val="20"/>
                <w:szCs w:val="20"/>
                <w:color w:val="auto"/>
              </w:rPr>
            </w:pPr>
          </w:p>
        </w:tc>
        <w:tc>
          <w:tcPr>
            <w:tcW w:w="140" w:type="dxa"/>
            <w:vAlign w:val="bottom"/>
            <w:shd w:val="clear" w:color="auto" w:fill="FFC080"/>
          </w:tcPr>
          <w:p>
            <w:pPr>
              <w:spacing w:after="0"/>
              <w:rPr>
                <w:sz w:val="20"/>
                <w:szCs w:val="20"/>
                <w:color w:val="auto"/>
              </w:rPr>
            </w:pPr>
          </w:p>
        </w:tc>
        <w:tc>
          <w:tcPr>
            <w:tcW w:w="14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FFC08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at end of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30,879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28,344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30,879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28,344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6. Other income (expense), net</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700" w:type="dxa"/>
            <w:vAlign w:val="bottom"/>
            <w:gridSpan w:val="2"/>
          </w:tcPr>
          <w:p>
            <w:pPr>
              <w:spacing w:after="0"/>
              <w:rPr>
                <w:sz w:val="20"/>
                <w:szCs w:val="20"/>
                <w:color w:val="auto"/>
              </w:rPr>
            </w:pPr>
            <w:r>
              <w:rPr>
                <w:rFonts w:ascii="Arial" w:cs="Arial" w:eastAsia="Arial" w:hAnsi="Arial"/>
                <w:sz w:val="18"/>
                <w:szCs w:val="18"/>
                <w:color w:val="auto"/>
              </w:rPr>
              <w:t>The details of other income (expense), net are as follows: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6"/>
          </w:tcPr>
          <w:p>
            <w:pPr>
              <w:ind w:left="72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3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September 30,</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September 30,</w:t>
            </w: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FFC080"/>
          </w:tcPr>
          <w:p>
            <w:pPr>
              <w:spacing w:after="0"/>
              <w:rPr>
                <w:sz w:val="20"/>
                <w:szCs w:val="20"/>
                <w:color w:val="auto"/>
              </w:rPr>
            </w:pPr>
            <w:r>
              <w:rPr>
                <w:rFonts w:ascii="Arial" w:cs="Arial" w:eastAsia="Arial" w:hAnsi="Arial"/>
                <w:sz w:val="18"/>
                <w:szCs w:val="18"/>
                <w:color w:val="auto"/>
              </w:rPr>
              <w:t>Interest income</w:t>
            </w:r>
          </w:p>
        </w:tc>
        <w:tc>
          <w:tcPr>
            <w:tcW w:w="1320" w:type="dxa"/>
            <w:vAlign w:val="bottom"/>
            <w:shd w:val="clear" w:color="auto" w:fill="FFC080"/>
          </w:tcPr>
          <w:p>
            <w:pPr>
              <w:jc w:val="right"/>
              <w:ind w:right="113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12</w:t>
            </w:r>
          </w:p>
        </w:tc>
        <w:tc>
          <w:tcPr>
            <w:tcW w:w="1540" w:type="dxa"/>
            <w:vAlign w:val="bottom"/>
            <w:gridSpan w:val="2"/>
            <w:shd w:val="clear" w:color="auto" w:fill="FFC080"/>
          </w:tcPr>
          <w:p>
            <w:pPr>
              <w:jc w:val="right"/>
              <w:ind w:right="1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FFC080"/>
          </w:tcPr>
          <w:p>
            <w:pPr>
              <w:jc w:val="right"/>
              <w:spacing w:after="0"/>
              <w:rPr>
                <w:sz w:val="20"/>
                <w:szCs w:val="20"/>
                <w:color w:val="auto"/>
              </w:rPr>
            </w:pPr>
            <w:r>
              <w:rPr>
                <w:rFonts w:ascii="Arial" w:cs="Arial" w:eastAsia="Arial" w:hAnsi="Arial"/>
                <w:sz w:val="18"/>
                <w:szCs w:val="18"/>
                <w:color w:val="auto"/>
                <w:w w:val="89"/>
              </w:rPr>
              <w:t>59</w:t>
            </w:r>
          </w:p>
        </w:tc>
        <w:tc>
          <w:tcPr>
            <w:tcW w:w="100" w:type="dxa"/>
            <w:vAlign w:val="bottom"/>
            <w:shd w:val="clear" w:color="auto" w:fill="FFC080"/>
          </w:tcPr>
          <w:p>
            <w:pPr>
              <w:spacing w:after="0"/>
              <w:rPr>
                <w:sz w:val="18"/>
                <w:szCs w:val="18"/>
                <w:color w:val="auto"/>
              </w:rPr>
            </w:pPr>
          </w:p>
        </w:tc>
        <w:tc>
          <w:tcPr>
            <w:tcW w:w="24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shd w:val="clear" w:color="auto" w:fill="FFC080"/>
          </w:tcPr>
          <w:p>
            <w:pPr>
              <w:spacing w:after="0"/>
              <w:rPr>
                <w:sz w:val="20"/>
                <w:szCs w:val="20"/>
                <w:color w:val="auto"/>
              </w:rPr>
            </w:pPr>
            <w:r>
              <w:rPr>
                <w:rFonts w:ascii="Arial" w:cs="Arial" w:eastAsia="Arial" w:hAnsi="Arial"/>
                <w:sz w:val="18"/>
                <w:szCs w:val="18"/>
                <w:color w:val="auto"/>
              </w:rPr>
              <w:t>Gain (loss) on disposal of property and equipment</w:t>
            </w:r>
          </w:p>
        </w:tc>
        <w:tc>
          <w:tcPr>
            <w:tcW w:w="1320" w:type="dxa"/>
            <w:vAlign w:val="bottom"/>
            <w:shd w:val="clear" w:color="auto" w:fill="FFC080"/>
          </w:tcPr>
          <w:p>
            <w:pPr>
              <w:spacing w:after="0"/>
              <w:rPr>
                <w:sz w:val="18"/>
                <w:szCs w:val="18"/>
                <w:color w:val="auto"/>
              </w:rPr>
            </w:pPr>
          </w:p>
        </w:tc>
        <w:tc>
          <w:tcPr>
            <w:tcW w:w="180" w:type="dxa"/>
            <w:vAlign w:val="bottom"/>
            <w:shd w:val="clear" w:color="auto" w:fill="FFC080"/>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FFC080"/>
          </w:tcPr>
          <w:p>
            <w:pPr>
              <w:spacing w:after="0"/>
              <w:rPr>
                <w:sz w:val="18"/>
                <w:szCs w:val="18"/>
                <w:color w:val="auto"/>
              </w:rPr>
            </w:pPr>
          </w:p>
        </w:tc>
        <w:tc>
          <w:tcPr>
            <w:tcW w:w="1280" w:type="dxa"/>
            <w:vAlign w:val="bottom"/>
            <w:shd w:val="clear" w:color="auto" w:fill="FFC080"/>
          </w:tcPr>
          <w:p>
            <w:pPr>
              <w:spacing w:after="0"/>
              <w:rPr>
                <w:sz w:val="18"/>
                <w:szCs w:val="18"/>
                <w:color w:val="auto"/>
              </w:rPr>
            </w:pPr>
          </w:p>
        </w:tc>
        <w:tc>
          <w:tcPr>
            <w:tcW w:w="30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FFC080"/>
          </w:tcPr>
          <w:p>
            <w:pPr>
              <w:spacing w:after="0"/>
              <w:rPr>
                <w:sz w:val="18"/>
                <w:szCs w:val="18"/>
                <w:color w:val="auto"/>
              </w:rPr>
            </w:pPr>
          </w:p>
        </w:tc>
        <w:tc>
          <w:tcPr>
            <w:tcW w:w="120" w:type="dxa"/>
            <w:vAlign w:val="bottom"/>
            <w:shd w:val="clear" w:color="auto" w:fill="FFC080"/>
          </w:tcPr>
          <w:p>
            <w:pPr>
              <w:spacing w:after="0"/>
              <w:rPr>
                <w:sz w:val="18"/>
                <w:szCs w:val="18"/>
                <w:color w:val="auto"/>
              </w:rPr>
            </w:pPr>
          </w:p>
        </w:tc>
        <w:tc>
          <w:tcPr>
            <w:tcW w:w="148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144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23"/>
        </w:trPr>
        <w:tc>
          <w:tcPr>
            <w:tcW w:w="20" w:type="dxa"/>
            <w:vAlign w:val="bottom"/>
          </w:tcPr>
          <w:p>
            <w:pPr>
              <w:spacing w:after="0"/>
              <w:rPr>
                <w:sz w:val="19"/>
                <w:szCs w:val="19"/>
                <w:color w:val="auto"/>
              </w:rPr>
            </w:pPr>
          </w:p>
        </w:tc>
        <w:tc>
          <w:tcPr>
            <w:tcW w:w="4680" w:type="dxa"/>
            <w:vAlign w:val="bottom"/>
            <w:tcBorders>
              <w:bottom w:val="single" w:sz="8" w:color="FFC080"/>
            </w:tcBorders>
            <w:shd w:val="clear" w:color="auto" w:fill="FFC080"/>
          </w:tcPr>
          <w:p>
            <w:pPr>
              <w:spacing w:after="0"/>
              <w:rPr>
                <w:sz w:val="19"/>
                <w:szCs w:val="19"/>
                <w:color w:val="auto"/>
              </w:rPr>
            </w:pPr>
          </w:p>
        </w:tc>
        <w:tc>
          <w:tcPr>
            <w:tcW w:w="1320" w:type="dxa"/>
            <w:vAlign w:val="bottom"/>
            <w:tcBorders>
              <w:bottom w:val="single" w:sz="8" w:color="auto"/>
            </w:tcBorders>
            <w:shd w:val="clear" w:color="auto" w:fill="FFC080"/>
          </w:tcPr>
          <w:p>
            <w:pPr>
              <w:spacing w:after="0"/>
              <w:rPr>
                <w:sz w:val="19"/>
                <w:szCs w:val="19"/>
                <w:color w:val="auto"/>
              </w:rPr>
            </w:pPr>
          </w:p>
        </w:tc>
        <w:tc>
          <w:tcPr>
            <w:tcW w:w="180" w:type="dxa"/>
            <w:vAlign w:val="bottom"/>
            <w:tcBorders>
              <w:bottom w:val="single" w:sz="8" w:color="auto"/>
            </w:tcBorders>
            <w:shd w:val="clear" w:color="auto" w:fill="FFC080"/>
          </w:tcPr>
          <w:p>
            <w:pPr>
              <w:spacing w:after="0"/>
              <w:rPr>
                <w:sz w:val="19"/>
                <w:szCs w:val="19"/>
                <w:color w:val="auto"/>
              </w:rPr>
            </w:pPr>
          </w:p>
        </w:tc>
        <w:tc>
          <w:tcPr>
            <w:tcW w:w="260" w:type="dxa"/>
            <w:vAlign w:val="bottom"/>
            <w:tcBorders>
              <w:bottom w:val="single" w:sz="8" w:color="FFC080"/>
            </w:tcBorders>
            <w:shd w:val="clear" w:color="auto" w:fill="FFC080"/>
          </w:tcPr>
          <w:p>
            <w:pPr>
              <w:spacing w:after="0"/>
              <w:rPr>
                <w:sz w:val="19"/>
                <w:szCs w:val="19"/>
                <w:color w:val="auto"/>
              </w:rPr>
            </w:pPr>
          </w:p>
        </w:tc>
        <w:tc>
          <w:tcPr>
            <w:tcW w:w="1280" w:type="dxa"/>
            <w:vAlign w:val="bottom"/>
            <w:tcBorders>
              <w:bottom w:val="single" w:sz="8" w:color="auto"/>
            </w:tcBorders>
            <w:shd w:val="clear" w:color="auto" w:fill="FFC080"/>
          </w:tcPr>
          <w:p>
            <w:pPr>
              <w:spacing w:after="0"/>
              <w:rPr>
                <w:sz w:val="19"/>
                <w:szCs w:val="19"/>
                <w:color w:val="auto"/>
              </w:rPr>
            </w:pPr>
          </w:p>
        </w:tc>
        <w:tc>
          <w:tcPr>
            <w:tcW w:w="20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FFC080"/>
            </w:tcBorders>
            <w:shd w:val="clear" w:color="auto" w:fill="FFC080"/>
          </w:tcPr>
          <w:p>
            <w:pPr>
              <w:spacing w:after="0"/>
              <w:rPr>
                <w:sz w:val="19"/>
                <w:szCs w:val="19"/>
                <w:color w:val="auto"/>
              </w:rPr>
            </w:pPr>
          </w:p>
        </w:tc>
        <w:tc>
          <w:tcPr>
            <w:tcW w:w="12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spacing w:after="0"/>
              <w:rPr>
                <w:sz w:val="19"/>
                <w:szCs w:val="19"/>
                <w:color w:val="auto"/>
              </w:rPr>
            </w:pPr>
          </w:p>
        </w:tc>
        <w:tc>
          <w:tcPr>
            <w:tcW w:w="140" w:type="dxa"/>
            <w:vAlign w:val="bottom"/>
            <w:tcBorders>
              <w:bottom w:val="single" w:sz="8" w:color="FFC080"/>
            </w:tcBorders>
            <w:shd w:val="clear" w:color="auto" w:fill="FFC080"/>
          </w:tcPr>
          <w:p>
            <w:pPr>
              <w:spacing w:after="0"/>
              <w:rPr>
                <w:sz w:val="19"/>
                <w:szCs w:val="19"/>
                <w:color w:val="auto"/>
              </w:rPr>
            </w:pPr>
          </w:p>
        </w:tc>
        <w:tc>
          <w:tcPr>
            <w:tcW w:w="80" w:type="dxa"/>
            <w:vAlign w:val="bottom"/>
            <w:tcBorders>
              <w:bottom w:val="single" w:sz="8" w:color="FFC080"/>
            </w:tcBorders>
            <w:shd w:val="clear" w:color="auto" w:fill="FFC080"/>
          </w:tcPr>
          <w:p>
            <w:pPr>
              <w:spacing w:after="0"/>
              <w:rPr>
                <w:sz w:val="19"/>
                <w:szCs w:val="19"/>
                <w:color w:val="auto"/>
              </w:rPr>
            </w:pPr>
          </w:p>
        </w:tc>
        <w:tc>
          <w:tcPr>
            <w:tcW w:w="140" w:type="dxa"/>
            <w:vAlign w:val="bottom"/>
            <w:tcBorders>
              <w:bottom w:val="single" w:sz="8" w:color="auto"/>
            </w:tcBorders>
            <w:shd w:val="clear" w:color="auto" w:fill="FFC080"/>
          </w:tcPr>
          <w:p>
            <w:pPr>
              <w:spacing w:after="0"/>
              <w:rPr>
                <w:sz w:val="19"/>
                <w:szCs w:val="19"/>
                <w:color w:val="auto"/>
              </w:rPr>
            </w:pPr>
          </w:p>
        </w:tc>
        <w:tc>
          <w:tcPr>
            <w:tcW w:w="1340" w:type="dxa"/>
            <w:vAlign w:val="bottom"/>
            <w:tcBorders>
              <w:bottom w:val="single" w:sz="8" w:color="auto"/>
            </w:tcBorders>
            <w:shd w:val="clear" w:color="auto" w:fill="FFC080"/>
          </w:tcPr>
          <w:p>
            <w:pPr>
              <w:spacing w:after="0"/>
              <w:rPr>
                <w:sz w:val="19"/>
                <w:szCs w:val="19"/>
                <w:color w:val="auto"/>
              </w:rPr>
            </w:pPr>
          </w:p>
        </w:tc>
        <w:tc>
          <w:tcPr>
            <w:tcW w:w="100" w:type="dxa"/>
            <w:vAlign w:val="bottom"/>
            <w:tcBorders>
              <w:bottom w:val="single" w:sz="8" w:color="FFC080"/>
            </w:tcBorders>
            <w:shd w:val="clear" w:color="auto" w:fill="FFC080"/>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154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During the nine months ended September 30, 2010, the company completed an audit with the Internal Revenue Service and agreed to a reduction of certain tax attributes related to its June 30, 2007 through December 31, 2009 tax years. As a result, we recognized tax benefits that favorably impacted our effective tax rate. The total outstanding balance for liabilities related to unrecognized tax benefits at September 30, 2010 was approximately $297 of which $11 was associated with interest and penalties. We account for interest expense and penalties for unrecognized tax benefits as part of our income tax provision.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25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evaluated its condensed consolidated financial statements as of and for the quarter ended September 30, 2010 for subsequent events through the date the financial statements were issued. The Company is not aware of any subsequent events which would require recognition or disclosure in the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Recent Accounting Pronouncements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Financial Accounting Standards Board (“FASB”) issued in February 2010, Accounting Standards Update (“ASU”) 2010-09 affecting Accounting Standards Codification (“ASC”) Topic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update removed the requirement for a SEC filer to disclose a date through which subsequent events have been evaluated in both issued and revised financial statements. The Company adopted the guidelines effective February 2010 and its adoption has no impact on the Company’s financial position, results of operations or cash flows.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 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 ss releases and reports filed with the SEC, including our Annual Report on Form 10-K for the year ended June 30, 2009 and transition report on Form 10-KT for the six months ended December 31, 2009.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June 30, 2009 and transition report on Form 10-KT for the six months ended December 31, 2009.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ClearOne is a global communications solutions company that develops and sells conferencing, collaboration, streaming media and connectivity systems for audio, video, and web applications. The reliability, flexibility, and performance of ClearOne’s comprehensive solutions enhance the quality of life through better communication, education and entertainment. Our advanced comprehensive solutions create a natural communications environment, which saves organizations time and money by enabling more effective and efficient communication.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conferencing &amp; collaboration products market, ClearOne dominates the professional audio conferencing segment and is the undisputed leader with the largest global market share at nearly 50%. We develop, manufacture, market, and service a comprehensive line of high-quality conferencing &amp; collaboration products under personal, tabletop, premium and professional (installed audio) categories. Our leadership in product innovation has resulted in the development of a broad portfolio of technologically advanced award-winning products.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With the recent acquisiton of NetStreams, ClearOne has entered the market for networked media and control distribution products.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NetStreams, recently acquired by ClearOne in November 2009, is a pioneer in digital media networks based on Internet Protocol (TCP/IP). NetStreams’ products combine High Definition (HD) audio and video content, meta-data and control signals into one stream for distribution over an IP network for commercial and residential use and incorporate industry standards while doing so. NetStreams’ products offer high levels of performance, simplicity, scalability and reliability. The acquisition also brings valuable intellectual property including several granted and pending patents related to NetStreams’ StreamNet® technology, used for streaming time-sensitive synchronous HD audio and video over local area networks (LAN). StreamNet provides AV practitioners the capability to achieve consistent &amp; high quality AV over I P solutions by removing the effect of network delays and packet losses on audio, video &amp; control data.</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of NetStreams will enable ClearOne to enter new and large vertical markets such as digital signage and commercial sound distribution. NetStreams’ products and technologies complement existing ClearOne products and provide a platform for future AV over IP solutions. ClearOne specializes in conferencing &amp; collaboration technologies, while NetStreams is focused on multimedia &amp; network technologies. The ClearOne and NetStreams products and technologies can stand alone or combine to provide more of the overall solution for customers.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conferencing &amp; collaboration products are used by organizations of all sizes to accomplish effective group communication. Our networked media and control distribution systems are used by a wide range of customers from individual residential users to large enterprises. Our end-users range from some of the world’s largest and most prestigious companies and institutions to small and medium sized businesses, educational institutions, and government organizations as well as individual consumers. We sell our products to these end-users primarily through a network of independent distributors and resellers who in turn sell our products to dealers, systems integrators, and other value-added resellers. We also sell products directly to dealers, systems integrators, value-added resellers, and end-users.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ClearOne has been engaged in the following strategic initiatives to build on our existing leadership in the global audio conferencing market:</w:t>
      </w:r>
    </w:p>
    <w:p>
      <w:pPr>
        <w:spacing w:after="0" w:line="252"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 on Unified Communications (UC) by forging strategic product and channel relationships with major UC systems providers.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 our reach into the enterprise by offering enterprise-wide HD audio, video and data distribution solutions.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and deepen direct relationships with key partner resellers.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successful operational integration of NetStreams into ClearOne, accelerate development of next generation products by tightly integrating ClearOne and NetStreams technologies.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Target bigger vertical markets including digital signage and audio distribution.</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NetStreams’ broad-ranging intellectual property by engaging in a variety of partnership activities ranging from licensing to developing a StreamNet eco-system to expand the application of StreamNet technology.</w:t>
      </w:r>
    </w:p>
    <w:p>
      <w:pPr>
        <w:spacing w:after="0" w:line="2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revenues were $10.4 million and $28.7 million during the three and nine months ended September 30, 2010, compared to $7.6 million and $22.3 million during the three and nine months ended September 30, 2009. Our gross profit increased by $2.3 million and $5.9 million during the three and nine months ended September 30, 2010. Net income rose to $987,000 during the three months ended September 30, 2010 (“2010 Q3”) compared to a net loss of $275,000 during the three months ended September 30, 2009 (“2009 Q3”). Net income for the nine months ended September 30, 2010 (“2010 YTD”) also improved to $1.6 million compared to a net loss of $317,000 during the nine months ended September 30, 2009 (“2009 YTD”). The increase in revenues and profits wer e the result of stabilizing market conditions in the global economy in favor of higher demand for our installed professional conferencing products, successful introduction of new products during the last 12 months and steady growth in demand for our products overseas. Nevertheless, we will continue our existing measures to control costs and monitor future trends closely in response to our observation of our customers’ deliberate selective spending. A detailed discussion of our results of operations follows below.</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for the three months ended September 30, 2010, and 2009, and nine months ended September 30, 2010, and 2009</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quarters</w:t>
      </w:r>
    </w:p>
    <w:p>
      <w:pPr>
        <w:spacing w:after="0" w:line="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ended September 30, 2010 and 2009, and the nine months ended September 30, 2010 and 2009, together with the percentage of total revenue which each such item represents: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b w:val="1"/>
                <w:bCs w:val="1"/>
                <w:color w:val="auto"/>
                <w:w w:val="93"/>
              </w:rPr>
              <w:t>Three months ended September 30,</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90"/>
              </w:rPr>
              <w:t>Nine months ended September 30,</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 of</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 of</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 of</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Revenue</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Revenue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Change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Revenue</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Revenue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FFC080"/>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FFC080"/>
          </w:tcPr>
          <w:p>
            <w:pPr>
              <w:jc w:val="right"/>
              <w:spacing w:after="0"/>
              <w:rPr>
                <w:sz w:val="20"/>
                <w:szCs w:val="20"/>
                <w:color w:val="auto"/>
              </w:rPr>
            </w:pPr>
            <w:r>
              <w:rPr>
                <w:rFonts w:ascii="Arial" w:cs="Arial" w:eastAsia="Arial" w:hAnsi="Arial"/>
                <w:sz w:val="18"/>
                <w:szCs w:val="18"/>
                <w:color w:val="auto"/>
                <w:w w:val="94"/>
              </w:rPr>
              <w:t>10,360</w:t>
            </w:r>
          </w:p>
        </w:tc>
        <w:tc>
          <w:tcPr>
            <w:tcW w:w="1160" w:type="dxa"/>
            <w:vAlign w:val="bottom"/>
            <w:tcBorders>
              <w:left w:val="single" w:sz="8" w:color="FFC080"/>
            </w:tcBorders>
            <w:gridSpan w:val="3"/>
            <w:shd w:val="clear" w:color="auto" w:fill="FFC080"/>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7,646</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100.0%</w:t>
            </w:r>
          </w:p>
        </w:tc>
        <w:tc>
          <w:tcPr>
            <w:tcW w:w="90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35.5%</w:t>
            </w:r>
          </w:p>
        </w:tc>
        <w:tc>
          <w:tcPr>
            <w:tcW w:w="220" w:type="dxa"/>
            <w:vAlign w:val="bottom"/>
            <w:gridSpan w:val="2"/>
            <w:shd w:val="clear" w:color="auto" w:fill="FFC080"/>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w w:val="94"/>
              </w:rPr>
              <w:t>28,652</w:t>
            </w:r>
          </w:p>
        </w:tc>
        <w:tc>
          <w:tcPr>
            <w:tcW w:w="1040" w:type="dxa"/>
            <w:vAlign w:val="bottom"/>
            <w:gridSpan w:val="3"/>
            <w:shd w:val="clear" w:color="auto" w:fill="FFC080"/>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w w:val="94"/>
              </w:rPr>
              <w:t>22,308</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4,105</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3,692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11,542</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11,127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FFC080"/>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5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6,255</w:t>
            </w:r>
          </w:p>
        </w:tc>
        <w:tc>
          <w:tcPr>
            <w:tcW w:w="220" w:type="dxa"/>
            <w:vAlign w:val="bottom"/>
            <w:tcBorders>
              <w:left w:val="single" w:sz="8" w:color="FFC080"/>
            </w:tcBorders>
            <w:shd w:val="clear" w:color="auto" w:fill="FFC080"/>
          </w:tcPr>
          <w:p>
            <w:pPr>
              <w:spacing w:after="0"/>
              <w:rPr>
                <w:sz w:val="18"/>
                <w:szCs w:val="18"/>
                <w:color w:val="auto"/>
              </w:rPr>
            </w:pP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FFC080"/>
          </w:tcPr>
          <w:p>
            <w:pPr>
              <w:spacing w:after="0"/>
              <w:rPr>
                <w:sz w:val="18"/>
                <w:szCs w:val="18"/>
                <w:color w:val="auto"/>
              </w:rPr>
            </w:pPr>
          </w:p>
        </w:tc>
        <w:tc>
          <w:tcPr>
            <w:tcW w:w="7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3,954</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51.7%</w:t>
            </w:r>
          </w:p>
        </w:tc>
        <w:tc>
          <w:tcPr>
            <w:tcW w:w="90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6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w w:val="94"/>
              </w:rPr>
              <w:t>17,110</w:t>
            </w:r>
          </w:p>
        </w:tc>
        <w:tc>
          <w:tcPr>
            <w:tcW w:w="1040" w:type="dxa"/>
            <w:vAlign w:val="bottom"/>
            <w:gridSpan w:val="3"/>
            <w:shd w:val="clear" w:color="auto" w:fill="FFC080"/>
          </w:tcPr>
          <w:p>
            <w:pPr>
              <w:jc w:val="right"/>
              <w:ind w:right="12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w w:val="94"/>
              </w:rPr>
              <w:t>11,181</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50.1%</w:t>
            </w:r>
          </w:p>
        </w:tc>
        <w:tc>
          <w:tcPr>
            <w:tcW w:w="840" w:type="dxa"/>
            <w:vAlign w:val="bottom"/>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2,243</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1,603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6,328</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5,222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FFC080"/>
          </w:tcPr>
          <w:p>
            <w:pPr>
              <w:spacing w:after="0" w:line="201" w:lineRule="exact"/>
              <w:rPr>
                <w:sz w:val="20"/>
                <w:szCs w:val="20"/>
                <w:color w:val="auto"/>
              </w:rPr>
            </w:pPr>
            <w:r>
              <w:rPr>
                <w:rFonts w:ascii="Arial" w:cs="Arial" w:eastAsia="Arial" w:hAnsi="Arial"/>
                <w:sz w:val="18"/>
                <w:szCs w:val="18"/>
                <w:color w:val="auto"/>
              </w:rPr>
              <w:t>Research and product</w:t>
            </w:r>
          </w:p>
        </w:tc>
        <w:tc>
          <w:tcPr>
            <w:tcW w:w="10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540" w:type="dxa"/>
            <w:vAlign w:val="bottom"/>
            <w:shd w:val="clear" w:color="auto" w:fill="FFC080"/>
          </w:tcPr>
          <w:p>
            <w:pPr>
              <w:spacing w:after="0"/>
              <w:rPr>
                <w:sz w:val="17"/>
                <w:szCs w:val="17"/>
                <w:color w:val="auto"/>
              </w:rPr>
            </w:pPr>
          </w:p>
        </w:tc>
        <w:tc>
          <w:tcPr>
            <w:tcW w:w="220" w:type="dxa"/>
            <w:vAlign w:val="bottom"/>
            <w:tcBorders>
              <w:left w:val="single" w:sz="8" w:color="FFC080"/>
            </w:tcBorders>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80" w:type="dxa"/>
            <w:vAlign w:val="bottom"/>
            <w:shd w:val="clear" w:color="auto" w:fill="FFC080"/>
          </w:tcPr>
          <w:p>
            <w:pPr>
              <w:spacing w:after="0"/>
              <w:rPr>
                <w:sz w:val="17"/>
                <w:szCs w:val="17"/>
                <w:color w:val="auto"/>
              </w:rPr>
            </w:pPr>
          </w:p>
        </w:tc>
        <w:tc>
          <w:tcPr>
            <w:tcW w:w="48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8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54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54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FFC080"/>
          </w:tcPr>
          <w:p>
            <w:pPr>
              <w:ind w:left="16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FFC080"/>
          </w:tcPr>
          <w:p>
            <w:pPr>
              <w:spacing w:after="0"/>
              <w:rPr>
                <w:sz w:val="20"/>
                <w:szCs w:val="20"/>
                <w:color w:val="auto"/>
              </w:rPr>
            </w:pPr>
          </w:p>
        </w:tc>
        <w:tc>
          <w:tcPr>
            <w:tcW w:w="140" w:type="dxa"/>
            <w:vAlign w:val="bottom"/>
            <w:shd w:val="clear" w:color="auto" w:fill="FFC080"/>
          </w:tcPr>
          <w:p>
            <w:pPr>
              <w:spacing w:after="0"/>
              <w:rPr>
                <w:sz w:val="20"/>
                <w:szCs w:val="20"/>
                <w:color w:val="auto"/>
              </w:rPr>
            </w:pPr>
          </w:p>
        </w:tc>
        <w:tc>
          <w:tcPr>
            <w:tcW w:w="5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2,124</w:t>
            </w:r>
          </w:p>
        </w:tc>
        <w:tc>
          <w:tcPr>
            <w:tcW w:w="1160" w:type="dxa"/>
            <w:vAlign w:val="bottom"/>
            <w:tcBorders>
              <w:left w:val="single" w:sz="8" w:color="FFC080"/>
            </w:tcBorders>
            <w:gridSpan w:val="3"/>
            <w:shd w:val="clear" w:color="auto" w:fill="FFC080"/>
          </w:tcPr>
          <w:p>
            <w:pPr>
              <w:jc w:val="right"/>
              <w:ind w:right="120"/>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FFC080"/>
          </w:tcPr>
          <w:p>
            <w:pPr>
              <w:spacing w:after="0"/>
              <w:rPr>
                <w:sz w:val="20"/>
                <w:szCs w:val="20"/>
                <w:color w:val="auto"/>
              </w:rPr>
            </w:pPr>
          </w:p>
        </w:tc>
        <w:tc>
          <w:tcPr>
            <w:tcW w:w="7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1,668</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21.8%</w:t>
            </w:r>
          </w:p>
        </w:tc>
        <w:tc>
          <w:tcPr>
            <w:tcW w:w="90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FFC080"/>
          </w:tcPr>
          <w:p>
            <w:pPr>
              <w:spacing w:after="0"/>
              <w:rPr>
                <w:sz w:val="20"/>
                <w:szCs w:val="20"/>
                <w:color w:val="auto"/>
              </w:rPr>
            </w:pPr>
          </w:p>
        </w:tc>
        <w:tc>
          <w:tcPr>
            <w:tcW w:w="140" w:type="dxa"/>
            <w:vAlign w:val="bottom"/>
            <w:shd w:val="clear" w:color="auto" w:fill="FFC080"/>
          </w:tcPr>
          <w:p>
            <w:pPr>
              <w:spacing w:after="0"/>
              <w:rPr>
                <w:sz w:val="20"/>
                <w:szCs w:val="20"/>
                <w:color w:val="auto"/>
              </w:rPr>
            </w:pPr>
          </w:p>
        </w:tc>
        <w:tc>
          <w:tcPr>
            <w:tcW w:w="6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5,772</w:t>
            </w:r>
          </w:p>
        </w:tc>
        <w:tc>
          <w:tcPr>
            <w:tcW w:w="1040" w:type="dxa"/>
            <w:vAlign w:val="bottom"/>
            <w:gridSpan w:val="3"/>
            <w:shd w:val="clear" w:color="auto" w:fill="FFC080"/>
          </w:tcPr>
          <w:p>
            <w:pPr>
              <w:jc w:val="right"/>
              <w:ind w:right="12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FFC080"/>
          </w:tcPr>
          <w:p>
            <w:pPr>
              <w:spacing w:after="0"/>
              <w:rPr>
                <w:sz w:val="20"/>
                <w:szCs w:val="20"/>
                <w:color w:val="auto"/>
              </w:rPr>
            </w:pP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5,589</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25.1%</w:t>
            </w:r>
          </w:p>
        </w:tc>
        <w:tc>
          <w:tcPr>
            <w:tcW w:w="840" w:type="dxa"/>
            <w:vAlign w:val="bottom"/>
            <w:gridSpan w:val="2"/>
            <w:shd w:val="clear" w:color="auto" w:fill="FFC080"/>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8"/>
              </w:rPr>
              <w:t>General and administrative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1,107</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3,252</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2,632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FFC080"/>
          </w:tcPr>
          <w:p>
            <w:pPr>
              <w:spacing w:after="0"/>
              <w:rPr>
                <w:sz w:val="20"/>
                <w:szCs w:val="20"/>
                <w:color w:val="auto"/>
              </w:rPr>
            </w:pPr>
            <w:r>
              <w:rPr>
                <w:rFonts w:ascii="Arial" w:cs="Arial" w:eastAsia="Arial" w:hAnsi="Arial"/>
                <w:sz w:val="18"/>
                <w:szCs w:val="18"/>
                <w:color w:val="auto"/>
              </w:rPr>
              <w:t>Insurance Settlement</w:t>
            </w:r>
          </w:p>
        </w:tc>
        <w:tc>
          <w:tcPr>
            <w:tcW w:w="10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5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FFC080"/>
            </w:tcBorders>
            <w:shd w:val="clear" w:color="auto" w:fill="FFC080"/>
          </w:tcPr>
          <w:p>
            <w:pPr>
              <w:spacing w:after="0"/>
              <w:rPr>
                <w:sz w:val="18"/>
                <w:szCs w:val="18"/>
                <w:color w:val="auto"/>
              </w:rPr>
            </w:pPr>
          </w:p>
        </w:tc>
        <w:tc>
          <w:tcPr>
            <w:tcW w:w="6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FC080"/>
          </w:tcPr>
          <w:p>
            <w:pPr>
              <w:spacing w:after="0"/>
              <w:rPr>
                <w:sz w:val="18"/>
                <w:szCs w:val="18"/>
                <w:color w:val="auto"/>
              </w:rPr>
            </w:pPr>
          </w:p>
        </w:tc>
        <w:tc>
          <w:tcPr>
            <w:tcW w:w="180" w:type="dxa"/>
            <w:vAlign w:val="bottom"/>
            <w:shd w:val="clear" w:color="auto" w:fill="FFC080"/>
          </w:tcPr>
          <w:p>
            <w:pPr>
              <w:spacing w:after="0"/>
              <w:rPr>
                <w:sz w:val="18"/>
                <w:szCs w:val="18"/>
                <w:color w:val="auto"/>
              </w:rPr>
            </w:pPr>
          </w:p>
        </w:tc>
        <w:tc>
          <w:tcPr>
            <w:tcW w:w="7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FC080"/>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66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FC080"/>
          </w:tcPr>
          <w:p>
            <w:pPr>
              <w:spacing w:after="0"/>
              <w:rPr>
                <w:sz w:val="18"/>
                <w:szCs w:val="18"/>
                <w:color w:val="auto"/>
              </w:rPr>
            </w:pPr>
          </w:p>
        </w:tc>
        <w:tc>
          <w:tcPr>
            <w:tcW w:w="940" w:type="dxa"/>
            <w:vAlign w:val="bottom"/>
            <w:gridSpan w:val="2"/>
            <w:shd w:val="clear" w:color="auto" w:fill="FFC080"/>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(1,100)</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-4.9%</w:t>
            </w:r>
          </w:p>
        </w:tc>
        <w:tc>
          <w:tcPr>
            <w:tcW w:w="84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left w:val="single" w:sz="8" w:color="FFC080"/>
            </w:tcBorders>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(646)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1,758</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FFC080"/>
          </w:tcPr>
          <w:p>
            <w:pPr>
              <w:spacing w:after="0"/>
              <w:rPr>
                <w:sz w:val="20"/>
                <w:szCs w:val="20"/>
                <w:color w:val="auto"/>
              </w:rPr>
            </w:pPr>
            <w:r>
              <w:rPr>
                <w:rFonts w:ascii="Arial" w:cs="Arial" w:eastAsia="Arial" w:hAnsi="Arial"/>
                <w:sz w:val="18"/>
                <w:szCs w:val="18"/>
                <w:color w:val="auto"/>
                <w:w w:val="92"/>
              </w:rPr>
              <w:t>Other (expense) income, net</w:t>
            </w:r>
          </w:p>
        </w:tc>
        <w:tc>
          <w:tcPr>
            <w:tcW w:w="10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5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left w:val="single" w:sz="8" w:color="FFC080"/>
            </w:tcBorders>
            <w:shd w:val="clear" w:color="auto" w:fill="FFC080"/>
          </w:tcPr>
          <w:p>
            <w:pPr>
              <w:spacing w:after="0"/>
              <w:rPr>
                <w:sz w:val="18"/>
                <w:szCs w:val="18"/>
                <w:color w:val="auto"/>
              </w:rPr>
            </w:pP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FFC080"/>
          </w:tcPr>
          <w:p>
            <w:pPr>
              <w:spacing w:after="0"/>
              <w:rPr>
                <w:sz w:val="18"/>
                <w:szCs w:val="18"/>
                <w:color w:val="auto"/>
              </w:rPr>
            </w:pPr>
          </w:p>
        </w:tc>
        <w:tc>
          <w:tcPr>
            <w:tcW w:w="480" w:type="dxa"/>
            <w:vAlign w:val="bottom"/>
            <w:shd w:val="clear" w:color="auto" w:fill="FFC080"/>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FFC080"/>
          </w:tcPr>
          <w:p>
            <w:pPr>
              <w:spacing w:after="0"/>
              <w:rPr>
                <w:sz w:val="18"/>
                <w:szCs w:val="18"/>
                <w:color w:val="auto"/>
              </w:rPr>
            </w:pP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0.9%</w:t>
            </w:r>
          </w:p>
        </w:tc>
        <w:tc>
          <w:tcPr>
            <w:tcW w:w="90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-82.1%</w:t>
            </w:r>
          </w:p>
        </w:tc>
        <w:tc>
          <w:tcPr>
            <w:tcW w:w="80" w:type="dxa"/>
            <w:vAlign w:val="bottom"/>
            <w:shd w:val="clear" w:color="auto" w:fill="FFC080"/>
          </w:tcPr>
          <w:p>
            <w:pPr>
              <w:spacing w:after="0"/>
              <w:rPr>
                <w:sz w:val="18"/>
                <w:szCs w:val="18"/>
                <w:color w:val="auto"/>
              </w:rPr>
            </w:pPr>
          </w:p>
        </w:tc>
        <w:tc>
          <w:tcPr>
            <w:tcW w:w="140" w:type="dxa"/>
            <w:vAlign w:val="bottom"/>
            <w:shd w:val="clear" w:color="auto" w:fill="FFC080"/>
          </w:tcPr>
          <w:p>
            <w:pPr>
              <w:spacing w:after="0"/>
              <w:rPr>
                <w:sz w:val="18"/>
                <w:szCs w:val="18"/>
                <w:color w:val="auto"/>
              </w:rPr>
            </w:pPr>
          </w:p>
        </w:tc>
        <w:tc>
          <w:tcPr>
            <w:tcW w:w="6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(120)</w:t>
            </w:r>
          </w:p>
        </w:tc>
        <w:tc>
          <w:tcPr>
            <w:tcW w:w="1040" w:type="dxa"/>
            <w:vAlign w:val="bottom"/>
            <w:gridSpan w:val="3"/>
            <w:shd w:val="clear" w:color="auto" w:fill="FFC080"/>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FFC080"/>
          </w:tcPr>
          <w:p>
            <w:pPr>
              <w:spacing w:after="0"/>
              <w:rPr>
                <w:sz w:val="18"/>
                <w:szCs w:val="18"/>
                <w:color w:val="auto"/>
              </w:rPr>
            </w:pP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352</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left w:val="single" w:sz="8" w:color="FFC080"/>
            </w:tcBorders>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3"/>
              </w:rPr>
              <w:t>Income before income taxes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1,638</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FFC080"/>
          </w:tcPr>
          <w:p>
            <w:pPr>
              <w:spacing w:after="0" w:line="201" w:lineRule="exact"/>
              <w:rPr>
                <w:sz w:val="20"/>
                <w:szCs w:val="20"/>
                <w:color w:val="auto"/>
              </w:rPr>
            </w:pPr>
            <w:r>
              <w:rPr>
                <w:rFonts w:ascii="Arial" w:cs="Arial" w:eastAsia="Arial" w:hAnsi="Arial"/>
                <w:sz w:val="18"/>
                <w:szCs w:val="18"/>
                <w:color w:val="auto"/>
                <w:w w:val="99"/>
              </w:rPr>
              <w:t>(Provision for) benefit from</w:t>
            </w:r>
          </w:p>
        </w:tc>
        <w:tc>
          <w:tcPr>
            <w:tcW w:w="10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540" w:type="dxa"/>
            <w:vAlign w:val="bottom"/>
            <w:shd w:val="clear" w:color="auto" w:fill="FFC080"/>
          </w:tcPr>
          <w:p>
            <w:pPr>
              <w:spacing w:after="0"/>
              <w:rPr>
                <w:sz w:val="17"/>
                <w:szCs w:val="17"/>
                <w:color w:val="auto"/>
              </w:rPr>
            </w:pPr>
          </w:p>
        </w:tc>
        <w:tc>
          <w:tcPr>
            <w:tcW w:w="220" w:type="dxa"/>
            <w:vAlign w:val="bottom"/>
            <w:tcBorders>
              <w:left w:val="single" w:sz="8" w:color="FFC080"/>
            </w:tcBorders>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80" w:type="dxa"/>
            <w:vAlign w:val="bottom"/>
            <w:shd w:val="clear" w:color="auto" w:fill="FFC080"/>
          </w:tcPr>
          <w:p>
            <w:pPr>
              <w:spacing w:after="0"/>
              <w:rPr>
                <w:sz w:val="17"/>
                <w:szCs w:val="17"/>
                <w:color w:val="auto"/>
              </w:rPr>
            </w:pPr>
          </w:p>
        </w:tc>
        <w:tc>
          <w:tcPr>
            <w:tcW w:w="48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8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540" w:type="dxa"/>
            <w:vAlign w:val="bottom"/>
            <w:shd w:val="clear" w:color="auto" w:fill="FFC080"/>
          </w:tcPr>
          <w:p>
            <w:pPr>
              <w:spacing w:after="0"/>
              <w:rPr>
                <w:sz w:val="17"/>
                <w:szCs w:val="17"/>
                <w:color w:val="auto"/>
              </w:rPr>
            </w:pPr>
          </w:p>
        </w:tc>
        <w:tc>
          <w:tcPr>
            <w:tcW w:w="120" w:type="dxa"/>
            <w:vAlign w:val="bottom"/>
            <w:shd w:val="clear" w:color="auto" w:fill="FFC080"/>
          </w:tcPr>
          <w:p>
            <w:pPr>
              <w:spacing w:after="0"/>
              <w:rPr>
                <w:sz w:val="17"/>
                <w:szCs w:val="17"/>
                <w:color w:val="auto"/>
              </w:rPr>
            </w:pPr>
          </w:p>
        </w:tc>
        <w:tc>
          <w:tcPr>
            <w:tcW w:w="10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140" w:type="dxa"/>
            <w:vAlign w:val="bottom"/>
            <w:shd w:val="clear" w:color="auto" w:fill="FFC080"/>
          </w:tcPr>
          <w:p>
            <w:pPr>
              <w:spacing w:after="0"/>
              <w:rPr>
                <w:sz w:val="17"/>
                <w:szCs w:val="17"/>
                <w:color w:val="auto"/>
              </w:rPr>
            </w:pPr>
          </w:p>
        </w:tc>
        <w:tc>
          <w:tcPr>
            <w:tcW w:w="540" w:type="dxa"/>
            <w:vAlign w:val="bottom"/>
            <w:shd w:val="clear" w:color="auto" w:fill="FFC080"/>
          </w:tcPr>
          <w:p>
            <w:pPr>
              <w:spacing w:after="0"/>
              <w:rPr>
                <w:sz w:val="17"/>
                <w:szCs w:val="17"/>
                <w:color w:val="auto"/>
              </w:rPr>
            </w:pPr>
          </w:p>
        </w:tc>
        <w:tc>
          <w:tcPr>
            <w:tcW w:w="22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260" w:type="dxa"/>
            <w:vAlign w:val="bottom"/>
            <w:shd w:val="clear" w:color="auto" w:fill="FFC080"/>
          </w:tcPr>
          <w:p>
            <w:pPr>
              <w:spacing w:after="0"/>
              <w:rPr>
                <w:sz w:val="17"/>
                <w:szCs w:val="17"/>
                <w:color w:val="auto"/>
              </w:rPr>
            </w:pPr>
          </w:p>
        </w:tc>
        <w:tc>
          <w:tcPr>
            <w:tcW w:w="680" w:type="dxa"/>
            <w:vAlign w:val="bottom"/>
            <w:shd w:val="clear" w:color="auto" w:fill="FFC080"/>
          </w:tcPr>
          <w:p>
            <w:pPr>
              <w:spacing w:after="0"/>
              <w:rPr>
                <w:sz w:val="17"/>
                <w:szCs w:val="17"/>
                <w:color w:val="auto"/>
              </w:rPr>
            </w:pPr>
          </w:p>
        </w:tc>
        <w:tc>
          <w:tcPr>
            <w:tcW w:w="160" w:type="dxa"/>
            <w:vAlign w:val="bottom"/>
            <w:shd w:val="clear" w:color="auto" w:fill="FFC08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FFC080"/>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FFC080"/>
          </w:tcPr>
          <w:p>
            <w:pPr>
              <w:spacing w:after="0"/>
              <w:rPr>
                <w:sz w:val="20"/>
                <w:szCs w:val="20"/>
                <w:color w:val="auto"/>
              </w:rPr>
            </w:pPr>
          </w:p>
        </w:tc>
        <w:tc>
          <w:tcPr>
            <w:tcW w:w="140" w:type="dxa"/>
            <w:vAlign w:val="bottom"/>
            <w:shd w:val="clear" w:color="auto" w:fill="FFC080"/>
          </w:tcPr>
          <w:p>
            <w:pPr>
              <w:spacing w:after="0"/>
              <w:rPr>
                <w:sz w:val="20"/>
                <w:szCs w:val="20"/>
                <w:color w:val="auto"/>
              </w:rPr>
            </w:pPr>
          </w:p>
        </w:tc>
        <w:tc>
          <w:tcPr>
            <w:tcW w:w="540" w:type="dxa"/>
            <w:vAlign w:val="bottom"/>
            <w:shd w:val="clear" w:color="auto" w:fill="FFC080"/>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left w:val="single" w:sz="8" w:color="FFC080"/>
            </w:tcBorders>
            <w:shd w:val="clear" w:color="auto" w:fill="FFC080"/>
          </w:tcPr>
          <w:p>
            <w:pPr>
              <w:spacing w:after="0"/>
              <w:rPr>
                <w:sz w:val="20"/>
                <w:szCs w:val="20"/>
                <w:color w:val="auto"/>
              </w:rPr>
            </w:pP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FFC080"/>
          </w:tcPr>
          <w:p>
            <w:pPr>
              <w:spacing w:after="0"/>
              <w:rPr>
                <w:sz w:val="20"/>
                <w:szCs w:val="20"/>
                <w:color w:val="auto"/>
              </w:rPr>
            </w:pPr>
          </w:p>
        </w:tc>
        <w:tc>
          <w:tcPr>
            <w:tcW w:w="70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304</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FFC080"/>
          </w:tcPr>
          <w:p>
            <w:pPr>
              <w:jc w:val="right"/>
              <w:ind w:right="8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FFC080"/>
          </w:tcPr>
          <w:p>
            <w:pPr>
              <w:spacing w:after="0"/>
              <w:rPr>
                <w:sz w:val="20"/>
                <w:szCs w:val="20"/>
                <w:color w:val="auto"/>
              </w:rPr>
            </w:pPr>
          </w:p>
        </w:tc>
        <w:tc>
          <w:tcPr>
            <w:tcW w:w="140" w:type="dxa"/>
            <w:vAlign w:val="bottom"/>
            <w:shd w:val="clear" w:color="auto" w:fill="FFC080"/>
          </w:tcPr>
          <w:p>
            <w:pPr>
              <w:spacing w:after="0"/>
              <w:rPr>
                <w:sz w:val="20"/>
                <w:szCs w:val="20"/>
                <w:color w:val="auto"/>
              </w:rPr>
            </w:pPr>
          </w:p>
        </w:tc>
        <w:tc>
          <w:tcPr>
            <w:tcW w:w="660" w:type="dxa"/>
            <w:vAlign w:val="bottom"/>
            <w:gridSpan w:val="2"/>
            <w:shd w:val="clear" w:color="auto" w:fill="FFC080"/>
          </w:tcPr>
          <w:p>
            <w:pPr>
              <w:jc w:val="right"/>
              <w:ind w:right="60"/>
              <w:spacing w:after="0"/>
              <w:rPr>
                <w:sz w:val="20"/>
                <w:szCs w:val="20"/>
                <w:color w:val="auto"/>
              </w:rPr>
            </w:pPr>
            <w:r>
              <w:rPr>
                <w:rFonts w:ascii="Arial" w:cs="Arial" w:eastAsia="Arial" w:hAnsi="Arial"/>
                <w:sz w:val="18"/>
                <w:szCs w:val="18"/>
                <w:color w:val="auto"/>
              </w:rPr>
              <w:t>(81)</w:t>
            </w:r>
          </w:p>
        </w:tc>
        <w:tc>
          <w:tcPr>
            <w:tcW w:w="1040" w:type="dxa"/>
            <w:vAlign w:val="bottom"/>
            <w:gridSpan w:val="3"/>
            <w:shd w:val="clear" w:color="auto" w:fill="FFC080"/>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FFC080"/>
          </w:tcPr>
          <w:p>
            <w:pPr>
              <w:spacing w:after="0"/>
              <w:rPr>
                <w:sz w:val="20"/>
                <w:szCs w:val="20"/>
                <w:color w:val="auto"/>
              </w:rPr>
            </w:pPr>
          </w:p>
        </w:tc>
        <w:tc>
          <w:tcPr>
            <w:tcW w:w="760" w:type="dxa"/>
            <w:vAlign w:val="bottom"/>
            <w:gridSpan w:val="2"/>
            <w:shd w:val="clear" w:color="auto" w:fill="FFC080"/>
          </w:tcPr>
          <w:p>
            <w:pPr>
              <w:jc w:val="right"/>
              <w:ind w:right="220"/>
              <w:spacing w:after="0"/>
              <w:rPr>
                <w:sz w:val="20"/>
                <w:szCs w:val="20"/>
                <w:color w:val="auto"/>
              </w:rPr>
            </w:pPr>
            <w:r>
              <w:rPr>
                <w:rFonts w:ascii="Arial" w:cs="Arial" w:eastAsia="Arial" w:hAnsi="Arial"/>
                <w:sz w:val="18"/>
                <w:szCs w:val="18"/>
                <w:color w:val="auto"/>
              </w:rPr>
              <w:t>493</w:t>
            </w:r>
          </w:p>
        </w:tc>
        <w:tc>
          <w:tcPr>
            <w:tcW w:w="940" w:type="dxa"/>
            <w:vAlign w:val="bottom"/>
            <w:gridSpan w:val="2"/>
            <w:shd w:val="clear" w:color="auto" w:fill="FFC080"/>
          </w:tcPr>
          <w:p>
            <w:pPr>
              <w:jc w:val="right"/>
              <w:ind w:right="120"/>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FFC080"/>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left w:val="single" w:sz="8" w:color="FFC080"/>
            </w:tcBorders>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8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FFC080"/>
          </w:tcPr>
          <w:p>
            <w:pPr>
              <w:spacing w:after="0"/>
              <w:rPr>
                <w:sz w:val="2"/>
                <w:szCs w:val="2"/>
                <w:color w:val="auto"/>
              </w:rPr>
            </w:pPr>
          </w:p>
        </w:tc>
        <w:tc>
          <w:tcPr>
            <w:tcW w:w="10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FC08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FFC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1,557</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40" w:type="dxa"/>
            <w:vAlign w:val="bottom"/>
            <w:tcBorders>
              <w:bottom w:val="single" w:sz="8" w:color="auto"/>
            </w:tcBorders>
            <w:shd w:val="clear" w:color="auto" w:fill="FFC080"/>
          </w:tcPr>
          <w:p>
            <w:pPr>
              <w:spacing w:after="0"/>
              <w:rPr>
                <w:sz w:val="18"/>
                <w:szCs w:val="18"/>
                <w:color w:val="auto"/>
              </w:rPr>
            </w:pPr>
          </w:p>
        </w:tc>
        <w:tc>
          <w:tcPr>
            <w:tcW w:w="100" w:type="dxa"/>
            <w:vAlign w:val="bottom"/>
            <w:tcBorders>
              <w:bottom w:val="single" w:sz="8" w:color="FFC080"/>
            </w:tcBorders>
            <w:shd w:val="clear" w:color="auto" w:fill="FFC080"/>
          </w:tcPr>
          <w:p>
            <w:pPr>
              <w:spacing w:after="0"/>
              <w:rPr>
                <w:sz w:val="18"/>
                <w:szCs w:val="18"/>
                <w:color w:val="auto"/>
              </w:rPr>
            </w:pPr>
          </w:p>
        </w:tc>
        <w:tc>
          <w:tcPr>
            <w:tcW w:w="140" w:type="dxa"/>
            <w:vAlign w:val="bottom"/>
            <w:tcBorders>
              <w:bottom w:val="single" w:sz="8" w:color="FFC080"/>
            </w:tcBorders>
            <w:shd w:val="clear" w:color="auto" w:fill="FFC080"/>
          </w:tcPr>
          <w:p>
            <w:pPr>
              <w:spacing w:after="0"/>
              <w:rPr>
                <w:sz w:val="18"/>
                <w:szCs w:val="18"/>
                <w:color w:val="auto"/>
              </w:rPr>
            </w:pPr>
          </w:p>
        </w:tc>
        <w:tc>
          <w:tcPr>
            <w:tcW w:w="540" w:type="dxa"/>
            <w:vAlign w:val="bottom"/>
            <w:tcBorders>
              <w:bottom w:val="single" w:sz="8" w:color="FFC080"/>
            </w:tcBorders>
            <w:shd w:val="clear" w:color="auto" w:fill="FFC080"/>
          </w:tcPr>
          <w:p>
            <w:pPr>
              <w:spacing w:after="0"/>
              <w:rPr>
                <w:sz w:val="18"/>
                <w:szCs w:val="18"/>
                <w:color w:val="auto"/>
              </w:rPr>
            </w:pPr>
          </w:p>
        </w:tc>
        <w:tc>
          <w:tcPr>
            <w:tcW w:w="220" w:type="dxa"/>
            <w:vAlign w:val="bottom"/>
            <w:tcBorders>
              <w:left w:val="single" w:sz="8" w:color="FFC080"/>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260" w:type="dxa"/>
            <w:vAlign w:val="bottom"/>
            <w:tcBorders>
              <w:bottom w:val="single" w:sz="8" w:color="FFC080"/>
            </w:tcBorders>
            <w:shd w:val="clear" w:color="auto" w:fill="FFC080"/>
          </w:tcPr>
          <w:p>
            <w:pPr>
              <w:spacing w:after="0"/>
              <w:rPr>
                <w:sz w:val="18"/>
                <w:szCs w:val="18"/>
                <w:color w:val="auto"/>
              </w:rPr>
            </w:pPr>
          </w:p>
        </w:tc>
        <w:tc>
          <w:tcPr>
            <w:tcW w:w="180" w:type="dxa"/>
            <w:vAlign w:val="bottom"/>
            <w:tcBorders>
              <w:bottom w:val="single" w:sz="8" w:color="FFC080"/>
            </w:tcBorders>
            <w:shd w:val="clear" w:color="auto" w:fill="FFC080"/>
          </w:tcPr>
          <w:p>
            <w:pPr>
              <w:spacing w:after="0"/>
              <w:rPr>
                <w:sz w:val="18"/>
                <w:szCs w:val="18"/>
                <w:color w:val="auto"/>
              </w:rPr>
            </w:pPr>
          </w:p>
        </w:tc>
        <w:tc>
          <w:tcPr>
            <w:tcW w:w="480" w:type="dxa"/>
            <w:vAlign w:val="bottom"/>
            <w:tcBorders>
              <w:bottom w:val="single" w:sz="8" w:color="FFC080"/>
            </w:tcBorders>
            <w:shd w:val="clear" w:color="auto" w:fill="FFC080"/>
          </w:tcPr>
          <w:p>
            <w:pPr>
              <w:spacing w:after="0"/>
              <w:rPr>
                <w:sz w:val="18"/>
                <w:szCs w:val="18"/>
                <w:color w:val="auto"/>
              </w:rPr>
            </w:pPr>
          </w:p>
        </w:tc>
        <w:tc>
          <w:tcPr>
            <w:tcW w:w="22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26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220" w:type="dxa"/>
            <w:vAlign w:val="bottom"/>
            <w:tcBorders>
              <w:bottom w:val="single" w:sz="8" w:color="FFC080"/>
            </w:tcBorders>
            <w:shd w:val="clear" w:color="auto" w:fill="FFC080"/>
          </w:tcPr>
          <w:p>
            <w:pPr>
              <w:spacing w:after="0"/>
              <w:rPr>
                <w:sz w:val="18"/>
                <w:szCs w:val="18"/>
                <w:color w:val="auto"/>
              </w:rPr>
            </w:pPr>
          </w:p>
        </w:tc>
        <w:tc>
          <w:tcPr>
            <w:tcW w:w="80" w:type="dxa"/>
            <w:vAlign w:val="bottom"/>
            <w:tcBorders>
              <w:bottom w:val="single" w:sz="8" w:color="FFC080"/>
            </w:tcBorders>
            <w:shd w:val="clear" w:color="auto" w:fill="FFC080"/>
          </w:tcPr>
          <w:p>
            <w:pPr>
              <w:spacing w:after="0"/>
              <w:rPr>
                <w:sz w:val="18"/>
                <w:szCs w:val="18"/>
                <w:color w:val="auto"/>
              </w:rPr>
            </w:pPr>
          </w:p>
        </w:tc>
        <w:tc>
          <w:tcPr>
            <w:tcW w:w="140" w:type="dxa"/>
            <w:vAlign w:val="bottom"/>
            <w:tcBorders>
              <w:bottom w:val="single" w:sz="8" w:color="FFC080"/>
            </w:tcBorders>
            <w:shd w:val="clear" w:color="auto" w:fill="FFC080"/>
          </w:tcPr>
          <w:p>
            <w:pPr>
              <w:spacing w:after="0"/>
              <w:rPr>
                <w:sz w:val="18"/>
                <w:szCs w:val="18"/>
                <w:color w:val="auto"/>
              </w:rPr>
            </w:pPr>
          </w:p>
        </w:tc>
        <w:tc>
          <w:tcPr>
            <w:tcW w:w="540" w:type="dxa"/>
            <w:vAlign w:val="bottom"/>
            <w:tcBorders>
              <w:bottom w:val="single" w:sz="8" w:color="FFC080"/>
            </w:tcBorders>
            <w:shd w:val="clear" w:color="auto" w:fill="FFC080"/>
          </w:tcPr>
          <w:p>
            <w:pPr>
              <w:spacing w:after="0"/>
              <w:rPr>
                <w:sz w:val="18"/>
                <w:szCs w:val="18"/>
                <w:color w:val="auto"/>
              </w:rPr>
            </w:pPr>
          </w:p>
        </w:tc>
        <w:tc>
          <w:tcPr>
            <w:tcW w:w="120" w:type="dxa"/>
            <w:vAlign w:val="bottom"/>
            <w:tcBorders>
              <w:bottom w:val="single" w:sz="8" w:color="FFC080"/>
            </w:tcBorders>
            <w:shd w:val="clear" w:color="auto" w:fill="FFC080"/>
          </w:tcPr>
          <w:p>
            <w:pPr>
              <w:spacing w:after="0"/>
              <w:rPr>
                <w:sz w:val="18"/>
                <w:szCs w:val="18"/>
                <w:color w:val="auto"/>
              </w:rPr>
            </w:pPr>
          </w:p>
        </w:tc>
        <w:tc>
          <w:tcPr>
            <w:tcW w:w="10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260" w:type="dxa"/>
            <w:vAlign w:val="bottom"/>
            <w:tcBorders>
              <w:bottom w:val="single" w:sz="8" w:color="FFC080"/>
            </w:tcBorders>
            <w:shd w:val="clear" w:color="auto" w:fill="FFC080"/>
          </w:tcPr>
          <w:p>
            <w:pPr>
              <w:spacing w:after="0"/>
              <w:rPr>
                <w:sz w:val="18"/>
                <w:szCs w:val="18"/>
                <w:color w:val="auto"/>
              </w:rPr>
            </w:pPr>
          </w:p>
        </w:tc>
        <w:tc>
          <w:tcPr>
            <w:tcW w:w="140" w:type="dxa"/>
            <w:vAlign w:val="bottom"/>
            <w:tcBorders>
              <w:bottom w:val="single" w:sz="8" w:color="FFC080"/>
            </w:tcBorders>
            <w:shd w:val="clear" w:color="auto" w:fill="FFC080"/>
          </w:tcPr>
          <w:p>
            <w:pPr>
              <w:spacing w:after="0"/>
              <w:rPr>
                <w:sz w:val="18"/>
                <w:szCs w:val="18"/>
                <w:color w:val="auto"/>
              </w:rPr>
            </w:pPr>
          </w:p>
        </w:tc>
        <w:tc>
          <w:tcPr>
            <w:tcW w:w="540" w:type="dxa"/>
            <w:vAlign w:val="bottom"/>
            <w:tcBorders>
              <w:bottom w:val="single" w:sz="8" w:color="FFC080"/>
            </w:tcBorders>
            <w:shd w:val="clear" w:color="auto" w:fill="FFC080"/>
          </w:tcPr>
          <w:p>
            <w:pPr>
              <w:spacing w:after="0"/>
              <w:rPr>
                <w:sz w:val="18"/>
                <w:szCs w:val="18"/>
                <w:color w:val="auto"/>
              </w:rPr>
            </w:pPr>
          </w:p>
        </w:tc>
        <w:tc>
          <w:tcPr>
            <w:tcW w:w="22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260" w:type="dxa"/>
            <w:vAlign w:val="bottom"/>
            <w:tcBorders>
              <w:bottom w:val="single" w:sz="8" w:color="FFC080"/>
            </w:tcBorders>
            <w:shd w:val="clear" w:color="auto" w:fill="FFC080"/>
          </w:tcPr>
          <w:p>
            <w:pPr>
              <w:spacing w:after="0"/>
              <w:rPr>
                <w:sz w:val="18"/>
                <w:szCs w:val="18"/>
                <w:color w:val="auto"/>
              </w:rPr>
            </w:pPr>
          </w:p>
        </w:tc>
        <w:tc>
          <w:tcPr>
            <w:tcW w:w="680" w:type="dxa"/>
            <w:vAlign w:val="bottom"/>
            <w:tcBorders>
              <w:bottom w:val="single" w:sz="8" w:color="FFC080"/>
            </w:tcBorders>
            <w:shd w:val="clear" w:color="auto" w:fill="FFC080"/>
          </w:tcPr>
          <w:p>
            <w:pPr>
              <w:spacing w:after="0"/>
              <w:rPr>
                <w:sz w:val="18"/>
                <w:szCs w:val="18"/>
                <w:color w:val="auto"/>
              </w:rPr>
            </w:pPr>
          </w:p>
        </w:tc>
        <w:tc>
          <w:tcPr>
            <w:tcW w:w="160" w:type="dxa"/>
            <w:vAlign w:val="bottom"/>
            <w:tcBorders>
              <w:bottom w:val="single" w:sz="8" w:color="FFC080"/>
            </w:tcBorders>
            <w:shd w:val="clear" w:color="auto" w:fill="FFC080"/>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2010 Q3 increased by approximately 35.5% over 2009 Q3, while revenue for 2010 YTD increased by 28.4% over revenue for 2009 YTD. The increase was caused by an overall increase in revenue from our professional and personal audio conferencing products lines due to increased demand for our products in the international markets, stabilization in the global economy and due to contribution of additional revenue from the introduction of new products and NetStreams products. The revenue from tabletop conferencing products was limited during 2010 Q3 due to the transition of our production to our new global electronics manufacturing services (EMS) provider. We expect to reach our normal capacity of production and supply of global tabletop conferencing products during the fourth quarter of 2010.</w:t>
      </w:r>
    </w:p>
    <w:p>
      <w:pPr>
        <w:spacing w:after="0" w:line="2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2010 Q3 and 2009 Q3, the net change in deferred revenue was a net recognition of revenue of $334,000 and a net deferral of revenue of $595,000, respectively. During 2010 YTD and 2009 YTD, the net change in deferred revenue was a net recognition of revenue of $8,000 and $16,000 respectively. See “Critical Accounting Policies and Estimates” under “Revenue and Associated Allowance for Revenue Adjustments and Doubtful Accounts” below for a detailed discussion of deferred revenue.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Costs of Goods Sold and Gross Profit</w:t>
      </w:r>
    </w:p>
    <w:p>
      <w:pPr>
        <w:spacing w:after="0" w:line="25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208"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Our gross profit margin (GPM), which is gross profit as a percentage of revenue, was 60.4% and 51.7% in 2010 Q3 and 2009 Q3, respectively. GPM for 2010 YTD was 59.7% compared to 50.1% during 2009 YTD. GPM improved in 2010 in comparison to 2009 primarily due to reduction in inventory obsolescence, increase in sales of high margin professional conferencing products and decrease in sales of lower margin tabletop conferencing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2010 Q3 operating expenses were approximately $5.5 million, an increase of approximately $0.9 million from $4.6 million in 2009 Q3 or an increase of 19% over 2009 Q3 expenses. Operating expenses during 2010 YTD were $15.4 million compared to $13.4 million during 2009 YTD after excluding insurance settlement proceeds.</w:t>
      </w:r>
    </w:p>
    <w:p>
      <w:pPr>
        <w:spacing w:after="0" w:line="20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S&amp;M expenses during 2010 Q3 increased by approximately $640,000, or 40% when compared to 2009 Q3. The increase in S&amp;M expenses during 2010 YTD was $1.1 million, or 21% when compared to 2009 YTD. The increases were primarily due to an increase in commissions on sales, additional expenditures incurred on NetStreams sales personnel, and additional investment in NetStreams sales infrastructure.</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R&amp;D expenses during 2010 Q3 increased by $456,000 or 27% compared to expenses during 2009 Q3. Similarly, R&amp;D expenses during 2010 YTD increased by $183,000 or 3% compared to 2009 YTD expenses. The increases were primarily due to additional compensation costs associated with NetStreams personnel partially offset by reduction in salaries, consulting fees and project expenses.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pacing w:after="0" w:line="19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G&amp;A expenses during 2010 Q3 decreased by $222,000 when compared to expenditures incurred in 2009 Q3. The decrease was primarily due to savings in legal fees partially offset by increases in the allowance for doubtful debts, accounting services and amortization of intangibles.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G&amp;A expenses increased approximately by $620,000 during 2010 YTD in comparison to G&amp;A expenses in 2009 YTD. During 2009 YTD, G&amp;A expenses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reduced by approximately $1.1 million for reversal of accrued legal expenses and $145,000 for receipt of an insurance settlement. After excluding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above said reversal in 2009 Q1 and receipt of an insurance settlement mentioned above, G&amp;A expenses during 2010 YTD decreased approximately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$672,000 compared to 2009 YTD. The decrease was primarily due to reduction in legal expenses and compensation cost partially offset by increases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compensation, allowance for doubtful accounts, accounting services and amortization of intangibles. We continue to incur high legal expenses due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litigation to protect our intellectual property and to defend ourselves from i ndemnification claims made by former officers.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gain (loss) on the disposal of assets, and currency gain (loss).</w:t>
      </w:r>
    </w:p>
    <w:p>
      <w:pPr>
        <w:spacing w:after="0" w:line="23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Other income, net during 2010 Q3 decreased by approximately $55,000 compared to 2009 Q3 primarily due to reduction in interest income. Other expense, net during 2010 YTD was ($120,000) compared to other income, net of approximately $352,000 during 2009 YTD. The difference was due to reduction in interest income by $287,000, a loss of approximately $111,000 incurred on disposal of fixed assets and interest expense of approximately $51,000.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from (provision for) income taxes</w:t>
      </w:r>
    </w:p>
    <w:p>
      <w:pPr>
        <w:spacing w:after="0" w:line="2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Benefit from income taxes during 2010 Q3 and 2009 Q3 were $194,000 and $304,000 respectively. Provision for taxes during 2010 YTD was ($81,000) compared to benefit from income taxes of $493,000 during 2009 YTD.</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Income taxes are based on the estimated effective federal, state and foreign income tax rates. Our tax rates for 2010 Q3 and 2010 YTD were favorable primarily as a result of the reversal of an uncertain tax liability for approximately $935,000 during 2010 Q3 due to favorable conclusion of federal tax audit.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As of September 30, 2010, our cash and cash equivalents were approximately $11.5 million, an increase of $2.0 million compared to cash and cash equivalents of approximately $9.5 million as of December 31, 2009.</w:t>
      </w:r>
    </w:p>
    <w:p>
      <w:pPr>
        <w:spacing w:after="0" w:line="19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cash provided by operating activities was $4.4 million in the nine months ended September 30, 2010, an increase of $5.4 million from the net cash used by operating activities of approximately $957,000 in the nine months ended September 30, 2009. The increase was primarily due to increased profits, realization of inventory and increase in accrued expenses partially offset by an increase in accounts receivable.</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investing activities during the nine months ended September 30, 2010 was approximately $398,000, made up of the receipt of $350,000 of final working capital adjustment from sellers of NetStreams, Inc. and purchase of equipment of approximately $748,000. Net cash provided by investing activities in the nine months ended September 30, 2009 was $7.0 million primarily due to proceeds realized on sale of marketable securities partially offset by the purchase of equipment and marketable securities.</w:t>
      </w:r>
    </w:p>
    <w:p>
      <w:pPr>
        <w:spacing w:after="0" w:line="21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During the nine months ended September 30, 2010, $2 million of debt assumed at the time of acquisition of NetStreams was fully paid, representing the cash used in financing activities. Net cash provided by financing activities during the nine months ended September 30, 2009 was approximately $120,000, being the proceeds received from issuance of stock upon exercise of stock options.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2010 our working capital was $20.3 million as compared to $16.3 million as of December 31, 2009.</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solid business model will help us raise additional capital when needed to meet our short and long-term financing needs. In addition to capital expenditures, we may use cash during the near future for selective investments in technological, marketing or product manufacturing capabilities to broaden our product offerings, and acquisitions that may strategically fit our business and are accretive to our business performance.</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However, no assurance can be given that changes will not occur that would consume available capital resources at a rate more rapidly than anticipated and we may need or want to raise additional debt or equity financing to fund our operations within this period of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2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significant accounting policies are described in our Annual Report on Form 10-K for the year ended June 30, 2009 and transition report on Form 10-KT for the six months ended December 31, 2009. We believe the following critical accounting policies identify our most critical accounting policies, which are the policies that are both important to the representation of our financial condition and results and requires our most difficult, subjective or complex judgments, often as a result of the need to make estimates about the effect of matters that are inherently uncertain.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described below. In a s mall number of cases, the distributors are also permitted to return the products for other business reasons.</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deferral for revenue and associated cost of goods sold are calculated and recorded based upon the actual channel inventory reported at quarter-end. Further, with re spect to distributors and other channel partners not reporting the channel inventory, the revenue and associated cost of goods sold are deferred until we receive payment for the product sales made to such distributors or channel partners.</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amounts of deferred cost of goods sold were included in consigned inventory. The following table details the amount of deferred revenue, cost of goods sold, and gross profit: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FFC080"/>
          </w:tcPr>
          <w:p>
            <w:pPr>
              <w:spacing w:after="0"/>
              <w:rPr>
                <w:sz w:val="20"/>
                <w:szCs w:val="20"/>
                <w:color w:val="auto"/>
              </w:rPr>
            </w:pPr>
            <w:r>
              <w:rPr>
                <w:rFonts w:ascii="Arial" w:cs="Arial" w:eastAsia="Arial" w:hAnsi="Arial"/>
                <w:sz w:val="18"/>
                <w:szCs w:val="18"/>
                <w:color w:val="auto"/>
              </w:rPr>
              <w:t>Deferred revenue</w:t>
            </w:r>
          </w:p>
        </w:tc>
        <w:tc>
          <w:tcPr>
            <w:tcW w:w="3220" w:type="dxa"/>
            <w:vAlign w:val="bottom"/>
            <w:gridSpan w:val="2"/>
            <w:shd w:val="clear" w:color="auto" w:fill="FFC080"/>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4,699</w:t>
            </w:r>
          </w:p>
        </w:tc>
        <w:tc>
          <w:tcPr>
            <w:tcW w:w="400" w:type="dxa"/>
            <w:vAlign w:val="bottom"/>
            <w:gridSpan w:val="2"/>
            <w:shd w:val="clear" w:color="auto" w:fill="FFC080"/>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40" w:type="dxa"/>
            <w:vAlign w:val="bottom"/>
            <w:shd w:val="clear" w:color="auto" w:fill="FFC080"/>
          </w:tcPr>
          <w:p>
            <w:pPr>
              <w:spacing w:after="0"/>
              <w:rPr>
                <w:sz w:val="20"/>
                <w:szCs w:val="20"/>
                <w:color w:val="auto"/>
              </w:rPr>
            </w:pPr>
            <w:r>
              <w:rPr>
                <w:rFonts w:ascii="Arial" w:cs="Arial" w:eastAsia="Arial" w:hAnsi="Arial"/>
                <w:sz w:val="18"/>
                <w:szCs w:val="18"/>
                <w:color w:val="auto"/>
              </w:rPr>
              <w:t>Deferred gross profit</w:t>
            </w:r>
          </w:p>
        </w:tc>
        <w:tc>
          <w:tcPr>
            <w:tcW w:w="3060" w:type="dxa"/>
            <w:vAlign w:val="bottom"/>
            <w:shd w:val="clear" w:color="auto" w:fill="FFC080"/>
          </w:tcPr>
          <w:p>
            <w:pPr>
              <w:spacing w:after="0"/>
              <w:rPr>
                <w:sz w:val="20"/>
                <w:szCs w:val="20"/>
                <w:color w:val="auto"/>
              </w:rPr>
            </w:pPr>
          </w:p>
        </w:tc>
        <w:tc>
          <w:tcPr>
            <w:tcW w:w="160" w:type="dxa"/>
            <w:vAlign w:val="bottom"/>
            <w:shd w:val="clear" w:color="auto" w:fill="FFC080"/>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FFC080"/>
          </w:tcPr>
          <w:p>
            <w:pPr>
              <w:jc w:val="right"/>
              <w:ind w:right="140"/>
              <w:spacing w:after="0"/>
              <w:rPr>
                <w:sz w:val="20"/>
                <w:szCs w:val="20"/>
                <w:color w:val="auto"/>
              </w:rPr>
            </w:pPr>
            <w:r>
              <w:rPr>
                <w:rFonts w:ascii="Arial" w:cs="Arial" w:eastAsia="Arial" w:hAnsi="Arial"/>
                <w:sz w:val="18"/>
                <w:szCs w:val="18"/>
                <w:color w:val="auto"/>
              </w:rPr>
              <w:t>2,915</w:t>
            </w:r>
          </w:p>
        </w:tc>
        <w:tc>
          <w:tcPr>
            <w:tcW w:w="400" w:type="dxa"/>
            <w:vAlign w:val="bottom"/>
            <w:gridSpan w:val="2"/>
            <w:shd w:val="clear" w:color="auto" w:fill="FFC080"/>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FC080"/>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FFC080"/>
            </w:tcBorders>
            <w:shd w:val="clear" w:color="auto" w:fill="FFC080"/>
          </w:tcPr>
          <w:p>
            <w:pPr>
              <w:spacing w:after="0" w:line="20" w:lineRule="exact"/>
              <w:rPr>
                <w:sz w:val="1"/>
                <w:szCs w:val="1"/>
                <w:color w:val="auto"/>
              </w:rPr>
            </w:pPr>
          </w:p>
        </w:tc>
        <w:tc>
          <w:tcPr>
            <w:tcW w:w="3060" w:type="dxa"/>
            <w:vAlign w:val="bottom"/>
            <w:tcBorders>
              <w:top w:val="single" w:sz="8" w:color="FFC080"/>
            </w:tcBorders>
            <w:shd w:val="clear" w:color="auto" w:fill="FFC08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FC080"/>
            </w:tcBorders>
            <w:shd w:val="clear" w:color="auto" w:fill="FFC080"/>
          </w:tcPr>
          <w:p>
            <w:pPr>
              <w:spacing w:after="0" w:line="20" w:lineRule="exact"/>
              <w:rPr>
                <w:sz w:val="1"/>
                <w:szCs w:val="1"/>
                <w:color w:val="auto"/>
              </w:rPr>
            </w:pPr>
          </w:p>
        </w:tc>
        <w:tc>
          <w:tcPr>
            <w:tcW w:w="80" w:type="dxa"/>
            <w:vAlign w:val="bottom"/>
            <w:tcBorders>
              <w:top w:val="single" w:sz="8" w:color="FFC080"/>
            </w:tcBorders>
            <w:shd w:val="clear" w:color="auto" w:fill="FFC08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FC080"/>
            </w:tcBorders>
            <w:shd w:val="clear" w:color="auto" w:fill="FFC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allocated the purchase price on acquisition of NetStreams, Inc. on the basis of well established valuation techniques performed by qualified experts.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Goodwill is measured as the excess of the cost of acquisition over the sum of the amounts assigned to tangible and identifiable intangible assets acquired less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liabilities assumed. We intend to perform impairment tests of goodwill and intangible assets with an indefinite useful life, on an annual basis in the fourth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fiscal quarter, or sooner if a triggering event occurs suggesting possible impairment of the values of these assets. As of December 31, 2009, $726,000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$400,000 have been recorded as goodwill and intangible assets with an indefinite useful life, respectively. In response to changes in industry, technology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competitive circumstances we might be required to exit or dispose of the business acquired through NetStreams, Inc., which could result in an impairment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 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Our valuation allowance at September 30, 2010 is $858,000.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w:t>
      </w:r>
    </w:p>
    <w:p>
      <w:pPr>
        <w:spacing w:after="0" w:line="3"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17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In December 2004, the FASB issued guidelines now contained under FASB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 Under ASC Topic 718, we measure the cost of empl 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4T.  CONTROLS AND PROCEDURES</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September 30, 2010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September 30, 2010 to ensure that information required to be disclosed by us in reports we file or submit under the Exchange Act is recorded, processed, summarized and reported as specified in the SEC’s rules and forms.</w:t>
      </w: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2010 that materially affected, or that we believe is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following is an update to the status of the legal proceedings and commitments and contingencies reported in our Form 10-KT for the transition period ended December 31, 2009 under Note - 9 Commitments and Contingencies of the Notes to Consolidated Financial Statements (Part II, Item 8).</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 of Officers and Directors</w:t>
      </w:r>
      <w:r>
        <w:rPr>
          <w:rFonts w:ascii="Arial" w:cs="Arial" w:eastAsia="Arial" w:hAnsi="Arial"/>
          <w:sz w:val="22"/>
          <w:szCs w:val="22"/>
          <w:color w:val="auto"/>
        </w:rPr>
        <w:t>.</w:t>
      </w:r>
    </w:p>
    <w:p>
      <w:pPr>
        <w:spacing w:after="0" w:line="215"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u w:val="single" w:color="auto"/>
          <w:color w:val="auto"/>
        </w:rPr>
        <w:t>Flood</w:t>
      </w:r>
      <w:r>
        <w:rPr>
          <w:rFonts w:ascii="Arial" w:cs="Arial" w:eastAsia="Arial" w:hAnsi="Arial"/>
          <w:sz w:val="17"/>
          <w:szCs w:val="17"/>
          <w:b w:val="1"/>
          <w:bCs w:val="1"/>
          <w:color w:val="auto"/>
        </w:rPr>
        <w:t xml:space="preserve">: </w:t>
      </w:r>
      <w:r>
        <w:rPr>
          <w:rFonts w:ascii="Arial" w:cs="Arial" w:eastAsia="Arial" w:hAnsi="Arial"/>
          <w:sz w:val="17"/>
          <w:szCs w:val="17"/>
          <w:color w:val="auto"/>
        </w:rPr>
        <w:t>On August 30, 2010, the Tenth Circuit Court of Appeals issued a ruling vacating the District Court’s preliminary injunction on the grounds that</w:t>
      </w:r>
      <w:r>
        <w:rPr>
          <w:rFonts w:ascii="Arial" w:cs="Arial" w:eastAsia="Arial" w:hAnsi="Arial"/>
          <w:sz w:val="17"/>
          <w:szCs w:val="17"/>
          <w:b w:val="1"/>
          <w:bCs w:val="1"/>
          <w:color w:val="auto"/>
        </w:rPr>
        <w:t xml:space="preserve"> </w:t>
      </w:r>
      <w:r>
        <w:rPr>
          <w:rFonts w:ascii="Arial" w:cs="Arial" w:eastAsia="Arial" w:hAnsi="Arial"/>
          <w:sz w:val="17"/>
          <w:szCs w:val="17"/>
          <w:color w:val="auto"/>
        </w:rPr>
        <w:t>ClearOne’s promise to advance criminal defense expenses was conditioned upon compliance with ClearOne’s bylaws and ClearOne had the power to cease advancement based on certain conditions, as long as ClearOne acted in good faith. Since the District Court had erred by reforming the Employment Separation Agreement to make ClearOne’s obligation to advance unconditional, the case was remanded to the District Court.</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u w:val="single" w:color="auto"/>
          <w:color w:val="auto"/>
        </w:rPr>
        <w:t>Strohm</w:t>
      </w:r>
      <w:r>
        <w:rPr>
          <w:rFonts w:ascii="Arial" w:cs="Arial" w:eastAsia="Arial" w:hAnsi="Arial"/>
          <w:sz w:val="17"/>
          <w:szCs w:val="17"/>
          <w:b w:val="1"/>
          <w:bCs w:val="1"/>
          <w:color w:val="auto"/>
        </w:rPr>
        <w:t xml:space="preserve">: </w:t>
      </w:r>
      <w:r>
        <w:rPr>
          <w:rFonts w:ascii="Arial" w:cs="Arial" w:eastAsia="Arial" w:hAnsi="Arial"/>
          <w:sz w:val="17"/>
          <w:szCs w:val="17"/>
          <w:color w:val="auto"/>
        </w:rPr>
        <w:t>On June 30, 2010, Strohm’s counsel filed its petition for attorneys’ fees and costs seeking over $3.0 million in addition to the $1.4 million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ClearOne has already paid to Strohm’s counsel in connection with her federal criminal defense. ClearOne submitted opposition papers on August 16, 2010 and September 13, 2010 arguing that Strohm’s counsel had been paid all reasonable fees and that ClearOne effectively terminated any obligation to Strohm’s counsel on November 30, 2009. The Third Judicial District Court in Salt Lake City held hearings in connection with Strohm’s counsel’s fee petition and ClearOne’s cross-motion on Sep tember 20 and 23, 2010 and a decision is pending.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9900" w:type="dxa"/>
            <w:vAlign w:val="bottom"/>
            <w:gridSpan w:val="4"/>
          </w:tcPr>
          <w:p>
            <w:pPr>
              <w:ind w:left="40"/>
              <w:spacing w:after="0"/>
              <w:rPr>
                <w:sz w:val="20"/>
                <w:szCs w:val="20"/>
                <w:color w:val="auto"/>
              </w:rPr>
            </w:pPr>
            <w:r>
              <w:rPr>
                <w:rFonts w:ascii="Arial" w:cs="Arial" w:eastAsia="Arial" w:hAnsi="Arial"/>
                <w:sz w:val="18"/>
                <w:szCs w:val="18"/>
                <w:b w:val="1"/>
                <w:bCs w:val="1"/>
                <w:color w:val="auto"/>
              </w:rPr>
              <w:t>Title of Document</w:t>
            </w:r>
          </w:p>
        </w:tc>
      </w:tr>
      <w:tr>
        <w:trPr>
          <w:trHeight w:val="75"/>
        </w:trPr>
        <w:tc>
          <w:tcPr>
            <w:tcW w:w="13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9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r>
      <w:tr>
        <w:trPr>
          <w:trHeight w:val="243"/>
        </w:trPr>
        <w:tc>
          <w:tcPr>
            <w:tcW w:w="130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85"/>
              </w:rPr>
              <w:t>31.1</w:t>
            </w:r>
          </w:p>
        </w:tc>
        <w:tc>
          <w:tcPr>
            <w:tcW w:w="220" w:type="dxa"/>
            <w:vAlign w:val="bottom"/>
            <w:shd w:val="clear" w:color="auto" w:fill="FFC080"/>
          </w:tcPr>
          <w:p>
            <w:pPr>
              <w:spacing w:after="0"/>
              <w:rPr>
                <w:sz w:val="21"/>
                <w:szCs w:val="21"/>
                <w:color w:val="auto"/>
              </w:rPr>
            </w:pPr>
          </w:p>
        </w:tc>
        <w:tc>
          <w:tcPr>
            <w:tcW w:w="880" w:type="dxa"/>
            <w:vAlign w:val="bottom"/>
            <w:shd w:val="clear" w:color="auto" w:fill="FFC080"/>
          </w:tcPr>
          <w:p>
            <w:pPr>
              <w:spacing w:after="0"/>
              <w:rPr>
                <w:sz w:val="20"/>
                <w:szCs w:val="20"/>
                <w:color w:val="auto"/>
              </w:rPr>
            </w:pPr>
            <w:r>
              <w:rPr>
                <w:rFonts w:ascii="Arial" w:cs="Arial" w:eastAsia="Arial" w:hAnsi="Arial"/>
                <w:sz w:val="18"/>
                <w:szCs w:val="18"/>
                <w:color w:val="0000EE"/>
                <w:w w:val="90"/>
              </w:rPr>
              <w:t>Section 302</w:t>
            </w:r>
          </w:p>
        </w:tc>
        <w:tc>
          <w:tcPr>
            <w:tcW w:w="9020" w:type="dxa"/>
            <w:vAlign w:val="bottom"/>
            <w:gridSpan w:val="3"/>
            <w:shd w:val="clear" w:color="auto" w:fill="FFC080"/>
          </w:tcPr>
          <w:p>
            <w:pPr>
              <w:ind w:left="20"/>
              <w:spacing w:after="0"/>
              <w:rPr>
                <w:sz w:val="20"/>
                <w:szCs w:val="20"/>
                <w:color w:val="auto"/>
              </w:rPr>
            </w:pPr>
            <w:r>
              <w:rPr>
                <w:rFonts w:ascii="Arial" w:cs="Arial" w:eastAsia="Arial" w:hAnsi="Arial"/>
                <w:sz w:val="18"/>
                <w:szCs w:val="18"/>
                <w:color w:val="0000EE"/>
              </w:rPr>
              <w:t>Certification of Chief Executive Officer</w:t>
            </w:r>
          </w:p>
        </w:tc>
      </w:tr>
      <w:tr>
        <w:trPr>
          <w:trHeight w:val="88"/>
        </w:trPr>
        <w:tc>
          <w:tcPr>
            <w:tcW w:w="1300" w:type="dxa"/>
            <w:vAlign w:val="bottom"/>
            <w:tcBorders>
              <w:top w:val="single" w:sz="8" w:color="FFC080"/>
            </w:tcBorders>
            <w:shd w:val="clear" w:color="auto" w:fill="FFC080"/>
          </w:tcPr>
          <w:p>
            <w:pPr>
              <w:spacing w:after="0"/>
              <w:rPr>
                <w:sz w:val="7"/>
                <w:szCs w:val="7"/>
                <w:color w:val="auto"/>
              </w:rPr>
            </w:pPr>
          </w:p>
        </w:tc>
        <w:tc>
          <w:tcPr>
            <w:tcW w:w="220" w:type="dxa"/>
            <w:vAlign w:val="bottom"/>
            <w:tcBorders>
              <w:top w:val="single" w:sz="8" w:color="FFC080"/>
            </w:tcBorders>
            <w:shd w:val="clear" w:color="auto" w:fill="FFC080"/>
          </w:tcPr>
          <w:p>
            <w:pPr>
              <w:spacing w:after="0"/>
              <w:rPr>
                <w:sz w:val="7"/>
                <w:szCs w:val="7"/>
                <w:color w:val="auto"/>
              </w:rPr>
            </w:pPr>
          </w:p>
        </w:tc>
        <w:tc>
          <w:tcPr>
            <w:tcW w:w="880" w:type="dxa"/>
            <w:vAlign w:val="bottom"/>
            <w:tcBorders>
              <w:top w:val="single" w:sz="8" w:color="0000EE"/>
            </w:tcBorders>
            <w:shd w:val="clear" w:color="auto" w:fill="FFC080"/>
          </w:tcPr>
          <w:p>
            <w:pPr>
              <w:spacing w:after="0"/>
              <w:rPr>
                <w:sz w:val="7"/>
                <w:szCs w:val="7"/>
                <w:color w:val="auto"/>
              </w:rPr>
            </w:pPr>
          </w:p>
        </w:tc>
        <w:tc>
          <w:tcPr>
            <w:tcW w:w="2900" w:type="dxa"/>
            <w:vAlign w:val="bottom"/>
            <w:tcBorders>
              <w:top w:val="single" w:sz="8" w:color="0000EE"/>
            </w:tcBorders>
            <w:shd w:val="clear" w:color="auto" w:fill="FFC080"/>
          </w:tcPr>
          <w:p>
            <w:pPr>
              <w:spacing w:after="0"/>
              <w:rPr>
                <w:sz w:val="7"/>
                <w:szCs w:val="7"/>
                <w:color w:val="auto"/>
              </w:rPr>
            </w:pPr>
          </w:p>
        </w:tc>
        <w:tc>
          <w:tcPr>
            <w:tcW w:w="200" w:type="dxa"/>
            <w:vAlign w:val="bottom"/>
            <w:tcBorders>
              <w:top w:val="single" w:sz="8" w:color="FFC080"/>
            </w:tcBorders>
            <w:shd w:val="clear" w:color="auto" w:fill="FFC080"/>
          </w:tcPr>
          <w:p>
            <w:pPr>
              <w:spacing w:after="0"/>
              <w:rPr>
                <w:sz w:val="7"/>
                <w:szCs w:val="7"/>
                <w:color w:val="auto"/>
              </w:rPr>
            </w:pPr>
          </w:p>
        </w:tc>
        <w:tc>
          <w:tcPr>
            <w:tcW w:w="5920" w:type="dxa"/>
            <w:vAlign w:val="bottom"/>
            <w:tcBorders>
              <w:top w:val="single" w:sz="8" w:color="FFC080"/>
            </w:tcBorders>
            <w:shd w:val="clear" w:color="auto" w:fill="FFC080"/>
          </w:tcPr>
          <w:p>
            <w:pPr>
              <w:spacing w:after="0"/>
              <w:rPr>
                <w:sz w:val="7"/>
                <w:szCs w:val="7"/>
                <w:color w:val="auto"/>
              </w:rPr>
            </w:pPr>
          </w:p>
        </w:tc>
      </w:tr>
      <w:tr>
        <w:trPr>
          <w:trHeight w:val="243"/>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EE"/>
                <w:w w:val="90"/>
              </w:rPr>
              <w:t>Section 302</w:t>
            </w:r>
          </w:p>
        </w:tc>
        <w:tc>
          <w:tcPr>
            <w:tcW w:w="9020" w:type="dxa"/>
            <w:vAlign w:val="bottom"/>
            <w:gridSpan w:val="3"/>
          </w:tcPr>
          <w:p>
            <w:pPr>
              <w:ind w:left="20"/>
              <w:spacing w:after="0"/>
              <w:rPr>
                <w:sz w:val="20"/>
                <w:szCs w:val="20"/>
                <w:color w:val="auto"/>
              </w:rPr>
            </w:pPr>
            <w:r>
              <w:rPr>
                <w:rFonts w:ascii="Arial" w:cs="Arial" w:eastAsia="Arial" w:hAnsi="Arial"/>
                <w:sz w:val="18"/>
                <w:szCs w:val="18"/>
                <w:color w:val="0000EE"/>
              </w:rPr>
              <w:t>Certification of Principal Financial Officer</w:t>
            </w:r>
          </w:p>
        </w:tc>
      </w:tr>
      <w:tr>
        <w:trPr>
          <w:trHeight w:val="88"/>
        </w:trPr>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290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5920" w:type="dxa"/>
            <w:vAlign w:val="bottom"/>
          </w:tcPr>
          <w:p>
            <w:pPr>
              <w:spacing w:after="0"/>
              <w:rPr>
                <w:sz w:val="7"/>
                <w:szCs w:val="7"/>
                <w:color w:val="auto"/>
              </w:rPr>
            </w:pPr>
          </w:p>
        </w:tc>
      </w:tr>
      <w:tr>
        <w:trPr>
          <w:trHeight w:val="243"/>
        </w:trPr>
        <w:tc>
          <w:tcPr>
            <w:tcW w:w="1300" w:type="dxa"/>
            <w:vAlign w:val="bottom"/>
            <w:shd w:val="clear" w:color="auto" w:fill="FFC080"/>
          </w:tcPr>
          <w:p>
            <w:pPr>
              <w:jc w:val="center"/>
              <w:spacing w:after="0"/>
              <w:rPr>
                <w:sz w:val="20"/>
                <w:szCs w:val="20"/>
                <w:color w:val="auto"/>
              </w:rPr>
            </w:pPr>
            <w:r>
              <w:rPr>
                <w:rFonts w:ascii="Arial" w:cs="Arial" w:eastAsia="Arial" w:hAnsi="Arial"/>
                <w:sz w:val="18"/>
                <w:szCs w:val="18"/>
                <w:color w:val="auto"/>
                <w:w w:val="85"/>
              </w:rPr>
              <w:t>32.1</w:t>
            </w:r>
          </w:p>
        </w:tc>
        <w:tc>
          <w:tcPr>
            <w:tcW w:w="220" w:type="dxa"/>
            <w:vAlign w:val="bottom"/>
            <w:shd w:val="clear" w:color="auto" w:fill="FFC080"/>
          </w:tcPr>
          <w:p>
            <w:pPr>
              <w:spacing w:after="0"/>
              <w:rPr>
                <w:sz w:val="21"/>
                <w:szCs w:val="21"/>
                <w:color w:val="auto"/>
              </w:rPr>
            </w:pPr>
          </w:p>
        </w:tc>
        <w:tc>
          <w:tcPr>
            <w:tcW w:w="880" w:type="dxa"/>
            <w:vAlign w:val="bottom"/>
            <w:shd w:val="clear" w:color="auto" w:fill="FFC080"/>
          </w:tcPr>
          <w:p>
            <w:pPr>
              <w:spacing w:after="0"/>
              <w:rPr>
                <w:sz w:val="20"/>
                <w:szCs w:val="20"/>
                <w:color w:val="auto"/>
              </w:rPr>
            </w:pPr>
            <w:r>
              <w:rPr>
                <w:rFonts w:ascii="Arial" w:cs="Arial" w:eastAsia="Arial" w:hAnsi="Arial"/>
                <w:sz w:val="18"/>
                <w:szCs w:val="18"/>
                <w:color w:val="0000EE"/>
                <w:w w:val="90"/>
              </w:rPr>
              <w:t>Section 906</w:t>
            </w:r>
          </w:p>
        </w:tc>
        <w:tc>
          <w:tcPr>
            <w:tcW w:w="9020" w:type="dxa"/>
            <w:vAlign w:val="bottom"/>
            <w:gridSpan w:val="3"/>
            <w:shd w:val="clear" w:color="auto" w:fill="FFC080"/>
          </w:tcPr>
          <w:p>
            <w:pPr>
              <w:ind w:left="20"/>
              <w:spacing w:after="0"/>
              <w:rPr>
                <w:sz w:val="20"/>
                <w:szCs w:val="20"/>
                <w:color w:val="auto"/>
              </w:rPr>
            </w:pPr>
            <w:r>
              <w:rPr>
                <w:rFonts w:ascii="Arial" w:cs="Arial" w:eastAsia="Arial" w:hAnsi="Arial"/>
                <w:sz w:val="18"/>
                <w:szCs w:val="18"/>
                <w:color w:val="0000EE"/>
              </w:rPr>
              <w:t>Certification of Chief Executive Officer</w:t>
            </w:r>
          </w:p>
        </w:tc>
      </w:tr>
      <w:tr>
        <w:trPr>
          <w:trHeight w:val="88"/>
        </w:trPr>
        <w:tc>
          <w:tcPr>
            <w:tcW w:w="1300" w:type="dxa"/>
            <w:vAlign w:val="bottom"/>
            <w:tcBorders>
              <w:top w:val="single" w:sz="8" w:color="FFC080"/>
            </w:tcBorders>
            <w:shd w:val="clear" w:color="auto" w:fill="FFC080"/>
          </w:tcPr>
          <w:p>
            <w:pPr>
              <w:spacing w:after="0"/>
              <w:rPr>
                <w:sz w:val="7"/>
                <w:szCs w:val="7"/>
                <w:color w:val="auto"/>
              </w:rPr>
            </w:pPr>
          </w:p>
        </w:tc>
        <w:tc>
          <w:tcPr>
            <w:tcW w:w="220" w:type="dxa"/>
            <w:vAlign w:val="bottom"/>
            <w:tcBorders>
              <w:top w:val="single" w:sz="8" w:color="FFC080"/>
            </w:tcBorders>
            <w:shd w:val="clear" w:color="auto" w:fill="FFC080"/>
          </w:tcPr>
          <w:p>
            <w:pPr>
              <w:spacing w:after="0"/>
              <w:rPr>
                <w:sz w:val="7"/>
                <w:szCs w:val="7"/>
                <w:color w:val="auto"/>
              </w:rPr>
            </w:pPr>
          </w:p>
        </w:tc>
        <w:tc>
          <w:tcPr>
            <w:tcW w:w="880" w:type="dxa"/>
            <w:vAlign w:val="bottom"/>
            <w:tcBorders>
              <w:top w:val="single" w:sz="8" w:color="0000EE"/>
            </w:tcBorders>
            <w:shd w:val="clear" w:color="auto" w:fill="FFC080"/>
          </w:tcPr>
          <w:p>
            <w:pPr>
              <w:spacing w:after="0"/>
              <w:rPr>
                <w:sz w:val="7"/>
                <w:szCs w:val="7"/>
                <w:color w:val="auto"/>
              </w:rPr>
            </w:pPr>
          </w:p>
        </w:tc>
        <w:tc>
          <w:tcPr>
            <w:tcW w:w="2900" w:type="dxa"/>
            <w:vAlign w:val="bottom"/>
            <w:tcBorders>
              <w:top w:val="single" w:sz="8" w:color="0000EE"/>
            </w:tcBorders>
            <w:shd w:val="clear" w:color="auto" w:fill="FFC080"/>
          </w:tcPr>
          <w:p>
            <w:pPr>
              <w:spacing w:after="0"/>
              <w:rPr>
                <w:sz w:val="7"/>
                <w:szCs w:val="7"/>
                <w:color w:val="auto"/>
              </w:rPr>
            </w:pPr>
          </w:p>
        </w:tc>
        <w:tc>
          <w:tcPr>
            <w:tcW w:w="200" w:type="dxa"/>
            <w:vAlign w:val="bottom"/>
            <w:tcBorders>
              <w:top w:val="single" w:sz="8" w:color="FFC080"/>
            </w:tcBorders>
            <w:shd w:val="clear" w:color="auto" w:fill="FFC080"/>
          </w:tcPr>
          <w:p>
            <w:pPr>
              <w:spacing w:after="0"/>
              <w:rPr>
                <w:sz w:val="7"/>
                <w:szCs w:val="7"/>
                <w:color w:val="auto"/>
              </w:rPr>
            </w:pPr>
          </w:p>
        </w:tc>
        <w:tc>
          <w:tcPr>
            <w:tcW w:w="5920" w:type="dxa"/>
            <w:vAlign w:val="bottom"/>
            <w:tcBorders>
              <w:top w:val="single" w:sz="8" w:color="FFC080"/>
            </w:tcBorders>
            <w:shd w:val="clear" w:color="auto" w:fill="FFC080"/>
          </w:tcPr>
          <w:p>
            <w:pPr>
              <w:spacing w:after="0"/>
              <w:rPr>
                <w:sz w:val="7"/>
                <w:szCs w:val="7"/>
                <w:color w:val="auto"/>
              </w:rPr>
            </w:pPr>
          </w:p>
        </w:tc>
      </w:tr>
      <w:tr>
        <w:trPr>
          <w:trHeight w:val="243"/>
        </w:trPr>
        <w:tc>
          <w:tcPr>
            <w:tcW w:w="13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220" w:type="dxa"/>
            <w:vAlign w:val="bottom"/>
          </w:tcPr>
          <w:p>
            <w:pPr>
              <w:spacing w:after="0"/>
              <w:rPr>
                <w:sz w:val="21"/>
                <w:szCs w:val="21"/>
                <w:color w:val="auto"/>
              </w:rPr>
            </w:pPr>
          </w:p>
        </w:tc>
        <w:tc>
          <w:tcPr>
            <w:tcW w:w="8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Section 906</w:t>
            </w:r>
          </w:p>
        </w:tc>
        <w:tc>
          <w:tcPr>
            <w:tcW w:w="3100" w:type="dxa"/>
            <w:vAlign w:val="bottom"/>
            <w:tcBorders>
              <w:bottom w:val="single" w:sz="8" w:color="0000EE"/>
            </w:tcBorders>
            <w:gridSpan w:val="2"/>
          </w:tcPr>
          <w:p>
            <w:pPr>
              <w:ind w:left="20"/>
              <w:spacing w:after="0"/>
              <w:rPr>
                <w:sz w:val="20"/>
                <w:szCs w:val="20"/>
                <w:color w:val="auto"/>
              </w:rPr>
            </w:pPr>
            <w:r>
              <w:rPr>
                <w:rFonts w:ascii="Arial" w:cs="Arial" w:eastAsia="Arial" w:hAnsi="Arial"/>
                <w:sz w:val="18"/>
                <w:szCs w:val="18"/>
                <w:color w:val="0000EE"/>
                <w:w w:val="94"/>
              </w:rPr>
              <w:t>Certification of Principal Financial Officer</w:t>
            </w:r>
          </w:p>
        </w:tc>
        <w:tc>
          <w:tcPr>
            <w:tcW w:w="59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6"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4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9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ClearOne Communications, Inc., a Utah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480" w:val="left"/>
          <w:tab w:leader="none" w:pos="6180" w:val="left"/>
        </w:tabs>
        <w:rPr>
          <w:sz w:val="20"/>
          <w:szCs w:val="20"/>
          <w:color w:val="auto"/>
        </w:rPr>
      </w:pPr>
      <w:r>
        <w:rPr>
          <w:rFonts w:ascii="Arial" w:cs="Arial" w:eastAsia="Arial" w:hAnsi="Arial"/>
          <w:sz w:val="18"/>
          <w:szCs w:val="18"/>
          <w:color w:val="auto"/>
        </w:rPr>
        <w:t>November 15,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3310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-130175</wp:posOffset>
            </wp:positionV>
            <wp:extent cx="3310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480" w:val="left"/>
          <w:tab w:leader="none" w:pos="6180" w:val="left"/>
        </w:tabs>
        <w:rPr>
          <w:sz w:val="20"/>
          <w:szCs w:val="20"/>
          <w:color w:val="auto"/>
        </w:rPr>
      </w:pPr>
      <w:r>
        <w:rPr>
          <w:rFonts w:ascii="Arial" w:cs="Arial" w:eastAsia="Arial" w:hAnsi="Arial"/>
          <w:sz w:val="18"/>
          <w:szCs w:val="18"/>
          <w:color w:val="auto"/>
        </w:rPr>
        <w:t>November 15,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3310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-130175</wp:posOffset>
            </wp:positionV>
            <wp:extent cx="3310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00"/>
          </w:cols>
          <w:pgMar w:left="240" w:top="126" w:right="10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60" w:right="240" w:hanging="479"/>
        <w:spacing w:after="0" w:line="264"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60" w:right="560" w:hanging="479"/>
        <w:spacing w:after="0" w:line="264"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60" w:right="720" w:hanging="479"/>
        <w:spacing w:after="0" w:line="342" w:lineRule="auto"/>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60" w:right="240" w:hanging="479"/>
        <w:spacing w:after="0" w:line="264"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60" w:right="140" w:hanging="479"/>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60" w:right="100" w:hanging="479"/>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180" w:val="left"/>
          <w:tab w:leader="none" w:pos="7940" w:val="left"/>
        </w:tabs>
        <w:rPr>
          <w:sz w:val="20"/>
          <w:szCs w:val="20"/>
          <w:color w:val="auto"/>
        </w:rPr>
      </w:pPr>
      <w:r>
        <w:rPr>
          <w:rFonts w:ascii="Arial" w:cs="Arial" w:eastAsia="Arial" w:hAnsi="Arial"/>
          <w:sz w:val="18"/>
          <w:szCs w:val="18"/>
          <w:color w:val="auto"/>
        </w:rPr>
        <w:t>Date: November 15,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14605</wp:posOffset>
            </wp:positionV>
            <wp:extent cx="19983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4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-130175</wp:posOffset>
            </wp:positionV>
            <wp:extent cx="19983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5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960" w:right="240" w:hanging="479"/>
        <w:spacing w:after="0" w:line="264"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60" w:right="560" w:hanging="479"/>
        <w:spacing w:after="0" w:line="264"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60" w:right="720" w:hanging="479"/>
        <w:spacing w:after="0" w:line="342" w:lineRule="auto"/>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60" w:right="240" w:hanging="479"/>
        <w:spacing w:after="0" w:line="264"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60" w:right="140" w:hanging="479"/>
        <w:spacing w:after="0" w:line="277"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60" w:right="100" w:hanging="479"/>
        <w:spacing w:after="0" w:line="277"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800" w:val="left"/>
          <w:tab w:leader="none" w:pos="8380" w:val="left"/>
        </w:tabs>
        <w:rPr>
          <w:sz w:val="20"/>
          <w:szCs w:val="20"/>
          <w:color w:val="auto"/>
        </w:rPr>
      </w:pPr>
      <w:r>
        <w:rPr>
          <w:rFonts w:ascii="Arial" w:cs="Arial" w:eastAsia="Arial" w:hAnsi="Arial"/>
          <w:sz w:val="18"/>
          <w:szCs w:val="18"/>
          <w:color w:val="auto"/>
        </w:rPr>
        <w:t>Date: November 15,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14605</wp:posOffset>
            </wp:positionV>
            <wp:extent cx="17411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4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-130175</wp:posOffset>
            </wp:positionV>
            <wp:extent cx="1741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10280"/>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 Zeynep Hakimoglu, certify, to my best knowledge and belief, pursuant to 18 U.S.C. Section 1350, as adopted pursuant to Section 906 of the Sarbanes-Oxley Act of 2002, that the Quarterly Report of ClearOne Communications, Inc. on Form 10-Q for the quarter ended September 30, 2010,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7360" w:val="left"/>
          <w:tab w:leader="none" w:pos="7920" w:val="left"/>
        </w:tabs>
        <w:rPr>
          <w:sz w:val="20"/>
          <w:szCs w:val="20"/>
          <w:color w:val="auto"/>
        </w:rPr>
      </w:pPr>
      <w:r>
        <w:rPr>
          <w:rFonts w:ascii="Arial" w:cs="Arial" w:eastAsia="Arial" w:hAnsi="Arial"/>
          <w:sz w:val="18"/>
          <w:szCs w:val="18"/>
          <w:color w:val="auto"/>
        </w:rPr>
        <w:t>Date: November 15,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14605</wp:posOffset>
            </wp:positionV>
            <wp:extent cx="2023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-130175</wp:posOffset>
            </wp:positionV>
            <wp:extent cx="2023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I, Narsi Narayanan, certify, to my best knowledge and belief, pursuant to 18 U.S.C. Section 1350, as adopted pursuant to Section 906 of the Sarbanes-Oxley Act of 2002, that the Quarterly Report of ClearOne Communications, Inc. on Form 10-Q for the quarter ended September 30, 2010,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7220" w:val="left"/>
          <w:tab w:leader="none" w:pos="7780" w:val="left"/>
        </w:tabs>
        <w:rPr>
          <w:sz w:val="20"/>
          <w:szCs w:val="20"/>
          <w:color w:val="auto"/>
        </w:rPr>
      </w:pPr>
      <w:r>
        <w:rPr>
          <w:rFonts w:ascii="Arial" w:cs="Arial" w:eastAsia="Arial" w:hAnsi="Arial"/>
          <w:sz w:val="18"/>
          <w:szCs w:val="18"/>
          <w:color w:val="auto"/>
        </w:rPr>
        <w:t>Date: November 15,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14605</wp:posOffset>
            </wp:positionV>
            <wp:extent cx="22040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4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-130175</wp:posOffset>
            </wp:positionV>
            <wp:extent cx="22040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2019-12-10T09:06:33Z</dcterms:created>
  <dcterms:modified xsi:type="dcterms:W3CDTF">2019-12-10T09:06:33Z</dcterms:modified>
</cp:coreProperties>
</file>