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U.S. 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and Exchange Act of 1934</w:t>
      </w:r>
    </w:p>
    <w:p>
      <w:pPr>
        <w:spacing w:after="0" w:line="200" w:lineRule="exact"/>
        <w:rPr>
          <w:sz w:val="24"/>
          <w:szCs w:val="24"/>
          <w:color w:val="auto"/>
        </w:rPr>
      </w:pPr>
    </w:p>
    <w:p>
      <w:pPr>
        <w:spacing w:after="0" w:line="22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January 5, 2005</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Utah</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 or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0-17219</w:t>
      </w:r>
    </w:p>
    <w:p>
      <w:pPr>
        <w:jc w:val="cente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87-0398877</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Identification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p>
    <w:p>
      <w:pPr>
        <w:sectPr>
          <w:pgSz w:w="11900" w:h="16838" w:orient="portrait"/>
          <w:cols w:equalWidth="0" w:num="4">
            <w:col w:w="2960" w:space="520"/>
            <w:col w:w="2220" w:space="620"/>
            <w:col w:w="1580" w:space="120"/>
            <w:col w:w="2199"/>
          </w:cols>
          <w:pgMar w:left="240" w:top="649" w:right="1440" w:bottom="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organization)</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1825 Research Way, 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3"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(801) 975-7200 (Registrant's telephone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6"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540" w:right="19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540" w:right="199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14a-12(b) under the Exchange Act (17 CFR 240.14a-12(b))</w:t>
      </w:r>
    </w:p>
    <w:p>
      <w:pPr>
        <w:spacing w:after="0" w:line="208" w:lineRule="exact"/>
        <w:rPr>
          <w:sz w:val="24"/>
          <w:szCs w:val="24"/>
          <w:color w:val="auto"/>
        </w:rPr>
      </w:pPr>
    </w:p>
    <w:p>
      <w:pPr>
        <w:ind w:left="540" w:right="209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209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2739"/>
        <w:spacing w:after="0"/>
        <w:tabs>
          <w:tab w:leader="none" w:pos="180" w:val="left"/>
        </w:tabs>
        <w:rPr>
          <w:sz w:val="20"/>
          <w:szCs w:val="20"/>
          <w:color w:val="auto"/>
        </w:rPr>
      </w:pPr>
      <w:r>
        <w:rPr>
          <w:rFonts w:ascii="Courier New" w:cs="Courier New" w:eastAsia="Courier New" w:hAnsi="Courier New"/>
          <w:sz w:val="18"/>
          <w:szCs w:val="18"/>
          <w:color w:val="auto"/>
        </w:rPr>
        <w:t>Item 5.02(b)</w:t>
      </w:r>
      <w:r>
        <w:rPr>
          <w:sz w:val="20"/>
          <w:szCs w:val="20"/>
          <w:color w:val="auto"/>
        </w:rPr>
        <w:tab/>
      </w:r>
      <w:r>
        <w:rPr>
          <w:rFonts w:ascii="Courier New" w:cs="Courier New" w:eastAsia="Courier New" w:hAnsi="Courier New"/>
          <w:sz w:val="16"/>
          <w:szCs w:val="16"/>
          <w:color w:val="auto"/>
        </w:rPr>
        <w:t>Departure of Directors or Principal Officers; Election of</w:t>
      </w:r>
    </w:p>
    <w:p>
      <w:pPr>
        <w:jc w:val="center"/>
        <w:ind w:right="2619"/>
        <w:spacing w:after="0" w:line="238" w:lineRule="auto"/>
        <w:rPr>
          <w:sz w:val="20"/>
          <w:szCs w:val="20"/>
          <w:color w:val="auto"/>
        </w:rPr>
      </w:pPr>
      <w:r>
        <w:rPr>
          <w:rFonts w:ascii="Courier New" w:cs="Courier New" w:eastAsia="Courier New" w:hAnsi="Courier New"/>
          <w:sz w:val="18"/>
          <w:szCs w:val="18"/>
          <w:color w:val="auto"/>
        </w:rPr>
        <w:t>Directors; Appointment of Principal Officers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Departure of 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ind w:right="3159" w:firstLine="843"/>
        <w:spacing w:after="0" w:line="235" w:lineRule="auto"/>
        <w:rPr>
          <w:sz w:val="20"/>
          <w:szCs w:val="20"/>
          <w:color w:val="auto"/>
        </w:rPr>
      </w:pPr>
      <w:r>
        <w:rPr>
          <w:rFonts w:ascii="Courier New" w:cs="Courier New" w:eastAsia="Courier New" w:hAnsi="Courier New"/>
          <w:sz w:val="18"/>
          <w:szCs w:val="18"/>
          <w:color w:val="auto"/>
        </w:rPr>
        <w:t>David Wiener voluntarily resigned as a director of ClearOne Communications, Inc. effective January 5, 2005.</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hereunto duly authorized.</w:t>
      </w:r>
    </w:p>
    <w:p>
      <w:pPr>
        <w:spacing w:after="0" w:line="203"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CLEARONE COMMUNICATIONS, INC.</w:t>
      </w:r>
    </w:p>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January 10, 2005</w:t>
      </w:r>
    </w:p>
    <w:p>
      <w:pPr>
        <w:spacing w:after="0" w:line="20" w:lineRule="exact"/>
        <w:rPr>
          <w:sz w:val="20"/>
          <w:szCs w:val="20"/>
          <w:color w:val="auto"/>
        </w:rPr>
      </w:pPr>
      <w:r>
        <w:rPr>
          <w:sz w:val="20"/>
          <w:szCs w:val="20"/>
          <w:color w:val="auto"/>
        </w:rPr>
        <w:br w:type="column"/>
      </w:r>
    </w:p>
    <w:p>
      <w:pPr>
        <w:ind w:right="1879"/>
        <w:spacing w:after="0"/>
        <w:rPr>
          <w:sz w:val="20"/>
          <w:szCs w:val="20"/>
          <w:color w:val="auto"/>
        </w:rPr>
      </w:pPr>
      <w:r>
        <w:rPr>
          <w:rFonts w:ascii="Courier New" w:cs="Courier New" w:eastAsia="Courier New" w:hAnsi="Courier New"/>
          <w:sz w:val="18"/>
          <w:szCs w:val="18"/>
          <w:color w:val="auto"/>
        </w:rPr>
        <w:t>By: /s/ Zeynep Hakimoglu --------------------------------------- Zeynep Hakimoglu, Chief Executive Officer</w:t>
      </w:r>
    </w:p>
    <w:sectPr>
      <w:pgSz w:w="11900" w:h="16838" w:orient="portrait"/>
      <w:cols w:equalWidth="0" w:num="3">
        <w:col w:w="540" w:space="200"/>
        <w:col w:w="2760" w:space="720"/>
        <w:col w:w="599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2019-12-13T18:06:10Z</dcterms:created>
  <dcterms:modified xsi:type="dcterms:W3CDTF">2019-12-13T18:06:10Z</dcterms:modified>
</cp:coreProperties>
</file>