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 2025 (May 30,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6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246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760" w:type="dxa"/>
            <w:vAlign w:val="bottom"/>
          </w:tcPr>
          <w:p>
            <w:pPr>
              <w:spacing w:after="0"/>
              <w:rPr>
                <w:sz w:val="20"/>
                <w:szCs w:val="20"/>
                <w:color w:val="auto"/>
              </w:rPr>
            </w:pPr>
          </w:p>
        </w:tc>
        <w:tc>
          <w:tcPr>
            <w:tcW w:w="20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CLRO</w:t>
            </w:r>
          </w:p>
        </w:tc>
        <w:tc>
          <w:tcPr>
            <w:tcW w:w="74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a special meeting of stockholders held on May 30, 2025 (the “Special Meeting”) of ClearOne, Inc., a Delaware corporation (the “Company”), the Company’s stockholders approved a proposal to authorize a reverse stock split of the Company’s issued and outstanding common stock, par value $0.001 per share (the “Common Stock”) by a ratio of between 1-for-10 and 1-for-15.</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May 21, 2025, the Company had previously announced that the Company expected to effect a 1-for-15 reverse stock split with a market effective date of June 3, 2025.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 2025, the Company announced that the Company will effect its 1-for-15 reverse stock split of the Company’s issued and outstanding Common Stock (the “Reverse Stock Split”) effective at 5:00 p.m. Eastern time on June 9, 2025 (the “Effective Time”). The Company’s Common Stock will now begin trading on a reverse stock split adjusted basis on The Nasdaq Capital Market at market open on June 10, 2025.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approved the 1-for-15 reverse split ratio, and the Company has filed with the Delaware Secretary of State a Certificate of Amendment to its Certificate of Incorporation (the “Certificate of Amendment”) to effect the Reverse Stock Split at the Effective Time. A copy of the Certificate of Amendment is filed herewith as Exhibit 3.1.</w:t>
      </w:r>
    </w:p>
    <w:p>
      <w:pPr>
        <w:spacing w:after="0" w:line="17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left="140" w:right="140"/>
        <w:spacing w:after="0" w:line="266" w:lineRule="auto"/>
        <w:rPr>
          <w:sz w:val="20"/>
          <w:szCs w:val="20"/>
          <w:color w:val="auto"/>
        </w:rPr>
      </w:pPr>
      <w:r>
        <w:rPr>
          <w:rFonts w:ascii="Times New Roman" w:cs="Times New Roman" w:eastAsia="Times New Roman" w:hAnsi="Times New Roman"/>
          <w:sz w:val="18"/>
          <w:szCs w:val="18"/>
          <w:color w:val="auto"/>
        </w:rPr>
        <w:t>On May 30, 2025, the Company held the Special Meeting at which shareholders voted on the six proposals listed below. The final voting results with respect to each proposal are also set forth below. As of May 9, 2025, the record date for the Special Meeting, there were 25,992,995 shares of Common Stock issued and outstanding.</w:t>
      </w:r>
    </w:p>
    <w:p>
      <w:pPr>
        <w:spacing w:after="0" w:line="176" w:lineRule="exact"/>
        <w:rPr>
          <w:sz w:val="20"/>
          <w:szCs w:val="20"/>
          <w:color w:val="auto"/>
        </w:rPr>
      </w:pPr>
    </w:p>
    <w:p>
      <w:pPr>
        <w:ind w:left="140" w:right="140" w:firstLine="3"/>
        <w:spacing w:after="0" w:line="282" w:lineRule="auto"/>
        <w:tabs>
          <w:tab w:leader="none" w:pos="3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All three directors were re-elected to serve terms expiring at the 2025 annual meeting of shareholders or until their successors are duly elected and qualified.</w:t>
      </w:r>
    </w:p>
    <w:p>
      <w:pPr>
        <w:spacing w:after="0" w:line="175"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Nominee</w:t>
            </w:r>
          </w:p>
        </w:tc>
        <w:tc>
          <w:tcPr>
            <w:tcW w:w="3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5"/>
              </w:rPr>
              <w:t>Votes For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05"/>
        </w:trPr>
        <w:tc>
          <w:tcPr>
            <w:tcW w:w="338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Eric L. Robinson</w:t>
            </w:r>
          </w:p>
        </w:tc>
        <w:tc>
          <w:tcPr>
            <w:tcW w:w="460" w:type="dxa"/>
            <w:vAlign w:val="bottom"/>
          </w:tcPr>
          <w:p>
            <w:pPr>
              <w:spacing w:after="0"/>
              <w:rPr>
                <w:sz w:val="17"/>
                <w:szCs w:val="17"/>
                <w:color w:val="auto"/>
              </w:rPr>
            </w:pPr>
          </w:p>
        </w:tc>
        <w:tc>
          <w:tcPr>
            <w:tcW w:w="33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19,470,179</w:t>
            </w:r>
          </w:p>
        </w:tc>
        <w:tc>
          <w:tcPr>
            <w:tcW w:w="440" w:type="dxa"/>
            <w:vAlign w:val="bottom"/>
          </w:tcPr>
          <w:p>
            <w:pPr>
              <w:spacing w:after="0"/>
              <w:rPr>
                <w:sz w:val="17"/>
                <w:szCs w:val="17"/>
                <w:color w:val="auto"/>
              </w:rPr>
            </w:pPr>
          </w:p>
        </w:tc>
        <w:tc>
          <w:tcPr>
            <w:tcW w:w="33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157,779</w:t>
            </w:r>
          </w:p>
        </w:tc>
      </w:tr>
      <w:tr>
        <w:trPr>
          <w:trHeight w:val="229"/>
        </w:trPr>
        <w:tc>
          <w:tcPr>
            <w:tcW w:w="38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Lisa B. Higley</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19,427,758</w:t>
            </w:r>
          </w:p>
        </w:tc>
        <w:tc>
          <w:tcPr>
            <w:tcW w:w="44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200,201</w:t>
            </w:r>
          </w:p>
        </w:tc>
      </w:tr>
      <w:tr>
        <w:trPr>
          <w:trHeight w:val="234"/>
        </w:trPr>
        <w:tc>
          <w:tcPr>
            <w:tcW w:w="3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Bruce Whaley</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19,435,237</w:t>
            </w:r>
          </w:p>
        </w:tc>
        <w:tc>
          <w:tcPr>
            <w:tcW w:w="44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192,721</w:t>
            </w:r>
          </w:p>
        </w:tc>
      </w:tr>
    </w:tbl>
    <w:p>
      <w:pPr>
        <w:spacing w:after="0" w:line="198" w:lineRule="exact"/>
        <w:rPr>
          <w:sz w:val="20"/>
          <w:szCs w:val="20"/>
          <w:color w:val="auto"/>
        </w:rPr>
      </w:pPr>
    </w:p>
    <w:p>
      <w:pPr>
        <w:ind w:left="320" w:hanging="177"/>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the Company’s Certificate of Incorporation to increase our authorized shares of Common Stock from 50,000,000 to</w:t>
      </w:r>
    </w:p>
    <w:p>
      <w:pPr>
        <w:spacing w:after="0" w:line="27" w:lineRule="exact"/>
        <w:rPr>
          <w:rFonts w:ascii="Times New Roman" w:cs="Times New Roman" w:eastAsia="Times New Roman" w:hAnsi="Times New Roman"/>
          <w:sz w:val="18"/>
          <w:szCs w:val="18"/>
          <w:color w:val="auto"/>
        </w:rPr>
      </w:pPr>
    </w:p>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 shares:</w:t>
      </w: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8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Votes For</w:t>
            </w:r>
          </w:p>
        </w:tc>
        <w:tc>
          <w:tcPr>
            <w:tcW w:w="3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Votes Against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Abstained</w:t>
            </w:r>
          </w:p>
        </w:tc>
      </w:tr>
      <w:tr>
        <w:trPr>
          <w:trHeight w:val="228"/>
        </w:trPr>
        <w:tc>
          <w:tcPr>
            <w:tcW w:w="3380" w:type="dxa"/>
            <w:vAlign w:val="bottom"/>
            <w:tcBorders>
              <w:top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19,043,717</w:t>
            </w:r>
          </w:p>
        </w:tc>
        <w:tc>
          <w:tcPr>
            <w:tcW w:w="460" w:type="dxa"/>
            <w:vAlign w:val="bottom"/>
          </w:tcPr>
          <w:p>
            <w:pPr>
              <w:spacing w:after="0"/>
              <w:rPr>
                <w:sz w:val="19"/>
                <w:szCs w:val="19"/>
                <w:color w:val="auto"/>
              </w:rPr>
            </w:pPr>
          </w:p>
        </w:tc>
        <w:tc>
          <w:tcPr>
            <w:tcW w:w="3360" w:type="dxa"/>
            <w:vAlign w:val="bottom"/>
            <w:tcBorders>
              <w:top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940,172</w:t>
            </w:r>
          </w:p>
        </w:tc>
        <w:tc>
          <w:tcPr>
            <w:tcW w:w="440" w:type="dxa"/>
            <w:vAlign w:val="bottom"/>
          </w:tcPr>
          <w:p>
            <w:pPr>
              <w:spacing w:after="0"/>
              <w:rPr>
                <w:sz w:val="19"/>
                <w:szCs w:val="19"/>
                <w:color w:val="auto"/>
              </w:rPr>
            </w:pPr>
          </w:p>
        </w:tc>
        <w:tc>
          <w:tcPr>
            <w:tcW w:w="3360" w:type="dxa"/>
            <w:vAlign w:val="bottom"/>
            <w:tcBorders>
              <w:top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rPr>
              <w:t>12,973</w:t>
            </w:r>
          </w:p>
        </w:tc>
      </w:tr>
    </w:tbl>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 Approval of an amendment to the Company’s Certificate of Incorporation to authorize 50,000,000 shares of “blank check” Preferred Stock:</w:t>
      </w:r>
    </w:p>
    <w:p>
      <w:pPr>
        <w:spacing w:after="0" w:line="225"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8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Votes For</w:t>
            </w:r>
          </w:p>
        </w:tc>
        <w:tc>
          <w:tcPr>
            <w:tcW w:w="3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Votes Against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Abstained</w:t>
            </w:r>
          </w:p>
        </w:tc>
      </w:tr>
      <w:tr>
        <w:trPr>
          <w:trHeight w:val="228"/>
        </w:trPr>
        <w:tc>
          <w:tcPr>
            <w:tcW w:w="3380" w:type="dxa"/>
            <w:vAlign w:val="bottom"/>
            <w:tcBorders>
              <w:top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18,577,334</w:t>
            </w:r>
          </w:p>
        </w:tc>
        <w:tc>
          <w:tcPr>
            <w:tcW w:w="460" w:type="dxa"/>
            <w:vAlign w:val="bottom"/>
          </w:tcPr>
          <w:p>
            <w:pPr>
              <w:spacing w:after="0"/>
              <w:rPr>
                <w:sz w:val="19"/>
                <w:szCs w:val="19"/>
                <w:color w:val="auto"/>
              </w:rPr>
            </w:pPr>
          </w:p>
        </w:tc>
        <w:tc>
          <w:tcPr>
            <w:tcW w:w="3360" w:type="dxa"/>
            <w:vAlign w:val="bottom"/>
            <w:tcBorders>
              <w:top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1,033,914</w:t>
            </w:r>
          </w:p>
        </w:tc>
        <w:tc>
          <w:tcPr>
            <w:tcW w:w="440" w:type="dxa"/>
            <w:vAlign w:val="bottom"/>
          </w:tcPr>
          <w:p>
            <w:pPr>
              <w:spacing w:after="0"/>
              <w:rPr>
                <w:sz w:val="19"/>
                <w:szCs w:val="19"/>
                <w:color w:val="auto"/>
              </w:rPr>
            </w:pPr>
          </w:p>
        </w:tc>
        <w:tc>
          <w:tcPr>
            <w:tcW w:w="3360" w:type="dxa"/>
            <w:vAlign w:val="bottom"/>
            <w:tcBorders>
              <w:top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rPr>
              <w:t>16,710</w:t>
            </w:r>
          </w:p>
        </w:tc>
      </w:tr>
    </w:tbl>
    <w:p>
      <w:pPr>
        <w:spacing w:after="0" w:line="179" w:lineRule="exact"/>
        <w:rPr>
          <w:sz w:val="20"/>
          <w:szCs w:val="20"/>
          <w:color w:val="auto"/>
        </w:rPr>
      </w:pPr>
    </w:p>
    <w:p>
      <w:pPr>
        <w:ind w:left="140" w:right="140" w:firstLine="3"/>
        <w:spacing w:after="0" w:line="282" w:lineRule="auto"/>
        <w:tabs>
          <w:tab w:leader="none" w:pos="3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the Company’s Certificate of Incorporation to effect a reverse stock split of the Company’s outstanding shares of common stock by a ratio of between 1-for-10 to 1-for-15, with such ratio to be determined at the discretion of the Board of Directors: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38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Votes For</w:t>
            </w:r>
          </w:p>
        </w:tc>
        <w:tc>
          <w:tcPr>
            <w:tcW w:w="3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Votes Against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Abstained</w:t>
            </w:r>
          </w:p>
        </w:tc>
      </w:tr>
      <w:tr>
        <w:trPr>
          <w:trHeight w:val="228"/>
        </w:trPr>
        <w:tc>
          <w:tcPr>
            <w:tcW w:w="240" w:type="dxa"/>
            <w:vAlign w:val="bottom"/>
          </w:tcPr>
          <w:p>
            <w:pPr>
              <w:spacing w:after="0"/>
              <w:rPr>
                <w:sz w:val="19"/>
                <w:szCs w:val="19"/>
                <w:color w:val="auto"/>
              </w:rPr>
            </w:pPr>
          </w:p>
        </w:tc>
        <w:tc>
          <w:tcPr>
            <w:tcW w:w="3380" w:type="dxa"/>
            <w:vAlign w:val="bottom"/>
            <w:tcBorders>
              <w:top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19,634,604</w:t>
            </w:r>
          </w:p>
        </w:tc>
        <w:tc>
          <w:tcPr>
            <w:tcW w:w="460" w:type="dxa"/>
            <w:vAlign w:val="bottom"/>
          </w:tcPr>
          <w:p>
            <w:pPr>
              <w:spacing w:after="0"/>
              <w:rPr>
                <w:sz w:val="19"/>
                <w:szCs w:val="19"/>
                <w:color w:val="auto"/>
              </w:rPr>
            </w:pPr>
          </w:p>
        </w:tc>
        <w:tc>
          <w:tcPr>
            <w:tcW w:w="3360" w:type="dxa"/>
            <w:vAlign w:val="bottom"/>
            <w:tcBorders>
              <w:top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346,054</w:t>
            </w:r>
          </w:p>
        </w:tc>
        <w:tc>
          <w:tcPr>
            <w:tcW w:w="440" w:type="dxa"/>
            <w:vAlign w:val="bottom"/>
          </w:tcPr>
          <w:p>
            <w:pPr>
              <w:spacing w:after="0"/>
              <w:rPr>
                <w:sz w:val="19"/>
                <w:szCs w:val="19"/>
                <w:color w:val="auto"/>
              </w:rPr>
            </w:pPr>
          </w:p>
        </w:tc>
        <w:tc>
          <w:tcPr>
            <w:tcW w:w="3360" w:type="dxa"/>
            <w:vAlign w:val="bottom"/>
            <w:tcBorders>
              <w:top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rPr>
              <w:t>16,205</w:t>
            </w:r>
          </w:p>
        </w:tc>
      </w:tr>
      <w:tr>
        <w:trPr>
          <w:trHeight w:val="299"/>
        </w:trPr>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ind w:left="140" w:right="140" w:firstLine="3"/>
        <w:spacing w:after="0" w:line="282" w:lineRule="auto"/>
        <w:tabs>
          <w:tab w:leader="none" w:pos="3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the Company’s Certificate of Incorporation to eliminate the prohibition against shareholders acting by written consent and expressly authorize shareholders to act by written consent:</w:t>
      </w:r>
    </w:p>
    <w:p>
      <w:pPr>
        <w:spacing w:after="0" w:line="162"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8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Votes For</w:t>
            </w:r>
          </w:p>
        </w:tc>
        <w:tc>
          <w:tcPr>
            <w:tcW w:w="3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Votes Against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Abstained</w:t>
            </w:r>
          </w:p>
        </w:tc>
      </w:tr>
      <w:tr>
        <w:trPr>
          <w:trHeight w:val="228"/>
        </w:trPr>
        <w:tc>
          <w:tcPr>
            <w:tcW w:w="3380" w:type="dxa"/>
            <w:vAlign w:val="bottom"/>
            <w:tcBorders>
              <w:top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18,388,548</w:t>
            </w:r>
          </w:p>
        </w:tc>
        <w:tc>
          <w:tcPr>
            <w:tcW w:w="460" w:type="dxa"/>
            <w:vAlign w:val="bottom"/>
          </w:tcPr>
          <w:p>
            <w:pPr>
              <w:spacing w:after="0"/>
              <w:rPr>
                <w:sz w:val="19"/>
                <w:szCs w:val="19"/>
                <w:color w:val="auto"/>
              </w:rPr>
            </w:pPr>
          </w:p>
        </w:tc>
        <w:tc>
          <w:tcPr>
            <w:tcW w:w="3360" w:type="dxa"/>
            <w:vAlign w:val="bottom"/>
            <w:tcBorders>
              <w:top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1,208,370</w:t>
            </w:r>
          </w:p>
        </w:tc>
        <w:tc>
          <w:tcPr>
            <w:tcW w:w="440" w:type="dxa"/>
            <w:vAlign w:val="bottom"/>
          </w:tcPr>
          <w:p>
            <w:pPr>
              <w:spacing w:after="0"/>
              <w:rPr>
                <w:sz w:val="19"/>
                <w:szCs w:val="19"/>
                <w:color w:val="auto"/>
              </w:rPr>
            </w:pPr>
          </w:p>
        </w:tc>
        <w:tc>
          <w:tcPr>
            <w:tcW w:w="3360" w:type="dxa"/>
            <w:vAlign w:val="bottom"/>
            <w:tcBorders>
              <w:top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rPr>
              <w:t>31,040</w:t>
            </w:r>
          </w:p>
        </w:tc>
      </w:tr>
    </w:tbl>
    <w:p>
      <w:pPr>
        <w:spacing w:after="0" w:line="179" w:lineRule="exact"/>
        <w:rPr>
          <w:sz w:val="20"/>
          <w:szCs w:val="20"/>
          <w:color w:val="auto"/>
        </w:rPr>
      </w:pPr>
    </w:p>
    <w:p>
      <w:pPr>
        <w:ind w:left="140" w:right="140" w:firstLine="3"/>
        <w:spacing w:after="0" w:line="282" w:lineRule="auto"/>
        <w:tabs>
          <w:tab w:leader="none" w:pos="33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the frequency of the advisory vote on the compensation of the Company’s named executive officers: Shareholders approved an advisory vote once every two years.</w:t>
      </w:r>
    </w:p>
    <w:p>
      <w:pPr>
        <w:spacing w:after="0" w:line="162" w:lineRule="exact"/>
        <w:rPr>
          <w:sz w:val="20"/>
          <w:szCs w:val="20"/>
          <w:color w:val="auto"/>
        </w:rPr>
      </w:pPr>
    </w:p>
    <w:tbl>
      <w:tblPr>
        <w:tblLayout w:type="fixed"/>
        <w:tblInd w:w="220" w:type="dxa"/>
        <w:tblCellMar>
          <w:top w:w="0" w:type="dxa"/>
          <w:left w:w="0" w:type="dxa"/>
          <w:bottom w:w="0" w:type="dxa"/>
          <w:right w:w="0" w:type="dxa"/>
        </w:tblCellMar>
      </w:tblPr>
      <w:tr>
        <w:trPr>
          <w:trHeight w:val="248"/>
        </w:trPr>
        <w:tc>
          <w:tcPr>
            <w:tcW w:w="2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1 Year</w:t>
            </w:r>
          </w:p>
        </w:tc>
        <w:tc>
          <w:tcPr>
            <w:tcW w:w="2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3"/>
              </w:rPr>
              <w:t>2 Years</w:t>
            </w:r>
          </w:p>
        </w:tc>
        <w:tc>
          <w:tcPr>
            <w:tcW w:w="27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3 Years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Abstained</w:t>
            </w:r>
          </w:p>
        </w:tc>
      </w:tr>
      <w:tr>
        <w:trPr>
          <w:trHeight w:val="228"/>
        </w:trPr>
        <w:tc>
          <w:tcPr>
            <w:tcW w:w="248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2,210,643</w:t>
            </w:r>
          </w:p>
        </w:tc>
        <w:tc>
          <w:tcPr>
            <w:tcW w:w="260" w:type="dxa"/>
            <w:vAlign w:val="bottom"/>
          </w:tcPr>
          <w:p>
            <w:pPr>
              <w:spacing w:after="0"/>
              <w:rPr>
                <w:sz w:val="19"/>
                <w:szCs w:val="19"/>
                <w:color w:val="auto"/>
              </w:rPr>
            </w:pPr>
          </w:p>
        </w:tc>
        <w:tc>
          <w:tcPr>
            <w:tcW w:w="248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9,112,304</w:t>
            </w:r>
          </w:p>
        </w:tc>
        <w:tc>
          <w:tcPr>
            <w:tcW w:w="260" w:type="dxa"/>
            <w:vAlign w:val="bottom"/>
          </w:tcPr>
          <w:p>
            <w:pPr>
              <w:spacing w:after="0"/>
              <w:rPr>
                <w:sz w:val="19"/>
                <w:szCs w:val="19"/>
                <w:color w:val="auto"/>
              </w:rPr>
            </w:pPr>
          </w:p>
        </w:tc>
        <w:tc>
          <w:tcPr>
            <w:tcW w:w="248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8,223,390</w:t>
            </w:r>
          </w:p>
        </w:tc>
        <w:tc>
          <w:tcPr>
            <w:tcW w:w="260" w:type="dxa"/>
            <w:vAlign w:val="bottom"/>
          </w:tcPr>
          <w:p>
            <w:pPr>
              <w:spacing w:after="0"/>
              <w:rPr>
                <w:sz w:val="19"/>
                <w:szCs w:val="19"/>
                <w:color w:val="auto"/>
              </w:rPr>
            </w:pPr>
          </w:p>
        </w:tc>
        <w:tc>
          <w:tcPr>
            <w:tcW w:w="2480" w:type="dxa"/>
            <w:vAlign w:val="bottom"/>
            <w:tcBorders>
              <w:top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140" w:right="260"/>
        <w:spacing w:after="0" w:line="266" w:lineRule="auto"/>
        <w:rPr>
          <w:sz w:val="20"/>
          <w:szCs w:val="20"/>
          <w:color w:val="auto"/>
        </w:rPr>
      </w:pPr>
      <w:r>
        <w:rPr>
          <w:rFonts w:ascii="Times New Roman" w:cs="Times New Roman" w:eastAsia="Times New Roman" w:hAnsi="Times New Roman"/>
          <w:sz w:val="18"/>
          <w:szCs w:val="18"/>
          <w:color w:val="auto"/>
        </w:rPr>
        <w:t>In accordance with Item 5.07(d) of Form 8-K, the Company hereby discloses its intention to include in its proxy materials an advisory vote on the compensation of its named executive officers once two three years in accordance with the results of the advisory vote on the frequency of the advisory vote on executive compensation at the Special Meeting.</w:t>
      </w:r>
    </w:p>
    <w:p>
      <w:pPr>
        <w:spacing w:after="0" w:line="17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described in Item 5.03 above, on June 2, 2025, the Company announced that it will effect a 1-for-15 reverse split of the Company’s issued and outstanding Common Stock and will begin trading on a reverse stock split adjusted basis on The Nasdaq Capital Market at market open on June 10, 2025.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Reverse Stock Split is primarily intended to increase the Company’s per share market price of its Common Stock to regain compliance with the minimum per share bid price requirement for continued listing on The Nasdaq Capital Market. The Company’s common stock will continue to trade on The Nasdaq Capital Market under the trading symbol “CLRO,” but will trade under the following new CUSIP number: 18506U203.</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Reverse Stock Split, every 15 shares of the Company’s issued and outstanding Common Stock will be automatically combined into one new share of Common Stock. No fractional shares will be issued in connection with the Reverse Stock Split. Any fraction of a share resulting from the Reverse Stock Split will be converted to one whole share of Common Stock in lieu of such fractional shares. The par value per share of Common Stock will remain unchanged at $0.001. Proportional adjustments will be made to the number of shares of Common Stock issuable upon the exercise of the Company’s outstanding stock options and warrants, and the number of shares authorized and reserved for issuance pursuant to the Company’s equity incentive plans. The Reverse Stock Split will not alter stockholders’ percentage ownership interest in the Company, except to the extent that the Reverse Stock Split results in fractional ownership as described above. The Reverse Stock Split will not change the authorized number of shares of the Company’s common stock, and will reduce the number of issued and outstanding shares of the Company’s Common Stock from approximately 26.0 million to approximately 1.7 million.</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transfer agent, Colonial Stock Transfer, will serve as the exchange agent for the Reverse Stock Split. Registered stockholders holding pre-split shares of the Company’s Common Stock electronically in book-entry form are not required to take any action to receive post-split shares. Those stockholders who hold their shares in brokerage accounts or in “street name” will have their positions automatically adjusted to reflect the Reverse Stock Split, subject to each broker's particular processes, and will not be required to take any action in connection with the Reverse Stock Split. Stockholders holding shares of the Company’s Common Stock in certificate form will receive a transmittal letter from Colonial Stock Transfer with instructions as soon as practicable after the Effective Time.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52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9"/>
              </w:rPr>
              <w:t>Certificate of Amendment to Certificate of Incorporation dated June 2, 2025.</w:t>
            </w:r>
          </w:p>
        </w:tc>
        <w:tc>
          <w:tcPr>
            <w:tcW w:w="3600" w:type="dxa"/>
            <w:vAlign w:val="bottom"/>
          </w:tcPr>
          <w:p>
            <w:pPr>
              <w:spacing w:after="0"/>
              <w:rPr>
                <w:sz w:val="14"/>
                <w:szCs w:val="14"/>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Press Release dated June 2, 2025.</w:t>
            </w:r>
          </w:p>
        </w:tc>
      </w:tr>
      <w:tr>
        <w:trPr>
          <w:trHeight w:val="20"/>
        </w:trPr>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r>
      <w:tr>
        <w:trPr>
          <w:trHeight w:val="47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345"/>
        </w:trPr>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80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CLEARONE, INC.</w:t>
            </w:r>
          </w:p>
        </w:tc>
        <w:tc>
          <w:tcPr>
            <w:tcW w:w="0" w:type="dxa"/>
            <w:vAlign w:val="bottom"/>
          </w:tcPr>
          <w:p>
            <w:pPr>
              <w:spacing w:after="0"/>
              <w:rPr>
                <w:sz w:val="1"/>
                <w:szCs w:val="1"/>
                <w:color w:val="auto"/>
              </w:rPr>
            </w:pPr>
          </w:p>
        </w:tc>
      </w:tr>
      <w:tr>
        <w:trPr>
          <w:trHeight w:val="45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2025</w:t>
            </w:r>
          </w:p>
        </w:tc>
        <w:tc>
          <w:tcPr>
            <w:tcW w:w="80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Simon Brewer</w:t>
            </w:r>
          </w:p>
        </w:tc>
        <w:tc>
          <w:tcPr>
            <w:tcW w:w="0" w:type="dxa"/>
            <w:vAlign w:val="bottom"/>
          </w:tcPr>
          <w:p>
            <w:pPr>
              <w:spacing w:after="0"/>
              <w:rPr>
                <w:sz w:val="1"/>
                <w:szCs w:val="1"/>
                <w:color w:val="auto"/>
              </w:rPr>
            </w:pPr>
          </w:p>
        </w:tc>
      </w:tr>
      <w:tr>
        <w:trPr>
          <w:trHeight w:val="228"/>
        </w:trPr>
        <w:tc>
          <w:tcPr>
            <w:tcW w:w="3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Simon Brewer</w:t>
            </w:r>
          </w:p>
        </w:tc>
        <w:tc>
          <w:tcPr>
            <w:tcW w:w="0" w:type="dxa"/>
            <w:vAlign w:val="bottom"/>
          </w:tcPr>
          <w:p>
            <w:pPr>
              <w:spacing w:after="0"/>
              <w:rPr>
                <w:sz w:val="1"/>
                <w:szCs w:val="1"/>
                <w:color w:val="auto"/>
              </w:rPr>
            </w:pPr>
          </w:p>
        </w:tc>
      </w:tr>
      <w:tr>
        <w:trPr>
          <w:trHeight w:val="441"/>
        </w:trPr>
        <w:tc>
          <w:tcPr>
            <w:tcW w:w="3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12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Accounting and Principal Financial Officer)</w:t>
            </w:r>
          </w:p>
        </w:tc>
        <w:tc>
          <w:tcPr>
            <w:tcW w:w="0" w:type="dxa"/>
            <w:vAlign w:val="bottom"/>
          </w:tcPr>
          <w:p>
            <w:pPr>
              <w:spacing w:after="0"/>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ClearOne,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corporation organized and existing under and by virtue of the General Corporation Law of the State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hereby certifies that:</w:t>
      </w:r>
    </w:p>
    <w:p>
      <w:pPr>
        <w:spacing w:after="0" w:line="207" w:lineRule="exact"/>
        <w:rPr>
          <w:sz w:val="20"/>
          <w:szCs w:val="20"/>
          <w:color w:val="auto"/>
        </w:rPr>
      </w:pPr>
    </w:p>
    <w:p>
      <w:pPr>
        <w:ind w:firstLine="656"/>
        <w:spacing w:after="0" w:line="282" w:lineRule="auto"/>
        <w:tabs>
          <w:tab w:leader="none" w:pos="8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ClearOne, Inc. The Company’s Certificate of Incorporation was originally filed with the Secretary of State of the State of Delaware on October 25, 2018.</w:t>
      </w:r>
    </w:p>
    <w:p>
      <w:pPr>
        <w:spacing w:after="0" w:line="157" w:lineRule="exact"/>
        <w:rPr>
          <w:rFonts w:ascii="Times New Roman" w:cs="Times New Roman" w:eastAsia="Times New Roman" w:hAnsi="Times New Roman"/>
          <w:sz w:val="18"/>
          <w:szCs w:val="18"/>
          <w:color w:val="auto"/>
        </w:rPr>
      </w:pPr>
    </w:p>
    <w:p>
      <w:pPr>
        <w:ind w:right="20" w:firstLine="656"/>
        <w:spacing w:after="0" w:line="286" w:lineRule="auto"/>
        <w:tabs>
          <w:tab w:leader="none" w:pos="8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acting in accordance with the provisions of Sections 141 and 242 of the DGCL, duly adopted resolutions amending the Certificate of Incorporation as follows:</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The Certificate of Incorporation of ClearOne,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as currently in effect is hereby amended to add the following after the first paragraph of Section (a) of Article III thereof:</w:t>
      </w:r>
    </w:p>
    <w:p>
      <w:pPr>
        <w:spacing w:after="0" w:line="15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“At 5:00 p.m. Eastern Time on June 9, 2025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pursuant to the Delaware General Corporation Law of this Certificate of Amendment to the Certificate of Incorporation of the Corporation, each fifteen (15) shares of Common Stock issued and outstanding immediately prior to the Effective Time shall, automatically and without any action on the part of the respective holders thereof, be combined and converted into one (1) share of Common Stock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No fractional shares shall be issued in connection with the Reverse Stock Split. Stockholders who otherwise would be entitled to receive fractional share interests of Common Stock as a result of the Reverse Stock Split shall be entitled to receive in lieu of such fractional share interests, upon the Effective Time, one whole share of Common Stock in lieu of such fractional share interests.”</w:t>
      </w:r>
    </w:p>
    <w:p>
      <w:pPr>
        <w:spacing w:after="0" w:line="187" w:lineRule="exact"/>
        <w:rPr>
          <w:sz w:val="20"/>
          <w:szCs w:val="20"/>
          <w:color w:val="auto"/>
        </w:rPr>
      </w:pPr>
    </w:p>
    <w:p>
      <w:pPr>
        <w:ind w:firstLine="656"/>
        <w:spacing w:after="0" w:line="282" w:lineRule="auto"/>
        <w:tabs>
          <w:tab w:leader="none" w:pos="92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pursuant to a resolution of the Board, this Certificate of Amendment to the Certificate of Incorporation was submitted to the stockholders of the Company for their approval and was duly adopted in accordance with Section 242 of the DGCL.</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of Incorporation as currently on file with the Secretary of State of the State of Delaware, shall remain in full force and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Certificate of Amendment to be signed by its Chief Executive Officer this 2nd day of June,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2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CLEARONE, INC.</w:t>
      </w:r>
    </w:p>
    <w:p>
      <w:pPr>
        <w:spacing w:after="0" w:line="25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/s/ Derek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26035</wp:posOffset>
            </wp:positionV>
            <wp:extent cx="20999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 Derek Graham</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117"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ClearOne, Inc. Announces 1-for-15 Reverse Stock Split</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FF0000"/>
        </w:rPr>
        <w:t> </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SALT LAKE CITY, UTAH – June 2, 2025</w:t>
      </w:r>
      <w:r>
        <w:rPr>
          <w:rFonts w:ascii="Times New Roman" w:cs="Times New Roman" w:eastAsia="Times New Roman" w:hAnsi="Times New Roman"/>
          <w:sz w:val="18"/>
          <w:szCs w:val="18"/>
          <w:color w:val="auto"/>
        </w:rPr>
        <w:t> –  At a special meeting of stockholders held on May 30, 2025 (the “Special Meeting”) of ClearOne,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(NASDAQ: CLRO), the Company’s stockholders approved a proposal to authorize a reverse stock split of the Company’s issued and outstanding common stock, par value $0.001 per share (the “Common Stock”) by a ratio of between 1-for-10 and 1-for-15. On May 21, 2025, the Company had previously announced that the Company expected to effect a 1-for-15 reverse stock split with a market effective date of June 3, 2025.</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Today the Company announced that the Company will effect a 1-for-15 reverse stock split of the Company’s issued and outstanding Common Stock (the “Reverse Stock Split”) effective at 5:00 p.m. Eastern time on June 9, 2025 (the “Effective Time”). The Company’s Common Stock will begin trading on a reverse stock split adjusted basis on The Nasdaq Capital Market at market open on June 10, 2025.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approved the 1-for-15 reverse split ratio and has filed with the Delaware Secretary of State a Certificate of Amendment to its Certificate of Incorporation to effect the Reverse Stock Split at the Effective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Reverse Stock Split is primarily intended to increase the Company’s per share market price of its Common Stock to regain compliance with the minimum per share bid price requirement for continued listing on The Nasdaq Capital Market. The Company’s common stock will continue to trade on The Nasdaq Capital Market under the trading symbol “CLRO,” but will trade under the following new CUSIP number: 18506U203.</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Reverse Stock Split, every 15 shares of the Company’s issued and outstanding Common Stock will be automatically combined into one new share of Common Stock. No fractional shares will be issued in connection with the Reverse Stock Split. Any fraction of a share resulting from the Reverse Stock Split will be converted to one whole share of Common Stock in lieu of such fractional shares. The par value per share of Common Stock will remain unchanged at $0.001. Proportional adjustments will be made to the number of shares of Common Stock issuable upon the exercise of the Company’s outstanding stock options and warrants, and the number of shares authorized and reserved for issuance pursuant to the Company’s equity incentive plans. The Reverse Stock Split will not alter stockholders’ percentage ownership interest in the Company, except to the extent that the Reverse Stock Split results in fractional ownership as described above. The Reverse Stock Split will not change the authorized number of shares of the Company’s common stock, and will reduce the number of issued and outstanding shares of the Company’s Common Stock from approximately 26.0 million to approximately 1.7 million.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transfer agent, Colonial Stock Transfer, will serve as the exchange agent for the Reverse Stock Split. Registered stockholders holding pre-split shares of the Company’s Common Stock electronically in book-entry form are not required to take any action to receive post-split shares. Those stockholders who hold their shares in brokerage accounts or in “street name” will have their positions automatically adjusted to reflect the Reverse Stock Split, subject to each broker's particular processes, and will not be required to take any action in connection with the Reverse Stock Split. Stockholders holding shares of the Company’s Common Stock in certificate form will receive a transmittal letter from Colonial Stock Transfer with instructions as soon as practicable after the Effective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10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www.clearone.com.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Brewer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385-426-0565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investor_relations@clearone.com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http://investors.clearone.com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2025-06-02T08:04:42Z</dcterms:created>
  <dcterms:modified xsi:type="dcterms:W3CDTF">2025-06-02T08:04:42Z</dcterms:modified>
</cp:coreProperties>
</file>