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August 3, 2023 </w:t>
      </w:r>
      <w:r>
        <w:rPr>
          <w:rFonts w:ascii="Arial" w:cs="Arial" w:eastAsia="Arial" w:hAnsi="Arial"/>
          <w:sz w:val="18"/>
          <w:szCs w:val="18"/>
          <w:b w:val="1"/>
          <w:bCs w:val="1"/>
          <w:color w:val="auto"/>
        </w:rPr>
        <w:t>(August 1, 2023)</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8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001-33660</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60" w:type="dxa"/>
            <w:vAlign w:val="bottom"/>
          </w:tcPr>
          <w:p>
            <w:pPr>
              <w:spacing w:after="0"/>
              <w:rPr>
                <w:sz w:val="19"/>
                <w:szCs w:val="19"/>
                <w:color w:val="auto"/>
              </w:rPr>
            </w:pPr>
          </w:p>
        </w:tc>
        <w:tc>
          <w:tcPr>
            <w:tcW w:w="22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3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764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2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444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 (801) 975-7200</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 under the Exchange Act (17 CFR 240.13e-4©)</w:t>
      </w:r>
    </w:p>
    <w:p>
      <w:pPr>
        <w:spacing w:after="0" w:line="20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8"/>
                <w:szCs w:val="18"/>
                <w:color w:val="auto"/>
              </w:rPr>
            </w:pPr>
          </w:p>
        </w:tc>
        <w:tc>
          <w:tcPr>
            <w:tcW w:w="2280" w:type="dxa"/>
            <w:vAlign w:val="bottom"/>
            <w:gridSpan w:val="2"/>
          </w:tcPr>
          <w:p>
            <w:pPr>
              <w:jc w:val="center"/>
              <w:ind w:right="980"/>
              <w:spacing w:after="0"/>
              <w:rPr>
                <w:sz w:val="20"/>
                <w:szCs w:val="20"/>
                <w:color w:val="auto"/>
              </w:rPr>
            </w:pPr>
            <w:r>
              <w:rPr>
                <w:rFonts w:ascii="Arial" w:cs="Arial" w:eastAsia="Arial" w:hAnsi="Arial"/>
                <w:sz w:val="18"/>
                <w:szCs w:val="18"/>
                <w:color w:val="auto"/>
                <w:w w:val="90"/>
              </w:rPr>
              <w:t>Title of each class</w:t>
            </w:r>
          </w:p>
        </w:tc>
        <w:tc>
          <w:tcPr>
            <w:tcW w:w="2100" w:type="dxa"/>
            <w:vAlign w:val="bottom"/>
            <w:gridSpan w:val="2"/>
          </w:tcPr>
          <w:p>
            <w:pPr>
              <w:jc w:val="center"/>
              <w:ind w:left="670"/>
              <w:spacing w:after="0"/>
              <w:rPr>
                <w:sz w:val="20"/>
                <w:szCs w:val="20"/>
                <w:color w:val="auto"/>
              </w:rPr>
            </w:pPr>
            <w:r>
              <w:rPr>
                <w:rFonts w:ascii="Arial" w:cs="Arial" w:eastAsia="Arial" w:hAnsi="Arial"/>
                <w:sz w:val="18"/>
                <w:szCs w:val="18"/>
                <w:color w:val="auto"/>
                <w:w w:val="91"/>
              </w:rPr>
              <w:t>Trading Symbol(s)</w:t>
            </w:r>
          </w:p>
        </w:tc>
        <w:tc>
          <w:tcPr>
            <w:tcW w:w="146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352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Common Stock, $0.001</w:t>
            </w:r>
          </w:p>
        </w:tc>
        <w:tc>
          <w:tcPr>
            <w:tcW w:w="7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CLRO</w:t>
            </w:r>
          </w:p>
        </w:tc>
        <w:tc>
          <w:tcPr>
            <w:tcW w:w="1460" w:type="dxa"/>
            <w:vAlign w:val="bottom"/>
          </w:tcPr>
          <w:p>
            <w:pPr>
              <w:spacing w:after="0"/>
              <w:rPr>
                <w:sz w:val="20"/>
                <w:szCs w:val="20"/>
                <w:color w:val="auto"/>
              </w:rPr>
            </w:pPr>
          </w:p>
        </w:tc>
        <w:tc>
          <w:tcPr>
            <w:tcW w:w="4160" w:type="dxa"/>
            <w:vAlign w:val="bottom"/>
            <w:gridSpan w:val="2"/>
          </w:tcPr>
          <w:p>
            <w:pPr>
              <w:jc w:val="center"/>
              <w:ind w:right="960"/>
              <w:spacing w:after="0"/>
              <w:rPr>
                <w:sz w:val="20"/>
                <w:szCs w:val="20"/>
                <w:color w:val="auto"/>
              </w:rPr>
            </w:pPr>
            <w:r>
              <w:rPr>
                <w:rFonts w:ascii="Arial" w:cs="Arial" w:eastAsia="Arial" w:hAnsi="Arial"/>
                <w:sz w:val="18"/>
                <w:szCs w:val="18"/>
                <w:color w:val="auto"/>
                <w:w w:val="94"/>
              </w:rPr>
              <w:t>The NASDAQ Capital Market</w:t>
            </w:r>
          </w:p>
        </w:tc>
      </w:tr>
      <w:tr>
        <w:trPr>
          <w:trHeight w:val="371"/>
        </w:trPr>
        <w:tc>
          <w:tcPr>
            <w:tcW w:w="1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9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August 1, 2023, ClearOne, Inc., a Delaware corporation (the “Company”), received a letter (the “Notice”) from the Listing Qualifications Department (the “Staff”) of the Nasdaq Stock Market (“Nasdaq”) informing the Company that because the closing bid price for the Company’s common stock listed on Nasdaq was below $1.00 for 30 consecutive trading days, the Company is not in compliance with the minimum bid price requirement for continued listing on the Nasdaq Capital Market, as set forth in Nasdaq Marketplace Rule 5550(a)(2) (the “Minimum Bid Price Requirement”).</w:t>
      </w:r>
    </w:p>
    <w:p>
      <w:pPr>
        <w:spacing w:after="0" w:line="3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accordance with Nasdaq Marketplace Rule 5810(c)(3)(A), the Company has a period of 180 calendar days from August 1, 2023, or until January 29, 2024, to regain compliance with the Minimum Bid Price Requirement. If at any time before January 29, 2024, the closing bid price of the Company’s common stock closes at or above $1.00 per share for a minimum of 10 consecutive trading days (which number days may be extended by Nasdaq), Nasdaq will provide written notification that the Company has achieved compliance with the Minimum Bid Price Requirement, and the matter would be resolved.</w:t>
      </w:r>
    </w:p>
    <w:p>
      <w:pPr>
        <w:spacing w:after="0" w:line="3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Notice also disclosed that in the event the Company does not regain compliance with the Rule by January 29, 2024, the Company may be eligible for additional time. To qualify for additional time, the Company would be required to meet the continued listing requirement for market value of publicly held shares and all other initial listing standards for The Nasdaq Capital Market, with the exception of the bid price requirement, and would need to provide written notice of its intention to cure the deficiency during the second compliance period, by effecting a reverse stock split, if necessary. If the Company meets these requirements, Nasdaq will inform the Company that it has been granted an additional 180 calendar days. However, if it appears to the Staff that the Company will not be able to cure the deficiency, or if the Company is otherwise not eligible, Nasdaq will provide notice that the Company’s securities will be subject to delisting.</w:t>
      </w:r>
    </w:p>
    <w:p>
      <w:pPr>
        <w:spacing w:after="0" w:line="6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intends to continue actively monitoring the closing bid price for the Company’s common stock between now and January 29, 2024, and will consider available options to resolve the deficiency and regain compliance with the Minimum Bid Price Requirement. If the Company does not regain compliance within the allotted compliance period, including any extensions that may be granted by Nasdaq, Nasdaq will provide notice that the Company’s common stock will be subject to delisting. The Company would then be entitled to appeal that determination to a Nasdaq hearings panel. There can be no assurance that the Company will regain compliance with the Minimum Bid Price Requirement during the 180 day compliance period, secure a second period of 180 calendar days to regain compliance, or maintain compliance with the other Nasdaq listing requirements.: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92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513"/>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Exhibit Number</w:t>
            </w: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160" w:type="dxa"/>
            <w:vAlign w:val="bottom"/>
            <w:tcBorders>
              <w:bottom w:val="single" w:sz="8" w:color="auto"/>
            </w:tcBorders>
          </w:tcPr>
          <w:p>
            <w:pPr>
              <w:ind w:left="4100"/>
              <w:spacing w:after="0"/>
              <w:rPr>
                <w:sz w:val="20"/>
                <w:szCs w:val="20"/>
                <w:color w:val="auto"/>
              </w:rPr>
            </w:pPr>
            <w:r>
              <w:rPr>
                <w:rFonts w:ascii="Arial" w:cs="Arial" w:eastAsia="Arial" w:hAnsi="Arial"/>
                <w:sz w:val="18"/>
                <w:szCs w:val="18"/>
                <w:b w:val="1"/>
                <w:bCs w:val="1"/>
                <w:color w:val="auto"/>
              </w:rPr>
              <w:t>Exhibit Title</w:t>
            </w: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104.1</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The cover page from this Current Report on Form 8-K, formatted in Inline XBRL.</w:t>
            </w:r>
          </w:p>
        </w:tc>
      </w:tr>
      <w:tr>
        <w:trPr>
          <w:trHeight w:val="344"/>
        </w:trPr>
        <w:tc>
          <w:tcPr>
            <w:tcW w:w="1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8260" w:type="dxa"/>
            <w:vAlign w:val="bottom"/>
            <w:gridSpan w:val="2"/>
          </w:tcPr>
          <w:p>
            <w:pPr>
              <w:ind w:left="1420"/>
              <w:spacing w:after="0"/>
              <w:rPr>
                <w:sz w:val="20"/>
                <w:szCs w:val="20"/>
                <w:color w:val="auto"/>
              </w:rPr>
            </w:pPr>
            <w:r>
              <w:rPr>
                <w:rFonts w:ascii="Arial" w:cs="Arial" w:eastAsia="Arial" w:hAnsi="Arial"/>
                <w:sz w:val="18"/>
                <w:szCs w:val="18"/>
                <w:color w:val="auto"/>
              </w:rPr>
              <w:t>CLEARONE, INC.</w:t>
            </w:r>
          </w:p>
        </w:tc>
      </w:tr>
      <w:tr>
        <w:trPr>
          <w:trHeight w:val="459"/>
        </w:trPr>
        <w:tc>
          <w:tcPr>
            <w:tcW w:w="2980" w:type="dxa"/>
            <w:vAlign w:val="bottom"/>
          </w:tcPr>
          <w:p>
            <w:pPr>
              <w:spacing w:after="0"/>
              <w:rPr>
                <w:sz w:val="20"/>
                <w:szCs w:val="20"/>
                <w:color w:val="auto"/>
              </w:rPr>
            </w:pPr>
            <w:r>
              <w:rPr>
                <w:rFonts w:ascii="Arial" w:cs="Arial" w:eastAsia="Arial" w:hAnsi="Arial"/>
                <w:sz w:val="18"/>
                <w:szCs w:val="18"/>
                <w:color w:val="auto"/>
              </w:rPr>
              <w:t>Date: August 3, 2023</w:t>
            </w:r>
          </w:p>
        </w:tc>
        <w:tc>
          <w:tcPr>
            <w:tcW w:w="8260" w:type="dxa"/>
            <w:vAlign w:val="bottom"/>
            <w:gridSpan w:val="2"/>
          </w:tcPr>
          <w:p>
            <w:pPr>
              <w:ind w:left="14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224"/>
        </w:trPr>
        <w:tc>
          <w:tcPr>
            <w:tcW w:w="29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Narsi Narayanan</w:t>
            </w:r>
          </w:p>
        </w:tc>
      </w:tr>
    </w:tbl>
    <w:p>
      <w:pPr>
        <w:spacing w:after="0" w:line="21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Financial Officer (Principal Accounting and Principal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2023-08-03T16:30:00Z</dcterms:created>
  <dcterms:modified xsi:type="dcterms:W3CDTF">2023-08-03T16:30:00Z</dcterms:modified>
</cp:coreProperties>
</file>