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November 15, 2012</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jc w:val="right"/>
              <w:ind w:right="2110"/>
              <w:spacing w:after="0"/>
              <w:rPr>
                <w:sz w:val="20"/>
                <w:szCs w:val="20"/>
                <w:color w:val="auto"/>
              </w:rPr>
            </w:pPr>
            <w:r>
              <w:rPr>
                <w:rFonts w:ascii="Arial" w:cs="Arial" w:eastAsia="Arial" w:hAnsi="Arial"/>
                <w:sz w:val="18"/>
                <w:szCs w:val="18"/>
                <w:b w:val="1"/>
                <w:bCs w:val="1"/>
                <w:color w:val="auto"/>
              </w:rPr>
              <w:t>001-33660</w:t>
            </w:r>
          </w:p>
        </w:tc>
        <w:tc>
          <w:tcPr>
            <w:tcW w:w="52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51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520" w:type="dxa"/>
            <w:vAlign w:val="bottom"/>
          </w:tcPr>
          <w:p>
            <w:pPr>
              <w:spacing w:after="0"/>
              <w:rPr>
                <w:sz w:val="17"/>
                <w:szCs w:val="17"/>
                <w:color w:val="auto"/>
              </w:rPr>
            </w:pPr>
          </w:p>
        </w:tc>
        <w:tc>
          <w:tcPr>
            <w:tcW w:w="4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18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5225 Wiley Post Way, Suite 500</w:t>
            </w: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1"/>
        </w:trPr>
        <w:tc>
          <w:tcPr>
            <w:tcW w:w="5180" w:type="dxa"/>
            <w:vAlign w:val="bottom"/>
          </w:tcPr>
          <w:p>
            <w:pPr>
              <w:jc w:val="center"/>
              <w:ind w:left="2210"/>
              <w:spacing w:after="0"/>
              <w:rPr>
                <w:sz w:val="20"/>
                <w:szCs w:val="20"/>
                <w:color w:val="auto"/>
              </w:rPr>
            </w:pPr>
            <w:r>
              <w:rPr>
                <w:rFonts w:ascii="Arial" w:cs="Arial" w:eastAsia="Arial" w:hAnsi="Arial"/>
                <w:sz w:val="18"/>
                <w:szCs w:val="18"/>
                <w:b w:val="1"/>
                <w:bCs w:val="1"/>
                <w:color w:val="auto"/>
                <w:w w:val="92"/>
              </w:rPr>
              <w:t>Salt Lake City, Utah</w:t>
            </w:r>
          </w:p>
        </w:tc>
        <w:tc>
          <w:tcPr>
            <w:tcW w:w="520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84116</w:t>
            </w:r>
          </w:p>
        </w:tc>
      </w:tr>
      <w:tr>
        <w:trPr>
          <w:trHeight w:val="230"/>
        </w:trPr>
        <w:tc>
          <w:tcPr>
            <w:tcW w:w="5180" w:type="dxa"/>
            <w:vAlign w:val="bottom"/>
            <w:tcBorders>
              <w:top w:val="single" w:sz="8" w:color="auto"/>
            </w:tcBorders>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22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10020" w:type="dxa"/>
            <w:vAlign w:val="bottom"/>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1022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1"/>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10020" w:type="dxa"/>
            <w:vAlign w:val="bottom"/>
          </w:tcPr>
          <w:p>
            <w:pPr>
              <w:ind w:left="60"/>
              <w:spacing w:after="0"/>
              <w:rPr>
                <w:sz w:val="20"/>
                <w:szCs w:val="20"/>
                <w:color w:val="auto"/>
              </w:rPr>
            </w:pPr>
            <w:r>
              <w:rPr>
                <w:rFonts w:ascii="Arial" w:cs="Arial" w:eastAsia="Arial" w:hAnsi="Arial"/>
                <w:sz w:val="22"/>
                <w:szCs w:val="22"/>
                <w:color w:val="auto"/>
                <w:w w:val="92"/>
              </w:rPr>
              <w:t>Pre-commencement communication pursuant to Rule 13e-4(c) under the Exchange Act (17 CFR 240.13e-4(c))</w:t>
            </w:r>
          </w:p>
        </w:tc>
      </w:tr>
      <w:tr>
        <w:trPr>
          <w:trHeight w:val="1557"/>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149"/>
        </w:trPr>
        <w:tc>
          <w:tcPr>
            <w:tcW w:w="160" w:type="dxa"/>
            <w:vAlign w:val="bottom"/>
            <w:shd w:val="clear" w:color="auto" w:fill="808080"/>
          </w:tcPr>
          <w:p>
            <w:pPr>
              <w:spacing w:after="0"/>
              <w:rPr>
                <w:sz w:val="12"/>
                <w:szCs w:val="12"/>
                <w:color w:val="auto"/>
              </w:rPr>
            </w:pPr>
          </w:p>
        </w:tc>
        <w:tc>
          <w:tcPr>
            <w:tcW w:w="200" w:type="dxa"/>
            <w:vAlign w:val="bottom"/>
            <w:shd w:val="clear" w:color="auto" w:fill="808080"/>
          </w:tcPr>
          <w:p>
            <w:pPr>
              <w:spacing w:after="0"/>
              <w:rPr>
                <w:sz w:val="12"/>
                <w:szCs w:val="12"/>
                <w:color w:val="auto"/>
              </w:rPr>
            </w:pPr>
          </w:p>
        </w:tc>
        <w:tc>
          <w:tcPr>
            <w:tcW w:w="10020" w:type="dxa"/>
            <w:vAlign w:val="bottom"/>
            <w:shd w:val="clear" w:color="auto" w:fill="808080"/>
          </w:tcPr>
          <w:p>
            <w:pPr>
              <w:spacing w:after="0"/>
              <w:rPr>
                <w:sz w:val="12"/>
                <w:szCs w:val="12"/>
                <w:color w:val="auto"/>
              </w:rPr>
            </w:pPr>
          </w:p>
        </w:tc>
      </w:tr>
    </w:tbl>
    <w:p>
      <w:pPr>
        <w:sectPr>
          <w:pgSz w:w="11900" w:h="16838" w:orient="portrait"/>
          <w:cols w:equalWidth="0" w:num="1">
            <w:col w:w="10380"/>
          </w:cols>
          <w:pgMar w:left="240" w:top="477" w:right="127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40"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On November 15, 2012, ClearOne Communications, Inc. issued a press release announcing its financial results for the three and nine months ended September 30, 2012. The full text of the press release is attached as Exhibit 99.1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8880" w:type="dxa"/>
            <w:vAlign w:val="bottom"/>
            <w:tcBorders>
              <w:bottom w:val="single" w:sz="8" w:color="auto"/>
            </w:tcBorders>
          </w:tcPr>
          <w:p>
            <w:pPr>
              <w:ind w:left="408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Exhibit 99.1</w:t>
            </w:r>
          </w:p>
        </w:tc>
        <w:tc>
          <w:tcPr>
            <w:tcW w:w="9140" w:type="dxa"/>
            <w:vAlign w:val="bottom"/>
            <w:gridSpan w:val="2"/>
          </w:tcPr>
          <w:p>
            <w:pPr>
              <w:ind w:left="260"/>
              <w:spacing w:after="0"/>
              <w:rPr>
                <w:sz w:val="20"/>
                <w:szCs w:val="20"/>
                <w:color w:val="auto"/>
              </w:rPr>
            </w:pPr>
            <w:r>
              <w:rPr>
                <w:rFonts w:ascii="Arial" w:cs="Arial" w:eastAsia="Arial" w:hAnsi="Arial"/>
                <w:sz w:val="18"/>
                <w:szCs w:val="18"/>
                <w:color w:val="auto"/>
              </w:rPr>
              <w:t>Press Release dated November 15, 2012 titled “ClearOne Reports 2012 Third Quarter Financial Results”.</w:t>
            </w:r>
          </w:p>
        </w:tc>
      </w:tr>
      <w:tr>
        <w:trPr>
          <w:trHeight w:val="1324"/>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80" w:type="dxa"/>
            <w:vAlign w:val="bottom"/>
          </w:tcPr>
          <w:p>
            <w:pPr>
              <w:spacing w:after="0"/>
              <w:rPr>
                <w:sz w:val="24"/>
                <w:szCs w:val="24"/>
                <w:color w:val="auto"/>
              </w:rPr>
            </w:pPr>
          </w:p>
        </w:tc>
      </w:tr>
      <w:tr>
        <w:trPr>
          <w:trHeight w:val="149"/>
        </w:trPr>
        <w:tc>
          <w:tcPr>
            <w:tcW w:w="1240" w:type="dxa"/>
            <w:vAlign w:val="bottom"/>
            <w:shd w:val="clear" w:color="auto" w:fill="808080"/>
          </w:tcPr>
          <w:p>
            <w:pPr>
              <w:spacing w:after="0"/>
              <w:rPr>
                <w:sz w:val="12"/>
                <w:szCs w:val="12"/>
                <w:color w:val="auto"/>
              </w:rPr>
            </w:pPr>
          </w:p>
        </w:tc>
        <w:tc>
          <w:tcPr>
            <w:tcW w:w="260" w:type="dxa"/>
            <w:vAlign w:val="bottom"/>
            <w:shd w:val="clear" w:color="auto" w:fill="808080"/>
          </w:tcPr>
          <w:p>
            <w:pPr>
              <w:spacing w:after="0"/>
              <w:rPr>
                <w:sz w:val="12"/>
                <w:szCs w:val="12"/>
                <w:color w:val="auto"/>
              </w:rPr>
            </w:pPr>
          </w:p>
        </w:tc>
        <w:tc>
          <w:tcPr>
            <w:tcW w:w="8880" w:type="dxa"/>
            <w:vAlign w:val="bottom"/>
            <w:shd w:val="clear" w:color="auto" w:fill="808080"/>
          </w:tcPr>
          <w:p>
            <w:pPr>
              <w:spacing w:after="0"/>
              <w:rPr>
                <w:sz w:val="12"/>
                <w:szCs w:val="12"/>
                <w:color w:val="auto"/>
              </w:rPr>
            </w:pPr>
          </w:p>
        </w:tc>
      </w:tr>
    </w:tbl>
    <w:p>
      <w:pPr>
        <w:sectPr>
          <w:pgSz w:w="11900" w:h="16838" w:orient="portrait"/>
          <w:cols w:equalWidth="0" w:num="1">
            <w:col w:w="10380"/>
          </w:cols>
          <w:pgMar w:left="240" w:top="111" w:right="1279" w:bottom="1440" w:gutter="0" w:footer="0" w:header="0"/>
        </w:sectPr>
      </w:pPr>
    </w:p>
    <w:bookmarkStart w:id="2" w:name="page3"/>
    <w:bookmarkEnd w:id="2"/>
    <w:p>
      <w:pPr>
        <w:jc w:val="center"/>
        <w:ind w:right="-160"/>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99"/>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900" w:val="left"/>
          <w:tab w:leader="none" w:pos="4600" w:val="left"/>
        </w:tabs>
        <w:rPr>
          <w:sz w:val="20"/>
          <w:szCs w:val="20"/>
          <w:color w:val="auto"/>
        </w:rPr>
      </w:pPr>
      <w:r>
        <w:rPr>
          <w:rFonts w:ascii="Arial" w:cs="Arial" w:eastAsia="Arial" w:hAnsi="Arial"/>
          <w:sz w:val="18"/>
          <w:szCs w:val="18"/>
          <w:color w:val="auto"/>
        </w:rPr>
        <w:t>Date: November 21,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14605</wp:posOffset>
            </wp:positionV>
            <wp:extent cx="36531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of Finance</w:t>
      </w:r>
    </w:p>
    <w:p>
      <w:pPr>
        <w:sectPr>
          <w:pgSz w:w="11900" w:h="16838" w:orient="portrait"/>
          <w:cols w:equalWidth="0" w:num="1">
            <w:col w:w="10219"/>
          </w:cols>
          <w:pgMar w:left="240" w:top="111" w:right="1440" w:bottom="1440" w:gutter="0" w:footer="0" w:header="0"/>
        </w:sectPr>
      </w:pPr>
    </w:p>
    <w:bookmarkStart w:id="3" w:name="page4"/>
    <w:bookmarkEnd w:id="3"/>
    <w:p>
      <w:pPr>
        <w:jc w:val="right"/>
        <w:ind w:right="479"/>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Brent Johnson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801-303-3577</w:t>
      </w:r>
    </w:p>
    <w:p>
      <w:pPr>
        <w:spacing w:after="0"/>
        <w:rPr>
          <w:sz w:val="20"/>
          <w:szCs w:val="20"/>
          <w:color w:val="auto"/>
        </w:rPr>
      </w:pPr>
      <w:r>
        <w:rPr>
          <w:rFonts w:ascii="Arial" w:cs="Arial" w:eastAsia="Arial" w:hAnsi="Arial"/>
          <w:sz w:val="22"/>
          <w:szCs w:val="22"/>
          <w:color w:val="auto"/>
        </w:rPr>
        <w:t>brent.johnson@clearone.com</w:t>
      </w:r>
    </w:p>
    <w:p>
      <w:pPr>
        <w:spacing w:after="0" w:line="209"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CLEARONE REPORTS 2012 THIRD QUARTER FINANCIAL RESULTS</w:t>
      </w:r>
    </w:p>
    <w:p>
      <w:pPr>
        <w:spacing w:after="0" w:line="233" w:lineRule="exact"/>
        <w:rPr>
          <w:sz w:val="20"/>
          <w:szCs w:val="20"/>
          <w:color w:val="auto"/>
        </w:rPr>
      </w:pPr>
    </w:p>
    <w:p>
      <w:pPr>
        <w:ind w:right="1099"/>
        <w:spacing w:after="0" w:line="256" w:lineRule="auto"/>
        <w:rPr>
          <w:sz w:val="20"/>
          <w:szCs w:val="20"/>
          <w:color w:val="auto"/>
        </w:rPr>
      </w:pPr>
      <w:r>
        <w:rPr>
          <w:rFonts w:ascii="Arial" w:cs="Arial" w:eastAsia="Arial" w:hAnsi="Arial"/>
          <w:sz w:val="22"/>
          <w:szCs w:val="22"/>
          <w:b w:val="1"/>
          <w:bCs w:val="1"/>
          <w:color w:val="auto"/>
        </w:rPr>
        <w:t xml:space="preserve">SALT LAKE CITY, UTAH </w:t>
      </w:r>
      <w:r>
        <w:rPr>
          <w:rFonts w:ascii="Arial" w:cs="Arial" w:eastAsia="Arial" w:hAnsi="Arial"/>
          <w:sz w:val="22"/>
          <w:szCs w:val="22"/>
          <w:color w:val="auto"/>
        </w:rPr>
        <w:t>—</w:t>
      </w:r>
      <w:r>
        <w:rPr>
          <w:rFonts w:ascii="Arial" w:cs="Arial" w:eastAsia="Arial" w:hAnsi="Arial"/>
          <w:sz w:val="22"/>
          <w:szCs w:val="22"/>
          <w:b w:val="1"/>
          <w:bCs w:val="1"/>
          <w:color w:val="auto"/>
        </w:rPr>
        <w:t xml:space="preserve"> November 15, 2012 </w:t>
      </w:r>
      <w:r>
        <w:rPr>
          <w:rFonts w:ascii="Arial" w:cs="Arial" w:eastAsia="Arial" w:hAnsi="Arial"/>
          <w:sz w:val="22"/>
          <w:szCs w:val="22"/>
          <w:color w:val="auto"/>
        </w:rPr>
        <w:t>— ClearOne (NASDAQ: CLRO) today reported its</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three and nine months ended September 30, 2012.</w:t>
      </w:r>
    </w:p>
    <w:p>
      <w:pPr>
        <w:spacing w:after="0" w:line="196" w:lineRule="exact"/>
        <w:rPr>
          <w:sz w:val="20"/>
          <w:szCs w:val="20"/>
          <w:color w:val="auto"/>
        </w:rPr>
      </w:pPr>
    </w:p>
    <w:p>
      <w:pPr>
        <w:jc w:val="both"/>
        <w:ind w:right="519"/>
        <w:spacing w:after="0" w:line="273" w:lineRule="auto"/>
        <w:rPr>
          <w:sz w:val="20"/>
          <w:szCs w:val="20"/>
          <w:color w:val="auto"/>
        </w:rPr>
      </w:pPr>
      <w:r>
        <w:rPr>
          <w:rFonts w:ascii="Arial" w:cs="Arial" w:eastAsia="Arial" w:hAnsi="Arial"/>
          <w:sz w:val="19"/>
          <w:szCs w:val="19"/>
          <w:color w:val="auto"/>
        </w:rPr>
        <w:t>For the 2012 third quarter, revenue was $11.6 million compared with $11.5 million for the third quarter of 2011. Gross profit was $6.7 million, or 58% of revenue, compared with $7.0 million, or 61% of revenue, for the third quarter of 2011. Operating income was $1.4 million and net income was $929,000, or $0.10 per diluted share.</w:t>
      </w:r>
    </w:p>
    <w:p>
      <w:pPr>
        <w:spacing w:after="0" w:line="2" w:lineRule="exact"/>
        <w:rPr>
          <w:sz w:val="20"/>
          <w:szCs w:val="20"/>
          <w:color w:val="auto"/>
        </w:rPr>
      </w:pPr>
    </w:p>
    <w:p>
      <w:pPr>
        <w:ind w:right="519" w:firstLine="54"/>
        <w:spacing w:after="0" w:line="232" w:lineRule="auto"/>
        <w:rPr>
          <w:sz w:val="20"/>
          <w:szCs w:val="20"/>
          <w:color w:val="auto"/>
        </w:rPr>
      </w:pPr>
      <w:r>
        <w:rPr>
          <w:rFonts w:ascii="Arial" w:cs="Arial" w:eastAsia="Arial" w:hAnsi="Arial"/>
          <w:sz w:val="22"/>
          <w:szCs w:val="22"/>
          <w:color w:val="auto"/>
        </w:rPr>
        <w:t>For the third quarter of 2011, which included a favorable judgment award of $3.7 million, operating income was $5.4 million and net income was $3.4 million, or $0.36 per diluted share. Non-GAAP net income, which excludes proceeds from litigation, share-based compensation and other non-operating items, rose to $1.3 million, or $0.14 per diluted share, from $1.2 million, or $0.13 per diluted share, for the third quarter of 2011. Non-GAAP Adjusted EBITDA was $2.1 million, or $0.23 per diluted share, for third quarters of both 2012 and 2011.</w:t>
      </w:r>
    </w:p>
    <w:p>
      <w:pPr>
        <w:spacing w:after="0" w:line="216" w:lineRule="exact"/>
        <w:rPr>
          <w:sz w:val="20"/>
          <w:szCs w:val="20"/>
          <w:color w:val="auto"/>
        </w:rPr>
      </w:pPr>
    </w:p>
    <w:p>
      <w:pPr>
        <w:ind w:right="499"/>
        <w:spacing w:after="0" w:line="275" w:lineRule="auto"/>
        <w:rPr>
          <w:sz w:val="20"/>
          <w:szCs w:val="20"/>
          <w:color w:val="auto"/>
        </w:rPr>
      </w:pPr>
      <w:r>
        <w:rPr>
          <w:rFonts w:ascii="Arial" w:cs="Arial" w:eastAsia="Arial" w:hAnsi="Arial"/>
          <w:sz w:val="19"/>
          <w:szCs w:val="19"/>
          <w:color w:val="auto"/>
        </w:rPr>
        <w:t>For the first nine months of 2012, revenue was $33.4 million compared with $34.1 million for the same period in 2011. Gross profit was $19.9 million, or 60% of revenue, compared with $20.4 million, or 60% of revenue, for the first nine months of 2011. Operating income was $3.2 million and net income was $2.0 million, or $0.21 per diluted share. For the first nine months of the prior year, which included the $3.7 judgment award, operating income was $8.4 million and net income was $5.5 million, or $0.59 per diluted share. Non-GAAP net income was $2.8 million, or $0.30 per diluted share, compared to $3.8 million, or $0.41 per diluted share, for the nine-month period of 2011. Non-GAAP Adjusted EBITDA was $5.2 million, or $0.56 per diluted share, compared with $6.6 million, or $0.71 per diluted share, for the first nine months of 2011.</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reconciliation between GAAP and Non-GAAP measures is available in the tables attached to this release.</w:t>
      </w:r>
    </w:p>
    <w:p>
      <w:pPr>
        <w:spacing w:after="0" w:line="268" w:lineRule="exact"/>
        <w:rPr>
          <w:sz w:val="20"/>
          <w:szCs w:val="20"/>
          <w:color w:val="auto"/>
        </w:rPr>
      </w:pPr>
    </w:p>
    <w:p>
      <w:pPr>
        <w:ind w:right="639"/>
        <w:spacing w:after="0" w:line="287" w:lineRule="auto"/>
        <w:rPr>
          <w:sz w:val="20"/>
          <w:szCs w:val="20"/>
          <w:color w:val="auto"/>
        </w:rPr>
      </w:pPr>
      <w:r>
        <w:rPr>
          <w:rFonts w:ascii="Arial" w:cs="Arial" w:eastAsia="Arial" w:hAnsi="Arial"/>
          <w:sz w:val="19"/>
          <w:szCs w:val="19"/>
          <w:color w:val="auto"/>
        </w:rPr>
        <w:t>“Revenue for the 2012 third quarter increased slightly over the same period last year, driven by increased sales in our EMEA region, offset by a decline in revenues from our Asia Pacific region,” said Zee Hakimoglu, President, Chief Executive Officer and Chairman of ClearOne. “During the quarter, we made solid progress strengthening our balance sheet as evidenced by our increased cash position and lower inventory levels.</w:t>
      </w:r>
    </w:p>
    <w:p>
      <w:pPr>
        <w:spacing w:after="0" w:line="170" w:lineRule="exact"/>
        <w:rPr>
          <w:sz w:val="20"/>
          <w:szCs w:val="20"/>
          <w:color w:val="auto"/>
        </w:rPr>
      </w:pPr>
    </w:p>
    <w:p>
      <w:pPr>
        <w:ind w:right="559"/>
        <w:spacing w:after="0" w:line="258" w:lineRule="auto"/>
        <w:rPr>
          <w:sz w:val="20"/>
          <w:szCs w:val="20"/>
          <w:color w:val="auto"/>
        </w:rPr>
      </w:pPr>
      <w:r>
        <w:rPr>
          <w:rFonts w:ascii="Arial" w:cs="Arial" w:eastAsia="Arial" w:hAnsi="Arial"/>
          <w:sz w:val="21"/>
          <w:szCs w:val="21"/>
          <w:color w:val="auto"/>
        </w:rPr>
        <w:t>“While the technology companies continue to be impacted by global economic headwinds, our business had performed better than many of our industry peers. Looking ahead, we plan to launch several new products over the next three months, which will provide positive momentum as we enter 2013.”</w:t>
      </w:r>
    </w:p>
    <w:p>
      <w:pPr>
        <w:spacing w:after="0" w:line="194" w:lineRule="exact"/>
        <w:rPr>
          <w:sz w:val="20"/>
          <w:szCs w:val="20"/>
          <w:color w:val="auto"/>
        </w:rPr>
      </w:pPr>
    </w:p>
    <w:p>
      <w:pPr>
        <w:ind w:right="539"/>
        <w:spacing w:after="0" w:line="251" w:lineRule="auto"/>
        <w:rPr>
          <w:sz w:val="20"/>
          <w:szCs w:val="20"/>
          <w:color w:val="auto"/>
        </w:rPr>
      </w:pPr>
      <w:r>
        <w:rPr>
          <w:rFonts w:ascii="Arial" w:cs="Arial" w:eastAsia="Arial" w:hAnsi="Arial"/>
          <w:sz w:val="22"/>
          <w:szCs w:val="22"/>
          <w:color w:val="auto"/>
        </w:rPr>
        <w:t>At September 30, 2012, the company had cash and cash equivalents of $14.3 million, up $3.9 million from June 30, 2012, and no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6174740" cy="94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06" w:right="1440" w:bottom="1440" w:gutter="0" w:footer="0" w:header="0"/>
        </w:sectPr>
      </w:pPr>
    </w:p>
    <w:bookmarkStart w:id="4" w:name="page5"/>
    <w:bookmarkEnd w:id="4"/>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40" w:lineRule="exact"/>
        <w:rPr>
          <w:sz w:val="20"/>
          <w:szCs w:val="20"/>
          <w:color w:val="auto"/>
        </w:rPr>
      </w:pPr>
    </w:p>
    <w:p>
      <w:pPr>
        <w:ind w:left="660" w:right="939" w:hanging="328"/>
        <w:spacing w:after="0" w:line="236" w:lineRule="auto"/>
        <w:tabs>
          <w:tab w:leader="none" w:pos="633" w:val="left"/>
        </w:tabs>
        <w:numPr>
          <w:ilvl w:val="0"/>
          <w:numId w:val="1"/>
        </w:numPr>
        <w:rPr>
          <w:rFonts w:ascii="Arial" w:cs="Arial" w:eastAsia="Arial" w:hAnsi="Arial"/>
          <w:sz w:val="22"/>
          <w:szCs w:val="22"/>
          <w:color w:val="auto"/>
        </w:rPr>
      </w:pPr>
      <w:r>
        <w:rPr>
          <w:rFonts w:ascii="Arial" w:cs="Arial" w:eastAsia="Arial" w:hAnsi="Arial"/>
          <w:sz w:val="22"/>
          <w:szCs w:val="22"/>
          <w:color w:val="auto"/>
        </w:rPr>
        <w:t>September 2012. The company launched an enhanced corporate website, which streamlines the user experience with new organization of the full breadth of ClearOne audio and video products and solutions.</w:t>
      </w:r>
    </w:p>
    <w:p>
      <w:pPr>
        <w:spacing w:after="0" w:line="1" w:lineRule="exact"/>
        <w:rPr>
          <w:rFonts w:ascii="Arial" w:cs="Arial" w:eastAsia="Arial" w:hAnsi="Arial"/>
          <w:sz w:val="22"/>
          <w:szCs w:val="22"/>
          <w:color w:val="auto"/>
        </w:rPr>
      </w:pPr>
    </w:p>
    <w:p>
      <w:pPr>
        <w:ind w:left="660" w:right="599" w:hanging="328"/>
        <w:spacing w:after="0" w:line="230" w:lineRule="auto"/>
        <w:tabs>
          <w:tab w:leader="none" w:pos="633" w:val="left"/>
        </w:tabs>
        <w:numPr>
          <w:ilvl w:val="0"/>
          <w:numId w:val="1"/>
        </w:numPr>
        <w:rPr>
          <w:rFonts w:ascii="Arial" w:cs="Arial" w:eastAsia="Arial" w:hAnsi="Arial"/>
          <w:sz w:val="22"/>
          <w:szCs w:val="22"/>
          <w:color w:val="auto"/>
        </w:rPr>
      </w:pPr>
      <w:r>
        <w:rPr>
          <w:rFonts w:ascii="Arial" w:cs="Arial" w:eastAsia="Arial" w:hAnsi="Arial"/>
          <w:sz w:val="22"/>
          <w:szCs w:val="22"/>
          <w:color w:val="auto"/>
        </w:rPr>
        <w:t>October 2012. The company’s president, CEO and chairman, Zee Hakimoglu, received the 2012 InfoComm International Women in AV Award; created to raise awareness of the growing role of female professionals in the male-dominated field of audiovisual technology.</w:t>
      </w:r>
    </w:p>
    <w:p>
      <w:pPr>
        <w:spacing w:after="0" w:line="2" w:lineRule="exact"/>
        <w:rPr>
          <w:rFonts w:ascii="Arial" w:cs="Arial" w:eastAsia="Arial" w:hAnsi="Arial"/>
          <w:sz w:val="22"/>
          <w:szCs w:val="22"/>
          <w:color w:val="auto"/>
        </w:rPr>
      </w:pPr>
    </w:p>
    <w:p>
      <w:pPr>
        <w:ind w:left="660" w:right="519" w:hanging="328"/>
        <w:spacing w:after="0" w:line="267" w:lineRule="auto"/>
        <w:tabs>
          <w:tab w:leader="none" w:pos="633" w:val="left"/>
        </w:tabs>
        <w:numPr>
          <w:ilvl w:val="0"/>
          <w:numId w:val="1"/>
        </w:numPr>
        <w:rPr>
          <w:rFonts w:ascii="Arial" w:cs="Arial" w:eastAsia="Arial" w:hAnsi="Arial"/>
          <w:sz w:val="19"/>
          <w:szCs w:val="19"/>
          <w:color w:val="auto"/>
        </w:rPr>
      </w:pPr>
      <w:r>
        <w:rPr>
          <w:rFonts w:ascii="Arial" w:cs="Arial" w:eastAsia="Arial" w:hAnsi="Arial"/>
          <w:sz w:val="19"/>
          <w:szCs w:val="19"/>
          <w:color w:val="auto"/>
        </w:rPr>
        <w:t>October 2012. The company established a distribution agreement with Ingram Micro Inc. under which Ingram Micro will distribute ClearOne's new line of software-based video conferencing solutions and its USB, analog and VoIP conference phones to authorized technology resellers in the U.S.</w:t>
      </w:r>
    </w:p>
    <w:p>
      <w:pPr>
        <w:jc w:val="both"/>
        <w:ind w:left="660" w:right="499" w:hanging="328"/>
        <w:spacing w:after="0" w:line="233" w:lineRule="auto"/>
        <w:tabs>
          <w:tab w:leader="none" w:pos="633" w:val="left"/>
        </w:tabs>
        <w:numPr>
          <w:ilvl w:val="0"/>
          <w:numId w:val="1"/>
        </w:numPr>
        <w:rPr>
          <w:rFonts w:ascii="Arial" w:cs="Arial" w:eastAsia="Arial" w:hAnsi="Arial"/>
          <w:sz w:val="22"/>
          <w:szCs w:val="22"/>
          <w:color w:val="auto"/>
        </w:rPr>
      </w:pPr>
      <w:r>
        <w:rPr>
          <w:rFonts w:ascii="Arial" w:cs="Arial" w:eastAsia="Arial" w:hAnsi="Arial"/>
          <w:sz w:val="22"/>
          <w:szCs w:val="22"/>
          <w:color w:val="auto"/>
        </w:rPr>
        <w:t>October 2012. The company launched the MagicBox on-premise Entry-Level Server (ELS) to extend its web-based, digital signage offering. The ELS runs MagicBox WebSuite software applications for digital signage, including content creation and asset management inside a browser for a comprehensive content management experience — from design to verification.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 w:lineRule="exact"/>
        <w:rPr>
          <w:sz w:val="20"/>
          <w:szCs w:val="20"/>
          <w:color w:val="auto"/>
        </w:rPr>
      </w:pPr>
    </w:p>
    <w:p>
      <w:pPr>
        <w:ind w:right="539"/>
        <w:spacing w:after="0" w:line="269" w:lineRule="auto"/>
        <w:rPr>
          <w:sz w:val="20"/>
          <w:szCs w:val="20"/>
          <w:color w:val="auto"/>
        </w:rPr>
      </w:pPr>
      <w:r>
        <w:rPr>
          <w:rFonts w:ascii="Arial" w:cs="Arial" w:eastAsia="Arial" w:hAnsi="Arial"/>
          <w:sz w:val="19"/>
          <w:szCs w:val="19"/>
          <w:color w:val="auto"/>
        </w:rPr>
        <w:t>ClearOne provides non-GAAP financial information in the form of Non-GAAP net income,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Adjusted 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net income to GAAP net income is included with this news release.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ClearOne</w:t>
      </w:r>
    </w:p>
    <w:p>
      <w:pPr>
        <w:spacing w:after="0" w:line="14" w:lineRule="exact"/>
        <w:rPr>
          <w:sz w:val="20"/>
          <w:szCs w:val="20"/>
          <w:color w:val="auto"/>
        </w:rPr>
      </w:pPr>
    </w:p>
    <w:p>
      <w:pPr>
        <w:ind w:right="539"/>
        <w:spacing w:after="0" w:line="233" w:lineRule="auto"/>
        <w:rPr>
          <w:sz w:val="20"/>
          <w:szCs w:val="20"/>
          <w:color w:val="auto"/>
        </w:rPr>
      </w:pPr>
      <w:r>
        <w:rPr>
          <w:rFonts w:ascii="Arial" w:cs="Arial" w:eastAsia="Arial" w:hAnsi="Arial"/>
          <w:sz w:val="22"/>
          <w:szCs w:val="22"/>
          <w:color w:val="auto"/>
        </w:rPr>
        <w:t>ClearOne is a global company that designs, develops and sells conferencing, collaboration, streaming and digital signage solutions for audio, video and data multimedia communication. The performance and simplicity of its advanced comprehensive solutions enhance the quality of life. ClearOne products offer unprecedented levels of functionality, reliability and scalability. More information about the company can be found at www.clearone.com.</w:t>
      </w:r>
    </w:p>
    <w:p>
      <w:pPr>
        <w:spacing w:after="0" w:line="213" w:lineRule="exact"/>
        <w:rPr>
          <w:sz w:val="20"/>
          <w:szCs w:val="20"/>
          <w:color w:val="auto"/>
        </w:rPr>
      </w:pPr>
    </w:p>
    <w:p>
      <w:pPr>
        <w:ind w:right="579"/>
        <w:spacing w:after="0" w:line="245" w:lineRule="auto"/>
        <w:rPr>
          <w:sz w:val="20"/>
          <w:szCs w:val="20"/>
          <w:color w:val="auto"/>
        </w:rPr>
      </w:pPr>
      <w:r>
        <w:rPr>
          <w:rFonts w:ascii="Arial" w:cs="Arial" w:eastAsia="Arial" w:hAnsi="Arial"/>
          <w:sz w:val="21"/>
          <w:szCs w:val="21"/>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successful commercialization of expected future product launches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 # #</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http://www.b2i.us/irpass.asp?BzID=509&amp;to=ea&amp;s=0</w:t>
      </w:r>
    </w:p>
    <w:p>
      <w:pPr>
        <w:spacing w:after="0" w:line="200" w:lineRule="exact"/>
        <w:rPr>
          <w:sz w:val="20"/>
          <w:szCs w:val="20"/>
          <w:color w:val="auto"/>
        </w:rPr>
      </w:pPr>
    </w:p>
    <w:p>
      <w:pPr>
        <w:spacing w:after="0" w:line="378" w:lineRule="exact"/>
        <w:rPr>
          <w:sz w:val="20"/>
          <w:szCs w:val="20"/>
          <w:color w:val="auto"/>
        </w:rPr>
      </w:pPr>
    </w:p>
    <w:p>
      <w:pPr>
        <w:jc w:val="center"/>
        <w:ind w:right="1599"/>
        <w:spacing w:after="0"/>
        <w:rPr>
          <w:sz w:val="20"/>
          <w:szCs w:val="20"/>
          <w:color w:val="auto"/>
        </w:rPr>
      </w:pPr>
      <w:r>
        <w:rPr>
          <w:rFonts w:ascii="Arial" w:cs="Arial" w:eastAsia="Arial" w:hAnsi="Arial"/>
          <w:sz w:val="16"/>
          <w:szCs w:val="16"/>
          <w:b w:val="1"/>
          <w:bCs w:val="1"/>
          <w:color w:val="auto"/>
        </w:rPr>
        <w:t>CLEARONE COMMUNICATIONS, INC.</w:t>
      </w:r>
    </w:p>
    <w:p>
      <w:pPr>
        <w:spacing w:after="0" w:line="46" w:lineRule="exact"/>
        <w:rPr>
          <w:sz w:val="20"/>
          <w:szCs w:val="20"/>
          <w:color w:val="auto"/>
        </w:rPr>
      </w:pPr>
    </w:p>
    <w:p>
      <w:pPr>
        <w:jc w:val="center"/>
        <w:ind w:right="159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46" w:lineRule="exact"/>
        <w:rPr>
          <w:sz w:val="20"/>
          <w:szCs w:val="20"/>
          <w:color w:val="auto"/>
        </w:rPr>
      </w:pPr>
    </w:p>
    <w:p>
      <w:pPr>
        <w:jc w:val="center"/>
        <w:ind w:right="1599"/>
        <w:spacing w:after="0"/>
        <w:rPr>
          <w:sz w:val="20"/>
          <w:szCs w:val="20"/>
          <w:color w:val="auto"/>
        </w:rPr>
      </w:pPr>
      <w:r>
        <w:rPr>
          <w:rFonts w:ascii="Arial" w:cs="Arial" w:eastAsia="Arial" w:hAnsi="Arial"/>
          <w:sz w:val="16"/>
          <w:szCs w:val="16"/>
          <w:b w:val="1"/>
          <w:bCs w:val="1"/>
          <w:color w:val="auto"/>
        </w:rPr>
        <w:t>(Dollars in thousands, except par value)</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103"/>
              <w:spacing w:after="0"/>
              <w:rPr>
                <w:sz w:val="20"/>
                <w:szCs w:val="20"/>
                <w:color w:val="auto"/>
              </w:rPr>
            </w:pPr>
            <w:r>
              <w:rPr>
                <w:rFonts w:ascii="Arial" w:cs="Arial" w:eastAsia="Arial" w:hAnsi="Arial"/>
                <w:sz w:val="14"/>
                <w:szCs w:val="14"/>
                <w:b w:val="1"/>
                <w:bCs w:val="1"/>
                <w:color w:val="auto"/>
                <w:w w:val="91"/>
              </w:rPr>
              <w:t>September 30, 2012</w:t>
            </w:r>
          </w:p>
        </w:tc>
        <w:tc>
          <w:tcPr>
            <w:tcW w:w="260" w:type="dxa"/>
            <w:vAlign w:val="bottom"/>
          </w:tcPr>
          <w:p>
            <w:pPr>
              <w:spacing w:after="0"/>
              <w:rPr>
                <w:sz w:val="16"/>
                <w:szCs w:val="16"/>
                <w:color w:val="auto"/>
              </w:rPr>
            </w:pPr>
          </w:p>
        </w:tc>
        <w:tc>
          <w:tcPr>
            <w:tcW w:w="1400" w:type="dxa"/>
            <w:vAlign w:val="bottom"/>
          </w:tcPr>
          <w:p>
            <w:pPr>
              <w:jc w:val="right"/>
              <w:ind w:right="162"/>
              <w:spacing w:after="0"/>
              <w:rPr>
                <w:sz w:val="20"/>
                <w:szCs w:val="20"/>
                <w:color w:val="auto"/>
              </w:rPr>
            </w:pPr>
            <w:r>
              <w:rPr>
                <w:rFonts w:ascii="Arial" w:cs="Arial" w:eastAsia="Arial" w:hAnsi="Arial"/>
                <w:sz w:val="14"/>
                <w:szCs w:val="14"/>
                <w:b w:val="1"/>
                <w:bCs w:val="1"/>
                <w:color w:val="auto"/>
                <w:w w:val="90"/>
              </w:rPr>
              <w:t>December 31, 2011</w:t>
            </w:r>
          </w:p>
        </w:tc>
      </w:tr>
      <w:tr>
        <w:trPr>
          <w:trHeight w:val="201"/>
        </w:trPr>
        <w:tc>
          <w:tcPr>
            <w:tcW w:w="5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Unaudited</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17"/>
        </w:trPr>
        <w:tc>
          <w:tcPr>
            <w:tcW w:w="5340" w:type="dxa"/>
            <w:vAlign w:val="bottom"/>
          </w:tcPr>
          <w:p>
            <w:pPr>
              <w:ind w:left="238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3"/>
              <w:spacing w:after="0"/>
              <w:rPr>
                <w:sz w:val="20"/>
                <w:szCs w:val="20"/>
                <w:color w:val="auto"/>
              </w:rPr>
            </w:pPr>
            <w:r>
              <w:rPr>
                <w:rFonts w:ascii="Arial" w:cs="Arial" w:eastAsia="Arial" w:hAnsi="Arial"/>
                <w:sz w:val="16"/>
                <w:szCs w:val="16"/>
                <w:color w:val="auto"/>
              </w:rPr>
              <w:t>14,332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02"/>
              <w:spacing w:after="0"/>
              <w:rPr>
                <w:sz w:val="20"/>
                <w:szCs w:val="20"/>
                <w:color w:val="auto"/>
              </w:rPr>
            </w:pPr>
            <w:r>
              <w:rPr>
                <w:rFonts w:ascii="Arial" w:cs="Arial" w:eastAsia="Arial" w:hAnsi="Arial"/>
                <w:sz w:val="16"/>
                <w:szCs w:val="16"/>
                <w:color w:val="auto"/>
              </w:rPr>
              <w:t>16,683</w:t>
            </w:r>
          </w:p>
        </w:tc>
      </w:tr>
      <w:tr>
        <w:trPr>
          <w:trHeight w:val="459"/>
        </w:trPr>
        <w:tc>
          <w:tcPr>
            <w:tcW w:w="5340" w:type="dxa"/>
            <w:vAlign w:val="bottom"/>
          </w:tcPr>
          <w:p>
            <w:pPr>
              <w:spacing w:after="0"/>
              <w:rPr>
                <w:sz w:val="20"/>
                <w:szCs w:val="20"/>
                <w:color w:val="auto"/>
              </w:rPr>
            </w:pPr>
            <w:r>
              <w:rPr>
                <w:rFonts w:ascii="Arial" w:cs="Arial" w:eastAsia="Arial" w:hAnsi="Arial"/>
                <w:sz w:val="16"/>
                <w:szCs w:val="16"/>
                <w:color w:val="auto"/>
                <w:w w:val="92"/>
              </w:rPr>
              <w:t>Receivables, net of allowance for doubtful accounts of $64 and $149, respectively</w:t>
            </w:r>
          </w:p>
        </w:tc>
        <w:tc>
          <w:tcPr>
            <w:tcW w:w="220" w:type="dxa"/>
            <w:vAlign w:val="bottom"/>
          </w:tcPr>
          <w:p>
            <w:pPr>
              <w:spacing w:after="0"/>
              <w:rPr>
                <w:sz w:val="24"/>
                <w:szCs w:val="24"/>
                <w:color w:val="auto"/>
              </w:rPr>
            </w:pPr>
          </w:p>
        </w:tc>
        <w:tc>
          <w:tcPr>
            <w:tcW w:w="1400" w:type="dxa"/>
            <w:vAlign w:val="bottom"/>
          </w:tcPr>
          <w:p>
            <w:pPr>
              <w:jc w:val="right"/>
              <w:ind w:right="243"/>
              <w:spacing w:after="0"/>
              <w:rPr>
                <w:sz w:val="20"/>
                <w:szCs w:val="20"/>
                <w:color w:val="auto"/>
              </w:rPr>
            </w:pPr>
            <w:r>
              <w:rPr>
                <w:rFonts w:ascii="Arial" w:cs="Arial" w:eastAsia="Arial" w:hAnsi="Arial"/>
                <w:sz w:val="16"/>
                <w:szCs w:val="16"/>
                <w:color w:val="auto"/>
              </w:rPr>
              <w:t>7,667</w:t>
            </w:r>
          </w:p>
        </w:tc>
        <w:tc>
          <w:tcPr>
            <w:tcW w:w="260" w:type="dxa"/>
            <w:vAlign w:val="bottom"/>
          </w:tcPr>
          <w:p>
            <w:pPr>
              <w:spacing w:after="0"/>
              <w:rPr>
                <w:sz w:val="24"/>
                <w:szCs w:val="24"/>
                <w:color w:val="auto"/>
              </w:rPr>
            </w:pPr>
          </w:p>
        </w:tc>
        <w:tc>
          <w:tcPr>
            <w:tcW w:w="1400" w:type="dxa"/>
            <w:vAlign w:val="bottom"/>
          </w:tcPr>
          <w:p>
            <w:pPr>
              <w:jc w:val="right"/>
              <w:ind w:right="302"/>
              <w:spacing w:after="0"/>
              <w:rPr>
                <w:sz w:val="20"/>
                <w:szCs w:val="20"/>
                <w:color w:val="auto"/>
              </w:rPr>
            </w:pPr>
            <w:r>
              <w:rPr>
                <w:rFonts w:ascii="Arial" w:cs="Arial" w:eastAsia="Arial" w:hAnsi="Arial"/>
                <w:sz w:val="16"/>
                <w:szCs w:val="16"/>
                <w:color w:val="auto"/>
              </w:rPr>
              <w:t>8,457</w:t>
            </w:r>
          </w:p>
        </w:tc>
      </w:tr>
    </w:tbl>
    <w:p>
      <w:pPr>
        <w:sectPr>
          <w:pgSz w:w="11900" w:h="16878" w:orient="portrait"/>
          <w:cols w:equalWidth="0" w:num="1">
            <w:col w:w="10219"/>
          </w:cols>
          <w:pgMar w:left="240" w:top="112" w:right="1440" w:bottom="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Inventories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assets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assets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inventories,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Intangibles,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11,992</w:t>
            </w:r>
          </w:p>
        </w:tc>
        <w:tc>
          <w:tcPr>
            <w:tcW w:w="620" w:type="dxa"/>
            <w:vAlign w:val="bottom"/>
          </w:tcPr>
          <w:p>
            <w:pPr>
              <w:spacing w:after="0"/>
              <w:rPr>
                <w:sz w:val="17"/>
                <w:szCs w:val="17"/>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12,565</w:t>
            </w:r>
          </w:p>
        </w:tc>
      </w:tr>
      <w:tr>
        <w:trPr>
          <w:trHeight w:val="257"/>
        </w:trPr>
        <w:tc>
          <w:tcPr>
            <w:tcW w:w="520" w:type="dxa"/>
            <w:vAlign w:val="bottom"/>
          </w:tcPr>
          <w:p>
            <w:pPr>
              <w:spacing w:after="0"/>
              <w:rPr>
                <w:sz w:val="22"/>
                <w:szCs w:val="22"/>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3,025</w:t>
            </w:r>
          </w:p>
        </w:tc>
        <w:tc>
          <w:tcPr>
            <w:tcW w:w="620" w:type="dxa"/>
            <w:vAlign w:val="bottom"/>
          </w:tcPr>
          <w:p>
            <w:pPr>
              <w:spacing w:after="0"/>
              <w:rPr>
                <w:sz w:val="22"/>
                <w:szCs w:val="22"/>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2,987</w:t>
            </w:r>
          </w:p>
        </w:tc>
      </w:tr>
      <w:tr>
        <w:trPr>
          <w:trHeight w:val="195"/>
        </w:trPr>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1,448</w:t>
            </w: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740</w:t>
            </w:r>
          </w:p>
        </w:tc>
      </w:tr>
      <w:tr>
        <w:trPr>
          <w:trHeight w:val="244"/>
        </w:trPr>
        <w:tc>
          <w:tcPr>
            <w:tcW w:w="520" w:type="dxa"/>
            <w:vAlign w:val="bottom"/>
          </w:tcPr>
          <w:p>
            <w:pPr>
              <w:spacing w:after="0"/>
              <w:rPr>
                <w:sz w:val="21"/>
                <w:szCs w:val="21"/>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38,464</w:t>
            </w:r>
          </w:p>
        </w:tc>
        <w:tc>
          <w:tcPr>
            <w:tcW w:w="620" w:type="dxa"/>
            <w:vAlign w:val="bottom"/>
          </w:tcPr>
          <w:p>
            <w:pPr>
              <w:spacing w:after="0"/>
              <w:rPr>
                <w:sz w:val="21"/>
                <w:szCs w:val="21"/>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41,432</w:t>
            </w:r>
          </w:p>
        </w:tc>
      </w:tr>
      <w:tr>
        <w:trPr>
          <w:trHeight w:val="459"/>
        </w:trPr>
        <w:tc>
          <w:tcPr>
            <w:tcW w:w="52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2,432</w:t>
            </w:r>
          </w:p>
        </w:tc>
        <w:tc>
          <w:tcPr>
            <w:tcW w:w="620" w:type="dxa"/>
            <w:vAlign w:val="bottom"/>
          </w:tcPr>
          <w:p>
            <w:pPr>
              <w:spacing w:after="0"/>
              <w:rPr>
                <w:sz w:val="24"/>
                <w:szCs w:val="24"/>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1,905</w:t>
            </w:r>
          </w:p>
        </w:tc>
      </w:tr>
      <w:tr>
        <w:trPr>
          <w:trHeight w:val="230"/>
        </w:trPr>
        <w:tc>
          <w:tcPr>
            <w:tcW w:w="52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1,971</w:t>
            </w:r>
          </w:p>
        </w:tc>
        <w:tc>
          <w:tcPr>
            <w:tcW w:w="62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2,338</w:t>
            </w:r>
          </w:p>
        </w:tc>
      </w:tr>
      <w:tr>
        <w:trPr>
          <w:trHeight w:val="230"/>
        </w:trPr>
        <w:tc>
          <w:tcPr>
            <w:tcW w:w="52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5,636</w:t>
            </w:r>
          </w:p>
        </w:tc>
        <w:tc>
          <w:tcPr>
            <w:tcW w:w="62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2,690</w:t>
            </w:r>
          </w:p>
        </w:tc>
      </w:tr>
      <w:tr>
        <w:trPr>
          <w:trHeight w:val="230"/>
        </w:trPr>
        <w:tc>
          <w:tcPr>
            <w:tcW w:w="52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1,939</w:t>
            </w:r>
          </w:p>
        </w:tc>
        <w:tc>
          <w:tcPr>
            <w:tcW w:w="62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1,153</w:t>
            </w:r>
          </w:p>
        </w:tc>
      </w:tr>
      <w:tr>
        <w:trPr>
          <w:trHeight w:val="209"/>
        </w:trPr>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64</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41</w:t>
            </w:r>
          </w:p>
        </w:tc>
      </w:tr>
      <w:tr>
        <w:trPr>
          <w:trHeight w:val="183"/>
        </w:trPr>
        <w:tc>
          <w:tcPr>
            <w:tcW w:w="5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50,506</w:t>
            </w:r>
          </w:p>
        </w:tc>
        <w:tc>
          <w:tcPr>
            <w:tcW w:w="62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49,559</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20" w:space="720"/>
            <w:col w:w="4879"/>
          </w:cols>
          <w:pgMar w:left="240" w:top="130" w:right="1440" w:bottom="406"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ind w:left="920"/>
              <w:spacing w:after="0"/>
              <w:rPr>
                <w:sz w:val="20"/>
                <w:szCs w:val="20"/>
                <w:color w:val="auto"/>
              </w:rPr>
            </w:pPr>
            <w:r>
              <w:rPr>
                <w:rFonts w:ascii="Arial" w:cs="Arial" w:eastAsia="Arial" w:hAnsi="Arial"/>
                <w:sz w:val="16"/>
                <w:szCs w:val="16"/>
                <w:b w:val="1"/>
                <w:bCs w:val="1"/>
                <w:color w:val="auto"/>
              </w:rPr>
              <w:t>LIABILITIES AND SHAREHOLDERS' EQUITY</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340" w:type="dxa"/>
            <w:vAlign w:val="bottom"/>
          </w:tcPr>
          <w:p>
            <w:pPr>
              <w:spacing w:after="0"/>
              <w:rPr>
                <w:sz w:val="20"/>
                <w:szCs w:val="20"/>
                <w:color w:val="auto"/>
              </w:rPr>
            </w:pPr>
            <w:r>
              <w:rPr>
                <w:rFonts w:ascii="Arial" w:cs="Arial" w:eastAsia="Arial" w:hAnsi="Arial"/>
                <w:sz w:val="16"/>
                <w:szCs w:val="16"/>
                <w:color w:val="auto"/>
              </w:rPr>
              <w:t>Accounts payable</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1,411</w:t>
            </w:r>
          </w:p>
        </w:tc>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6"/>
                <w:szCs w:val="16"/>
                <w:color w:val="auto"/>
              </w:rPr>
              <w:t>Accrued liabilities</w:t>
            </w:r>
          </w:p>
        </w:tc>
        <w:tc>
          <w:tcPr>
            <w:tcW w:w="5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2,568</w:t>
            </w:r>
          </w:p>
        </w:tc>
        <w:tc>
          <w:tcPr>
            <w:tcW w:w="6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2,534</w:t>
            </w:r>
          </w:p>
        </w:tc>
        <w:tc>
          <w:tcPr>
            <w:tcW w:w="0" w:type="dxa"/>
            <w:vAlign w:val="bottom"/>
          </w:tcPr>
          <w:p>
            <w:pPr>
              <w:spacing w:after="0"/>
              <w:rPr>
                <w:sz w:val="1"/>
                <w:szCs w:val="1"/>
                <w:color w:val="auto"/>
              </w:rPr>
            </w:pPr>
          </w:p>
        </w:tc>
      </w:tr>
      <w:tr>
        <w:trPr>
          <w:trHeight w:val="199"/>
        </w:trPr>
        <w:tc>
          <w:tcPr>
            <w:tcW w:w="5340" w:type="dxa"/>
            <w:vAlign w:val="bottom"/>
          </w:tcPr>
          <w:p>
            <w:pPr>
              <w:spacing w:after="0"/>
              <w:rPr>
                <w:sz w:val="20"/>
                <w:szCs w:val="20"/>
                <w:color w:val="auto"/>
              </w:rPr>
            </w:pPr>
            <w:r>
              <w:rPr>
                <w:rFonts w:ascii="Arial" w:cs="Arial" w:eastAsia="Arial" w:hAnsi="Arial"/>
                <w:sz w:val="16"/>
                <w:szCs w:val="16"/>
                <w:color w:val="auto"/>
              </w:rPr>
              <w:t>Deferred product revenue</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3,545</w:t>
            </w: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3,404</w:t>
            </w:r>
          </w:p>
        </w:tc>
        <w:tc>
          <w:tcPr>
            <w:tcW w:w="0" w:type="dxa"/>
            <w:vAlign w:val="bottom"/>
          </w:tcPr>
          <w:p>
            <w:pPr>
              <w:spacing w:after="0"/>
              <w:rPr>
                <w:sz w:val="1"/>
                <w:szCs w:val="1"/>
                <w:color w:val="auto"/>
              </w:rPr>
            </w:pPr>
          </w:p>
        </w:tc>
      </w:tr>
      <w:tr>
        <w:trPr>
          <w:trHeight w:val="244"/>
        </w:trPr>
        <w:tc>
          <w:tcPr>
            <w:tcW w:w="534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52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7,524</w:t>
            </w:r>
          </w:p>
        </w:tc>
        <w:tc>
          <w:tcPr>
            <w:tcW w:w="600" w:type="dxa"/>
            <w:vAlign w:val="bottom"/>
          </w:tcPr>
          <w:p>
            <w:pPr>
              <w:spacing w:after="0"/>
              <w:rPr>
                <w:sz w:val="21"/>
                <w:szCs w:val="21"/>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8,752</w:t>
            </w:r>
          </w:p>
        </w:tc>
        <w:tc>
          <w:tcPr>
            <w:tcW w:w="0" w:type="dxa"/>
            <w:vAlign w:val="bottom"/>
          </w:tcPr>
          <w:p>
            <w:pPr>
              <w:spacing w:after="0"/>
              <w:rPr>
                <w:sz w:val="1"/>
                <w:szCs w:val="1"/>
                <w:color w:val="auto"/>
              </w:rPr>
            </w:pPr>
          </w:p>
        </w:tc>
      </w:tr>
      <w:tr>
        <w:trPr>
          <w:trHeight w:val="455"/>
        </w:trPr>
        <w:tc>
          <w:tcPr>
            <w:tcW w:w="5340" w:type="dxa"/>
            <w:vAlign w:val="bottom"/>
          </w:tcPr>
          <w:p>
            <w:pPr>
              <w:spacing w:after="0"/>
              <w:rPr>
                <w:sz w:val="20"/>
                <w:szCs w:val="20"/>
                <w:color w:val="auto"/>
              </w:rPr>
            </w:pPr>
            <w:r>
              <w:rPr>
                <w:rFonts w:ascii="Arial" w:cs="Arial" w:eastAsia="Arial" w:hAnsi="Arial"/>
                <w:sz w:val="16"/>
                <w:szCs w:val="16"/>
                <w:color w:val="auto"/>
              </w:rPr>
              <w:t>Deferred income taxes</w:t>
            </w:r>
          </w:p>
        </w:tc>
        <w:tc>
          <w:tcPr>
            <w:tcW w:w="520" w:type="dxa"/>
            <w:vAlign w:val="bottom"/>
          </w:tcPr>
          <w:p>
            <w:pPr>
              <w:spacing w:after="0"/>
              <w:rPr>
                <w:sz w:val="24"/>
                <w:szCs w:val="24"/>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128</w:t>
            </w:r>
          </w:p>
        </w:tc>
        <w:tc>
          <w:tcPr>
            <w:tcW w:w="600" w:type="dxa"/>
            <w:vAlign w:val="bottom"/>
          </w:tcPr>
          <w:p>
            <w:pPr>
              <w:spacing w:after="0"/>
              <w:rPr>
                <w:sz w:val="24"/>
                <w:szCs w:val="24"/>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6"/>
                <w:szCs w:val="16"/>
                <w:color w:val="auto"/>
              </w:rPr>
              <w:t>Deferred rent</w:t>
            </w:r>
          </w:p>
        </w:tc>
        <w:tc>
          <w:tcPr>
            <w:tcW w:w="5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454</w:t>
            </w:r>
          </w:p>
        </w:tc>
        <w:tc>
          <w:tcPr>
            <w:tcW w:w="6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686</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8,792</w:t>
            </w: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9,895</w:t>
            </w:r>
          </w:p>
        </w:tc>
        <w:tc>
          <w:tcPr>
            <w:tcW w:w="0" w:type="dxa"/>
            <w:vAlign w:val="bottom"/>
          </w:tcPr>
          <w:p>
            <w:pPr>
              <w:spacing w:after="0"/>
              <w:rPr>
                <w:sz w:val="1"/>
                <w:szCs w:val="1"/>
                <w:color w:val="auto"/>
              </w:rPr>
            </w:pPr>
          </w:p>
        </w:tc>
      </w:tr>
      <w:tr>
        <w:trPr>
          <w:trHeight w:val="443"/>
        </w:trPr>
        <w:tc>
          <w:tcPr>
            <w:tcW w:w="5340" w:type="dxa"/>
            <w:vAlign w:val="bottom"/>
          </w:tcPr>
          <w:p>
            <w:pPr>
              <w:spacing w:after="0"/>
              <w:rPr>
                <w:sz w:val="20"/>
                <w:szCs w:val="20"/>
                <w:color w:val="auto"/>
              </w:rPr>
            </w:pPr>
            <w:r>
              <w:rPr>
                <w:rFonts w:ascii="Arial" w:cs="Arial" w:eastAsia="Arial" w:hAnsi="Arial"/>
                <w:sz w:val="16"/>
                <w:szCs w:val="16"/>
                <w:color w:val="auto"/>
              </w:rPr>
              <w:t>Shareholders' equity:</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w w:val="94"/>
              </w:rPr>
              <w:t>Common stock, par value $0.001, 50,000,000 shares authorized,9,191,099 and</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40" w:type="dxa"/>
            <w:vAlign w:val="bottom"/>
          </w:tcPr>
          <w:p>
            <w:pPr>
              <w:spacing w:after="0"/>
              <w:rPr>
                <w:sz w:val="20"/>
                <w:szCs w:val="20"/>
                <w:color w:val="auto"/>
              </w:rPr>
            </w:pPr>
            <w:r>
              <w:rPr>
                <w:rFonts w:ascii="Arial" w:cs="Arial" w:eastAsia="Arial" w:hAnsi="Arial"/>
                <w:sz w:val="16"/>
                <w:szCs w:val="16"/>
                <w:color w:val="auto"/>
              </w:rPr>
              <w:t>9,098,152 shares issued and outstanding, respectively</w:t>
            </w:r>
          </w:p>
        </w:tc>
        <w:tc>
          <w:tcPr>
            <w:tcW w:w="520" w:type="dxa"/>
            <w:vAlign w:val="bottom"/>
          </w:tcPr>
          <w:p>
            <w:pPr>
              <w:spacing w:after="0"/>
              <w:rPr>
                <w:sz w:val="17"/>
                <w:szCs w:val="17"/>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16"/>
                <w:szCs w:val="16"/>
                <w:color w:val="auto"/>
              </w:rPr>
              <w:t>9</w:t>
            </w:r>
          </w:p>
        </w:tc>
        <w:tc>
          <w:tcPr>
            <w:tcW w:w="600" w:type="dxa"/>
            <w:vAlign w:val="bottom"/>
          </w:tcPr>
          <w:p>
            <w:pPr>
              <w:spacing w:after="0"/>
              <w:rPr>
                <w:sz w:val="17"/>
                <w:szCs w:val="17"/>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1"/>
        </w:trPr>
        <w:tc>
          <w:tcPr>
            <w:tcW w:w="5340" w:type="dxa"/>
            <w:vAlign w:val="bottom"/>
            <w:vMerge w:val="restart"/>
          </w:tcPr>
          <w:p>
            <w:pPr>
              <w:spacing w:after="0"/>
              <w:rPr>
                <w:sz w:val="20"/>
                <w:szCs w:val="20"/>
                <w:color w:val="auto"/>
              </w:rPr>
            </w:pPr>
            <w:r>
              <w:rPr>
                <w:rFonts w:ascii="Arial" w:cs="Arial" w:eastAsia="Arial" w:hAnsi="Arial"/>
                <w:sz w:val="16"/>
                <w:szCs w:val="16"/>
                <w:color w:val="auto"/>
              </w:rPr>
              <w:t>Additional paid-in capital</w:t>
            </w:r>
          </w:p>
        </w:tc>
        <w:tc>
          <w:tcPr>
            <w:tcW w:w="5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53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40,550</w:t>
            </w:r>
          </w:p>
        </w:tc>
        <w:tc>
          <w:tcPr>
            <w:tcW w:w="6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40,073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6"/>
                <w:szCs w:val="16"/>
                <w:color w:val="auto"/>
              </w:rPr>
              <w:t>Treasury stock at cost - 94,744 shares as of September 30, 2012</w:t>
            </w:r>
          </w:p>
        </w:tc>
        <w:tc>
          <w:tcPr>
            <w:tcW w:w="52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(384)</w:t>
            </w:r>
          </w:p>
        </w:tc>
        <w:tc>
          <w:tcPr>
            <w:tcW w:w="6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340" w:type="dxa"/>
            <w:vAlign w:val="bottom"/>
          </w:tcPr>
          <w:p>
            <w:pPr>
              <w:spacing w:after="0"/>
              <w:rPr>
                <w:sz w:val="20"/>
                <w:szCs w:val="20"/>
                <w:color w:val="auto"/>
              </w:rPr>
            </w:pPr>
            <w:r>
              <w:rPr>
                <w:rFonts w:ascii="Arial" w:cs="Arial" w:eastAsia="Arial" w:hAnsi="Arial"/>
                <w:sz w:val="16"/>
                <w:szCs w:val="16"/>
                <w:color w:val="auto"/>
              </w:rPr>
              <w:t>Retained earnings (accumulated deficit)</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1,539</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41,714</w:t>
            </w: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39,664</w:t>
            </w:r>
          </w:p>
        </w:tc>
        <w:tc>
          <w:tcPr>
            <w:tcW w:w="0" w:type="dxa"/>
            <w:vAlign w:val="bottom"/>
          </w:tcPr>
          <w:p>
            <w:pPr>
              <w:spacing w:after="0"/>
              <w:rPr>
                <w:sz w:val="1"/>
                <w:szCs w:val="1"/>
                <w:color w:val="auto"/>
              </w:rPr>
            </w:pP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50,506</w:t>
            </w: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49,559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260" w:right="1780"/>
        <w:spacing w:after="0" w:line="316" w:lineRule="auto"/>
        <w:rPr>
          <w:sz w:val="20"/>
          <w:szCs w:val="20"/>
          <w:color w:val="auto"/>
        </w:rPr>
      </w:pPr>
      <w:r>
        <w:rPr>
          <w:rFonts w:ascii="Arial" w:cs="Arial" w:eastAsia="Arial" w:hAnsi="Arial"/>
          <w:sz w:val="16"/>
          <w:szCs w:val="16"/>
          <w:b w:val="1"/>
          <w:bCs w:val="1"/>
          <w:color w:val="auto"/>
        </w:rPr>
        <w:t>CLEARONE COMMUNICATIONS, INC. UNAUDITED CONDENSED CONSOLIDATED STATEMENTS OF OPERATIONS (Dollars in thousands, except per share value)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w w:val="97"/>
              </w:rPr>
              <w:t>Three months ended September 30,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274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0"/>
        </w:trPr>
        <w:tc>
          <w:tcPr>
            <w:tcW w:w="2740" w:type="dxa"/>
            <w:vAlign w:val="bottom"/>
            <w:vMerge w:val="continue"/>
          </w:tcPr>
          <w:p>
            <w:pPr>
              <w:spacing w:after="0"/>
              <w:rPr>
                <w:sz w:val="20"/>
                <w:szCs w:val="20"/>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11,573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11,511</w:t>
            </w:r>
          </w:p>
        </w:tc>
        <w:tc>
          <w:tcPr>
            <w:tcW w:w="5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33,382</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34,102</w:t>
            </w:r>
          </w:p>
        </w:tc>
        <w:tc>
          <w:tcPr>
            <w:tcW w:w="0" w:type="dxa"/>
            <w:vAlign w:val="bottom"/>
          </w:tcPr>
          <w:p>
            <w:pPr>
              <w:spacing w:after="0"/>
              <w:rPr>
                <w:sz w:val="1"/>
                <w:szCs w:val="1"/>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4,856</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4,534</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13,464</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13,666</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6,717</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6,977</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19,918</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20,436</w:t>
            </w:r>
          </w:p>
        </w:tc>
        <w:tc>
          <w:tcPr>
            <w:tcW w:w="0" w:type="dxa"/>
            <w:vAlign w:val="bottom"/>
          </w:tcPr>
          <w:p>
            <w:pPr>
              <w:spacing w:after="0"/>
              <w:rPr>
                <w:sz w:val="1"/>
                <w:szCs w:val="1"/>
                <w:color w:val="auto"/>
              </w:rPr>
            </w:pPr>
          </w:p>
        </w:tc>
      </w:tr>
      <w:tr>
        <w:trPr>
          <w:trHeight w:val="447"/>
        </w:trPr>
        <w:tc>
          <w:tcPr>
            <w:tcW w:w="2740" w:type="dxa"/>
            <w:vAlign w:val="bottom"/>
          </w:tcPr>
          <w:p>
            <w:pPr>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740" w:type="dxa"/>
            <w:vAlign w:val="bottom"/>
          </w:tcPr>
          <w:p>
            <w:pPr>
              <w:spacing w:after="0"/>
              <w:rPr>
                <w:sz w:val="20"/>
                <w:szCs w:val="20"/>
                <w:color w:val="auto"/>
              </w:rPr>
            </w:pPr>
            <w:r>
              <w:rPr>
                <w:rFonts w:ascii="Arial" w:cs="Arial" w:eastAsia="Arial" w:hAnsi="Arial"/>
                <w:sz w:val="16"/>
                <w:szCs w:val="16"/>
                <w:color w:val="auto"/>
              </w:rPr>
              <w:t>Sales and marketing</w:t>
            </w:r>
          </w:p>
        </w:tc>
        <w:tc>
          <w:tcPr>
            <w:tcW w:w="380" w:type="dxa"/>
            <w:vAlign w:val="bottom"/>
          </w:tcPr>
          <w:p>
            <w:pPr>
              <w:spacing w:after="0"/>
              <w:rPr>
                <w:sz w:val="21"/>
                <w:szCs w:val="21"/>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1,821</w:t>
            </w:r>
          </w:p>
        </w:tc>
        <w:tc>
          <w:tcPr>
            <w:tcW w:w="500" w:type="dxa"/>
            <w:vAlign w:val="bottom"/>
          </w:tcPr>
          <w:p>
            <w:pPr>
              <w:spacing w:after="0"/>
              <w:rPr>
                <w:sz w:val="21"/>
                <w:szCs w:val="21"/>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2,184</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6,209</w:t>
            </w:r>
          </w:p>
        </w:tc>
        <w:tc>
          <w:tcPr>
            <w:tcW w:w="540" w:type="dxa"/>
            <w:vAlign w:val="bottom"/>
          </w:tcPr>
          <w:p>
            <w:pPr>
              <w:spacing w:after="0"/>
              <w:rPr>
                <w:sz w:val="21"/>
                <w:szCs w:val="21"/>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6,274</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80" w:type="dxa"/>
            <w:vAlign w:val="bottom"/>
          </w:tcPr>
          <w:p>
            <w:pPr>
              <w:spacing w:after="0"/>
              <w:rPr>
                <w:sz w:val="19"/>
                <w:szCs w:val="19"/>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1,959</w:t>
            </w:r>
          </w:p>
        </w:tc>
        <w:tc>
          <w:tcPr>
            <w:tcW w:w="5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1,796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5,996</w:t>
            </w:r>
          </w:p>
        </w:tc>
        <w:tc>
          <w:tcPr>
            <w:tcW w:w="540" w:type="dxa"/>
            <w:vAlign w:val="bottom"/>
          </w:tcPr>
          <w:p>
            <w:pPr>
              <w:spacing w:after="0"/>
              <w:rPr>
                <w:sz w:val="19"/>
                <w:szCs w:val="19"/>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1,545</w:t>
            </w:r>
          </w:p>
        </w:tc>
        <w:tc>
          <w:tcPr>
            <w:tcW w:w="5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1,333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4,736</w:t>
            </w:r>
          </w:p>
        </w:tc>
        <w:tc>
          <w:tcPr>
            <w:tcW w:w="540" w:type="dxa"/>
            <w:vAlign w:val="bottom"/>
          </w:tcPr>
          <w:p>
            <w:pPr>
              <w:spacing w:after="0"/>
              <w:rPr>
                <w:sz w:val="19"/>
                <w:szCs w:val="19"/>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(3,702)</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(250)</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(3,702)</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5,325</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1,611</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16,691</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11,987</w:t>
            </w:r>
          </w:p>
        </w:tc>
        <w:tc>
          <w:tcPr>
            <w:tcW w:w="0" w:type="dxa"/>
            <w:vAlign w:val="bottom"/>
          </w:tcPr>
          <w:p>
            <w:pPr>
              <w:spacing w:after="0"/>
              <w:rPr>
                <w:sz w:val="1"/>
                <w:szCs w:val="1"/>
                <w:color w:val="auto"/>
              </w:rPr>
            </w:pPr>
          </w:p>
        </w:tc>
      </w:tr>
      <w:tr>
        <w:trPr>
          <w:trHeight w:val="470"/>
        </w:trPr>
        <w:tc>
          <w:tcPr>
            <w:tcW w:w="2740" w:type="dxa"/>
            <w:vAlign w:val="bottom"/>
          </w:tcPr>
          <w:p>
            <w:pPr>
              <w:spacing w:after="0"/>
              <w:rPr>
                <w:sz w:val="20"/>
                <w:szCs w:val="20"/>
                <w:color w:val="auto"/>
              </w:rPr>
            </w:pPr>
            <w:r>
              <w:rPr>
                <w:rFonts w:ascii="Arial" w:cs="Arial" w:eastAsia="Arial" w:hAnsi="Arial"/>
                <w:sz w:val="16"/>
                <w:szCs w:val="16"/>
                <w:color w:val="auto"/>
              </w:rPr>
              <w:t>Operating income</w:t>
            </w:r>
          </w:p>
        </w:tc>
        <w:tc>
          <w:tcPr>
            <w:tcW w:w="380" w:type="dxa"/>
            <w:vAlign w:val="bottom"/>
          </w:tcPr>
          <w:p>
            <w:pPr>
              <w:spacing w:after="0"/>
              <w:rPr>
                <w:sz w:val="24"/>
                <w:szCs w:val="24"/>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1,392</w:t>
            </w:r>
          </w:p>
        </w:tc>
        <w:tc>
          <w:tcPr>
            <w:tcW w:w="500" w:type="dxa"/>
            <w:vAlign w:val="bottom"/>
          </w:tcPr>
          <w:p>
            <w:pPr>
              <w:spacing w:after="0"/>
              <w:rPr>
                <w:sz w:val="24"/>
                <w:szCs w:val="24"/>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5,366</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3,227</w:t>
            </w:r>
          </w:p>
        </w:tc>
        <w:tc>
          <w:tcPr>
            <w:tcW w:w="540" w:type="dxa"/>
            <w:vAlign w:val="bottom"/>
          </w:tcPr>
          <w:p>
            <w:pPr>
              <w:spacing w:after="0"/>
              <w:rPr>
                <w:sz w:val="24"/>
                <w:szCs w:val="24"/>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8,449</w:t>
            </w:r>
          </w:p>
        </w:tc>
        <w:tc>
          <w:tcPr>
            <w:tcW w:w="0" w:type="dxa"/>
            <w:vAlign w:val="bottom"/>
          </w:tcPr>
          <w:p>
            <w:pPr>
              <w:spacing w:after="0"/>
              <w:rPr>
                <w:sz w:val="1"/>
                <w:szCs w:val="1"/>
                <w:color w:val="auto"/>
              </w:rPr>
            </w:pPr>
          </w:p>
        </w:tc>
      </w:tr>
      <w:tr>
        <w:trPr>
          <w:trHeight w:val="199"/>
        </w:trPr>
        <w:tc>
          <w:tcPr>
            <w:tcW w:w="27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29</w:t>
            </w: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40</w:t>
            </w: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0"/>
        </w:trPr>
        <w:tc>
          <w:tcPr>
            <w:tcW w:w="27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80" w:type="dxa"/>
            <w:vAlign w:val="bottom"/>
          </w:tcPr>
          <w:p>
            <w:pPr>
              <w:spacing w:after="0"/>
              <w:rPr>
                <w:sz w:val="24"/>
                <w:szCs w:val="24"/>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1,421</w:t>
            </w:r>
          </w:p>
        </w:tc>
        <w:tc>
          <w:tcPr>
            <w:tcW w:w="500" w:type="dxa"/>
            <w:vAlign w:val="bottom"/>
          </w:tcPr>
          <w:p>
            <w:pPr>
              <w:spacing w:after="0"/>
              <w:rPr>
                <w:sz w:val="24"/>
                <w:szCs w:val="24"/>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5,362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3,267</w:t>
            </w:r>
          </w:p>
        </w:tc>
        <w:tc>
          <w:tcPr>
            <w:tcW w:w="540" w:type="dxa"/>
            <w:vAlign w:val="bottom"/>
          </w:tcPr>
          <w:p>
            <w:pPr>
              <w:spacing w:after="0"/>
              <w:rPr>
                <w:sz w:val="24"/>
                <w:szCs w:val="24"/>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8,464</w:t>
            </w:r>
          </w:p>
        </w:tc>
        <w:tc>
          <w:tcPr>
            <w:tcW w:w="0" w:type="dxa"/>
            <w:vAlign w:val="bottom"/>
          </w:tcPr>
          <w:p>
            <w:pPr>
              <w:spacing w:after="0"/>
              <w:rPr>
                <w:sz w:val="1"/>
                <w:szCs w:val="1"/>
                <w:color w:val="auto"/>
              </w:rPr>
            </w:pPr>
          </w:p>
        </w:tc>
      </w:tr>
      <w:tr>
        <w:trPr>
          <w:trHeight w:val="212"/>
        </w:trPr>
        <w:tc>
          <w:tcPr>
            <w:tcW w:w="27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492</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1,987</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1,310</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929</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3,375</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1,957</w:t>
            </w: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5,508</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6"/>
                <w:szCs w:val="16"/>
                <w:color w:val="auto"/>
              </w:rPr>
              <w:t>Basic earnings per common share</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740" w:type="dxa"/>
            <w:vAlign w:val="bottom"/>
            <w:vMerge w:val="continue"/>
          </w:tcPr>
          <w:p>
            <w:pPr>
              <w:spacing w:after="0"/>
              <w:rPr>
                <w:sz w:val="24"/>
                <w:szCs w:val="24"/>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0.10</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0.37</w:t>
            </w:r>
          </w:p>
        </w:tc>
        <w:tc>
          <w:tcPr>
            <w:tcW w:w="5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0.21</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0.10</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0.36</w:t>
            </w:r>
          </w:p>
        </w:tc>
        <w:tc>
          <w:tcPr>
            <w:tcW w:w="5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0.21</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401"/>
        </w:trPr>
        <w:tc>
          <w:tcPr>
            <w:tcW w:w="2740" w:type="dxa"/>
            <w:vAlign w:val="bottom"/>
          </w:tcPr>
          <w:p>
            <w:pPr>
              <w:spacing w:after="0"/>
              <w:rPr>
                <w:sz w:val="20"/>
                <w:szCs w:val="20"/>
                <w:color w:val="auto"/>
              </w:rPr>
            </w:pPr>
            <w:r>
              <w:rPr>
                <w:rFonts w:ascii="Arial" w:cs="Arial" w:eastAsia="Arial" w:hAnsi="Arial"/>
                <w:sz w:val="16"/>
                <w:szCs w:val="16"/>
                <w:color w:val="auto"/>
              </w:rPr>
              <w:t>Basic weighted average shares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outstanding</w:t>
            </w:r>
          </w:p>
        </w:tc>
        <w:tc>
          <w:tcPr>
            <w:tcW w:w="380" w:type="dxa"/>
            <w:vAlign w:val="bottom"/>
          </w:tcPr>
          <w:p>
            <w:pPr>
              <w:spacing w:after="0"/>
              <w:rPr>
                <w:sz w:val="17"/>
                <w:szCs w:val="17"/>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9,113,713</w:t>
            </w:r>
          </w:p>
        </w:tc>
        <w:tc>
          <w:tcPr>
            <w:tcW w:w="500" w:type="dxa"/>
            <w:vAlign w:val="bottom"/>
          </w:tcPr>
          <w:p>
            <w:pPr>
              <w:spacing w:after="0"/>
              <w:rPr>
                <w:sz w:val="17"/>
                <w:szCs w:val="17"/>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9,089,919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9,106,455</w:t>
            </w:r>
          </w:p>
        </w:tc>
        <w:tc>
          <w:tcPr>
            <w:tcW w:w="540" w:type="dxa"/>
            <w:vAlign w:val="bottom"/>
          </w:tcPr>
          <w:p>
            <w:pPr>
              <w:spacing w:after="0"/>
              <w:rPr>
                <w:sz w:val="17"/>
                <w:szCs w:val="17"/>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9,005,221</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20"/>
                <w:szCs w:val="20"/>
                <w:color w:val="auto"/>
              </w:rPr>
            </w:pPr>
            <w:r>
              <w:rPr>
                <w:rFonts w:ascii="Arial" w:cs="Arial" w:eastAsia="Arial" w:hAnsi="Arial"/>
                <w:sz w:val="16"/>
                <w:szCs w:val="16"/>
                <w:color w:val="auto"/>
              </w:rPr>
              <w:t>Diluted weighted average shares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40" w:type="dxa"/>
            <w:vAlign w:val="bottom"/>
          </w:tcPr>
          <w:p>
            <w:pPr>
              <w:spacing w:after="0"/>
              <w:rPr>
                <w:sz w:val="20"/>
                <w:szCs w:val="20"/>
                <w:color w:val="auto"/>
              </w:rPr>
            </w:pPr>
            <w:r>
              <w:rPr>
                <w:rFonts w:ascii="Arial" w:cs="Arial" w:eastAsia="Arial" w:hAnsi="Arial"/>
                <w:sz w:val="16"/>
                <w:szCs w:val="16"/>
                <w:color w:val="auto"/>
              </w:rPr>
              <w:t>outstanding</w:t>
            </w:r>
          </w:p>
        </w:tc>
        <w:tc>
          <w:tcPr>
            <w:tcW w:w="380" w:type="dxa"/>
            <w:vAlign w:val="bottom"/>
          </w:tcPr>
          <w:p>
            <w:pPr>
              <w:spacing w:after="0"/>
              <w:rPr>
                <w:sz w:val="20"/>
                <w:szCs w:val="20"/>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9,193,574</w:t>
            </w:r>
          </w:p>
        </w:tc>
        <w:tc>
          <w:tcPr>
            <w:tcW w:w="500" w:type="dxa"/>
            <w:vAlign w:val="bottom"/>
          </w:tcPr>
          <w:p>
            <w:pPr>
              <w:spacing w:after="0"/>
              <w:rPr>
                <w:sz w:val="20"/>
                <w:szCs w:val="20"/>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9,358,292</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color w:val="auto"/>
              </w:rPr>
              <w:t>9,219,161</w:t>
            </w:r>
          </w:p>
        </w:tc>
        <w:tc>
          <w:tcPr>
            <w:tcW w:w="540" w:type="dxa"/>
            <w:vAlign w:val="bottom"/>
          </w:tcPr>
          <w:p>
            <w:pPr>
              <w:spacing w:after="0"/>
              <w:rPr>
                <w:sz w:val="20"/>
                <w:szCs w:val="20"/>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9,276,619</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0" w:right="1440" w:bottom="406" w:gutter="0" w:footer="0" w:header="0"/>
          <w:type w:val="continuous"/>
        </w:sectPr>
      </w:pPr>
    </w:p>
    <w:bookmarkStart w:id="6" w:name="page7"/>
    <w:bookmarkEnd w:id="6"/>
    <w:p>
      <w:pPr>
        <w:spacing w:after="0" w:line="6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CLEARONE COMMUNICATIONS, INC.</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RECONCILIATION OF GAAP TO NON-GAAP NET INCOME</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(Dollars in thousands, except per share value)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Quarter ended September 30, 2012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Quarter ended September 30, 2011</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GAAP</w:t>
            </w:r>
          </w:p>
        </w:tc>
        <w:tc>
          <w:tcPr>
            <w:tcW w:w="10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3"/>
              </w:rPr>
              <w:t>Non-GAAP</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10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9"/>
              </w:rPr>
              <w:t>Non-GAAP</w:t>
            </w:r>
          </w:p>
        </w:tc>
        <w:tc>
          <w:tcPr>
            <w:tcW w:w="0" w:type="dxa"/>
            <w:vAlign w:val="bottom"/>
          </w:tcPr>
          <w:p>
            <w:pPr>
              <w:spacing w:after="0"/>
              <w:rPr>
                <w:sz w:val="1"/>
                <w:szCs w:val="1"/>
                <w:color w:val="auto"/>
              </w:rPr>
            </w:pPr>
          </w:p>
        </w:tc>
      </w:tr>
      <w:tr>
        <w:trPr>
          <w:trHeight w:val="240"/>
        </w:trPr>
        <w:tc>
          <w:tcPr>
            <w:tcW w:w="368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11,573</w:t>
            </w: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11,573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11,511</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11,511</w:t>
            </w:r>
          </w:p>
        </w:tc>
        <w:tc>
          <w:tcPr>
            <w:tcW w:w="0" w:type="dxa"/>
            <w:vAlign w:val="bottom"/>
          </w:tcPr>
          <w:p>
            <w:pPr>
              <w:spacing w:after="0"/>
              <w:rPr>
                <w:sz w:val="1"/>
                <w:szCs w:val="1"/>
                <w:color w:val="auto"/>
              </w:rPr>
            </w:pPr>
          </w:p>
        </w:tc>
      </w:tr>
      <w:tr>
        <w:trPr>
          <w:trHeight w:val="212"/>
        </w:trPr>
        <w:tc>
          <w:tcPr>
            <w:tcW w:w="368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4,856</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4,854</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4,534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4,534</w:t>
            </w: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6,717</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6,719</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6,977</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6,977</w:t>
            </w:r>
          </w:p>
        </w:tc>
        <w:tc>
          <w:tcPr>
            <w:tcW w:w="0" w:type="dxa"/>
            <w:vAlign w:val="bottom"/>
          </w:tcPr>
          <w:p>
            <w:pPr>
              <w:spacing w:after="0"/>
              <w:rPr>
                <w:sz w:val="1"/>
                <w:szCs w:val="1"/>
                <w:color w:val="auto"/>
              </w:rPr>
            </w:pPr>
          </w:p>
        </w:tc>
      </w:tr>
      <w:tr>
        <w:trPr>
          <w:trHeight w:val="447"/>
        </w:trPr>
        <w:tc>
          <w:tcPr>
            <w:tcW w:w="36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8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1"/>
                <w:szCs w:val="21"/>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1,821</w:t>
            </w:r>
          </w:p>
        </w:tc>
        <w:tc>
          <w:tcPr>
            <w:tcW w:w="360" w:type="dxa"/>
            <w:vAlign w:val="bottom"/>
          </w:tcPr>
          <w:p>
            <w:pPr>
              <w:spacing w:after="0"/>
              <w:rPr>
                <w:sz w:val="21"/>
                <w:szCs w:val="21"/>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1,806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2,184</w:t>
            </w:r>
          </w:p>
        </w:tc>
        <w:tc>
          <w:tcPr>
            <w:tcW w:w="280" w:type="dxa"/>
            <w:vAlign w:val="bottom"/>
          </w:tcPr>
          <w:p>
            <w:pPr>
              <w:spacing w:after="0"/>
              <w:rPr>
                <w:sz w:val="21"/>
                <w:szCs w:val="21"/>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6"/>
                <w:szCs w:val="16"/>
                <w:color w:val="auto"/>
              </w:rPr>
              <w:t>Research and product development</w:t>
            </w:r>
          </w:p>
        </w:tc>
        <w:tc>
          <w:tcPr>
            <w:tcW w:w="160" w:type="dxa"/>
            <w:vAlign w:val="bottom"/>
          </w:tcPr>
          <w:p>
            <w:pPr>
              <w:spacing w:after="0"/>
              <w:rPr>
                <w:sz w:val="19"/>
                <w:szCs w:val="19"/>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1,959</w:t>
            </w:r>
          </w:p>
        </w:tc>
        <w:tc>
          <w:tcPr>
            <w:tcW w:w="360" w:type="dxa"/>
            <w:vAlign w:val="bottom"/>
          </w:tcPr>
          <w:p>
            <w:pPr>
              <w:spacing w:after="0"/>
              <w:rPr>
                <w:sz w:val="19"/>
                <w:szCs w:val="19"/>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1,950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1,796</w:t>
            </w:r>
          </w:p>
        </w:tc>
        <w:tc>
          <w:tcPr>
            <w:tcW w:w="280" w:type="dxa"/>
            <w:vAlign w:val="bottom"/>
          </w:tcPr>
          <w:p>
            <w:pPr>
              <w:spacing w:after="0"/>
              <w:rPr>
                <w:sz w:val="19"/>
                <w:szCs w:val="19"/>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9"/>
                <w:szCs w:val="19"/>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1,545</w:t>
            </w:r>
          </w:p>
        </w:tc>
        <w:tc>
          <w:tcPr>
            <w:tcW w:w="360" w:type="dxa"/>
            <w:vAlign w:val="bottom"/>
          </w:tcPr>
          <w:p>
            <w:pPr>
              <w:spacing w:after="0"/>
              <w:rPr>
                <w:sz w:val="19"/>
                <w:szCs w:val="19"/>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1,078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1,333</w:t>
            </w:r>
          </w:p>
        </w:tc>
        <w:tc>
          <w:tcPr>
            <w:tcW w:w="280" w:type="dxa"/>
            <w:vAlign w:val="bottom"/>
          </w:tcPr>
          <w:p>
            <w:pPr>
              <w:spacing w:after="0"/>
              <w:rPr>
                <w:sz w:val="19"/>
                <w:szCs w:val="19"/>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12"/>
        </w:trPr>
        <w:tc>
          <w:tcPr>
            <w:tcW w:w="368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(3,702)</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3,702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5,325</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4,834</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1,611</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3,427</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5,038</w:t>
            </w:r>
          </w:p>
        </w:tc>
        <w:tc>
          <w:tcPr>
            <w:tcW w:w="0" w:type="dxa"/>
            <w:vAlign w:val="bottom"/>
          </w:tcPr>
          <w:p>
            <w:pPr>
              <w:spacing w:after="0"/>
              <w:rPr>
                <w:sz w:val="1"/>
                <w:szCs w:val="1"/>
                <w:color w:val="auto"/>
              </w:rPr>
            </w:pPr>
          </w:p>
        </w:tc>
      </w:tr>
      <w:tr>
        <w:trPr>
          <w:trHeight w:val="470"/>
        </w:trPr>
        <w:tc>
          <w:tcPr>
            <w:tcW w:w="36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24"/>
                <w:szCs w:val="24"/>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1,392</w:t>
            </w:r>
          </w:p>
        </w:tc>
        <w:tc>
          <w:tcPr>
            <w:tcW w:w="360" w:type="dxa"/>
            <w:vAlign w:val="bottom"/>
          </w:tcPr>
          <w:p>
            <w:pPr>
              <w:spacing w:after="0"/>
              <w:rPr>
                <w:sz w:val="24"/>
                <w:szCs w:val="24"/>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1,885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5,366</w:t>
            </w:r>
          </w:p>
        </w:tc>
        <w:tc>
          <w:tcPr>
            <w:tcW w:w="280" w:type="dxa"/>
            <w:vAlign w:val="bottom"/>
          </w:tcPr>
          <w:p>
            <w:pPr>
              <w:spacing w:after="0"/>
              <w:rPr>
                <w:sz w:val="24"/>
                <w:szCs w:val="24"/>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(3,427)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199"/>
        </w:trPr>
        <w:tc>
          <w:tcPr>
            <w:tcW w:w="3680" w:type="dxa"/>
            <w:vAlign w:val="bottom"/>
            <w:gridSpan w:val="2"/>
          </w:tcPr>
          <w:p>
            <w:pPr>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70"/>
        </w:trPr>
        <w:tc>
          <w:tcPr>
            <w:tcW w:w="36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4"/>
                <w:szCs w:val="24"/>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1,421</w:t>
            </w:r>
          </w:p>
        </w:tc>
        <w:tc>
          <w:tcPr>
            <w:tcW w:w="360" w:type="dxa"/>
            <w:vAlign w:val="bottom"/>
          </w:tcPr>
          <w:p>
            <w:pPr>
              <w:spacing w:after="0"/>
              <w:rPr>
                <w:sz w:val="24"/>
                <w:szCs w:val="24"/>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1,914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5,362</w:t>
            </w:r>
          </w:p>
        </w:tc>
        <w:tc>
          <w:tcPr>
            <w:tcW w:w="280" w:type="dxa"/>
            <w:vAlign w:val="bottom"/>
          </w:tcPr>
          <w:p>
            <w:pPr>
              <w:spacing w:after="0"/>
              <w:rPr>
                <w:sz w:val="24"/>
                <w:szCs w:val="24"/>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(3,427)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199"/>
        </w:trPr>
        <w:tc>
          <w:tcPr>
            <w:tcW w:w="36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492</w:t>
            </w: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663</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1,987</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929</w:t>
            </w: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322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1,251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3,375</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(2,142)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6"/>
                <w:szCs w:val="16"/>
                <w:color w:val="auto"/>
              </w:rPr>
              <w:t>Basic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680" w:type="dxa"/>
            <w:vAlign w:val="bottom"/>
            <w:gridSpan w:val="2"/>
            <w:vMerge w:val="continue"/>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0.10</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0.14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0.37</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3"/>
        </w:trPr>
        <w:tc>
          <w:tcPr>
            <w:tcW w:w="368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0.10</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0.14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0.36</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455"/>
        </w:trPr>
        <w:tc>
          <w:tcPr>
            <w:tcW w:w="368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9,113,713</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9,113,713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w w:val="89"/>
              </w:rPr>
              <w:t>9,089,919</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9,089,919</w:t>
            </w:r>
          </w:p>
        </w:tc>
        <w:tc>
          <w:tcPr>
            <w:tcW w:w="0" w:type="dxa"/>
            <w:vAlign w:val="bottom"/>
          </w:tcPr>
          <w:p>
            <w:pPr>
              <w:spacing w:after="0"/>
              <w:rPr>
                <w:sz w:val="1"/>
                <w:szCs w:val="1"/>
                <w:color w:val="auto"/>
              </w:rPr>
            </w:pPr>
          </w:p>
        </w:tc>
      </w:tr>
      <w:tr>
        <w:trPr>
          <w:trHeight w:val="233"/>
        </w:trPr>
        <w:tc>
          <w:tcPr>
            <w:tcW w:w="368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9,193,574</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9,193,574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w w:val="89"/>
              </w:rPr>
              <w:t>9,358,292</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9,358,292</w:t>
            </w:r>
          </w:p>
        </w:tc>
        <w:tc>
          <w:tcPr>
            <w:tcW w:w="0" w:type="dxa"/>
            <w:vAlign w:val="bottom"/>
          </w:tcPr>
          <w:p>
            <w:pPr>
              <w:spacing w:after="0"/>
              <w:rPr>
                <w:sz w:val="1"/>
                <w:szCs w:val="1"/>
                <w:color w:val="auto"/>
              </w:rPr>
            </w:pPr>
          </w:p>
        </w:tc>
      </w:tr>
      <w:tr>
        <w:trPr>
          <w:trHeight w:val="627"/>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The adjustments consist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68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(3,702)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gridSpan w:val="4"/>
          </w:tcPr>
          <w:p>
            <w:pPr>
              <w:spacing w:after="0"/>
              <w:rPr>
                <w:sz w:val="20"/>
                <w:szCs w:val="20"/>
                <w:color w:val="auto"/>
              </w:rPr>
            </w:pPr>
            <w:r>
              <w:rPr>
                <w:rFonts w:ascii="Arial" w:cs="Arial" w:eastAsia="Arial" w:hAnsi="Arial"/>
                <w:sz w:val="16"/>
                <w:szCs w:val="16"/>
                <w:color w:val="auto"/>
              </w:rPr>
              <w:t>Legal expenses for litigation relating to indemnification of former</w:t>
            </w:r>
          </w:p>
        </w:tc>
        <w:tc>
          <w:tcPr>
            <w:tcW w:w="360" w:type="dxa"/>
            <w:vAlign w:val="bottom"/>
          </w:tcPr>
          <w:p>
            <w:pPr>
              <w:spacing w:after="0"/>
              <w:rPr>
                <w:sz w:val="17"/>
                <w:szCs w:val="17"/>
                <w:color w:val="auto"/>
              </w:rPr>
            </w:pPr>
          </w:p>
        </w:tc>
        <w:tc>
          <w:tcPr>
            <w:tcW w:w="720" w:type="dxa"/>
            <w:vAlign w:val="bottom"/>
            <w:vMerge w:val="restart"/>
          </w:tcPr>
          <w:p>
            <w:pPr>
              <w:jc w:val="right"/>
              <w:ind w:right="17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gridSpan w:val="4"/>
          </w:tcPr>
          <w:p>
            <w:pPr>
              <w:ind w:left="180"/>
              <w:spacing w:after="0"/>
              <w:rPr>
                <w:sz w:val="20"/>
                <w:szCs w:val="20"/>
                <w:color w:val="auto"/>
              </w:rPr>
            </w:pPr>
            <w:r>
              <w:rPr>
                <w:rFonts w:ascii="Arial" w:cs="Arial" w:eastAsia="Arial" w:hAnsi="Arial"/>
                <w:sz w:val="16"/>
                <w:szCs w:val="16"/>
                <w:color w:val="auto"/>
                <w:w w:val="98"/>
              </w:rPr>
              <w:t>officers, intellectual property claims and our claim for damages</w:t>
            </w:r>
          </w:p>
        </w:tc>
        <w:tc>
          <w:tcPr>
            <w:tcW w:w="3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68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80" w:type="dxa"/>
            <w:vAlign w:val="bottom"/>
            <w:gridSpan w:val="4"/>
            <w:vMerge w:val="restart"/>
          </w:tcPr>
          <w:p>
            <w:pPr>
              <w:spacing w:after="0"/>
              <w:rPr>
                <w:sz w:val="20"/>
                <w:szCs w:val="20"/>
                <w:color w:val="auto"/>
              </w:rPr>
            </w:pPr>
            <w:r>
              <w:rPr>
                <w:rFonts w:ascii="Arial" w:cs="Arial" w:eastAsia="Arial" w:hAnsi="Arial"/>
                <w:sz w:val="16"/>
                <w:szCs w:val="16"/>
                <w:color w:val="auto"/>
              </w:rPr>
              <w:t>Provision for income taxes affected by the above adjustments</w:t>
            </w:r>
          </w:p>
        </w:tc>
        <w:tc>
          <w:tcPr>
            <w:tcW w:w="360" w:type="dxa"/>
            <w:vAlign w:val="bottom"/>
          </w:tcPr>
          <w:p>
            <w:pPr>
              <w:spacing w:after="0"/>
              <w:rPr>
                <w:sz w:val="21"/>
                <w:szCs w:val="21"/>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(3,428)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580" w:type="dxa"/>
            <w:vAlign w:val="bottom"/>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80" w:type="dxa"/>
            <w:vAlign w:val="bottom"/>
            <w:gridSpan w:val="2"/>
          </w:tcPr>
          <w:p>
            <w:pPr>
              <w:ind w:left="180"/>
              <w:spacing w:after="0" w:line="169" w:lineRule="exact"/>
              <w:rPr>
                <w:sz w:val="20"/>
                <w:szCs w:val="20"/>
                <w:color w:val="auto"/>
              </w:rPr>
            </w:pPr>
            <w:r>
              <w:rPr>
                <w:rFonts w:ascii="Arial" w:cs="Arial" w:eastAsia="Arial" w:hAnsi="Arial"/>
                <w:sz w:val="16"/>
                <w:szCs w:val="16"/>
                <w:color w:val="auto"/>
              </w:rPr>
              <w:t>Total adjustments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322</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jc w:val="right"/>
              <w:ind w:right="1"/>
              <w:spacing w:after="0" w:line="16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rPr>
              <w:t>(2,143)</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CLEARONE COMMUNICATIONS, INC.</w:t>
      </w:r>
    </w:p>
    <w:p>
      <w:pPr>
        <w:spacing w:after="0" w:line="46"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RECONCILIATION OF GAAP TO NON-GAAP NET INCOME</w:t>
      </w:r>
    </w:p>
    <w:p>
      <w:pPr>
        <w:spacing w:after="0" w:line="46" w:lineRule="exact"/>
        <w:rPr>
          <w:sz w:val="20"/>
          <w:szCs w:val="20"/>
          <w:color w:val="auto"/>
        </w:rPr>
      </w:pPr>
    </w:p>
    <w:p>
      <w:pPr>
        <w:jc w:val="center"/>
        <w:ind w:right="739"/>
        <w:spacing w:after="0"/>
        <w:rPr>
          <w:sz w:val="20"/>
          <w:szCs w:val="20"/>
          <w:color w:val="auto"/>
        </w:rPr>
      </w:pPr>
      <w:r>
        <w:rPr>
          <w:rFonts w:ascii="Arial" w:cs="Arial" w:eastAsia="Arial" w:hAnsi="Arial"/>
          <w:sz w:val="16"/>
          <w:szCs w:val="16"/>
          <w:b w:val="1"/>
          <w:bCs w:val="1"/>
          <w:color w:val="auto"/>
        </w:rPr>
        <w:t>(Dollars in thousands, except per share value)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w w:val="93"/>
              </w:rPr>
              <w:t>Nine Months ended September 30, 2012</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4"/>
              </w:rPr>
              <w:t>Nine Months ended September 30, 2011</w:t>
            </w:r>
          </w:p>
        </w:tc>
      </w:tr>
      <w:tr>
        <w:trPr>
          <w:trHeight w:val="210"/>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GAAP</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Non-GAAP</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GAAP</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6"/>
              </w:rPr>
              <w:t>Non-GAAP</w:t>
            </w:r>
          </w:p>
        </w:tc>
      </w:tr>
      <w:tr>
        <w:trPr>
          <w:trHeight w:val="240"/>
        </w:trPr>
        <w:tc>
          <w:tcPr>
            <w:tcW w:w="370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33,382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w w:val="98"/>
              </w:rPr>
              <w:t>33,382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34,102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34,102</w:t>
            </w:r>
          </w:p>
        </w:tc>
      </w:tr>
      <w:tr>
        <w:trPr>
          <w:trHeight w:val="212"/>
        </w:trPr>
        <w:tc>
          <w:tcPr>
            <w:tcW w:w="3700" w:type="dxa"/>
            <w:vAlign w:val="bottom"/>
          </w:tcPr>
          <w:p>
            <w:pPr>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13,464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8"/>
              </w:rPr>
              <w:t>13,461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13,666</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13,666</w:t>
            </w: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19,918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8"/>
              </w:rPr>
              <w:t>19,921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20,436</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20,436</w:t>
            </w:r>
          </w:p>
        </w:tc>
      </w:tr>
      <w:tr>
        <w:trPr>
          <w:trHeight w:val="447"/>
        </w:trPr>
        <w:tc>
          <w:tcPr>
            <w:tcW w:w="370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3"/>
        </w:trPr>
        <w:tc>
          <w:tcPr>
            <w:tcW w:w="3700" w:type="dxa"/>
            <w:vAlign w:val="bottom"/>
          </w:tcPr>
          <w:p>
            <w:pPr>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6,209</w:t>
            </w:r>
          </w:p>
        </w:tc>
        <w:tc>
          <w:tcPr>
            <w:tcW w:w="260" w:type="dxa"/>
            <w:vAlign w:val="bottom"/>
          </w:tcPr>
          <w:p>
            <w:pPr>
              <w:spacing w:after="0"/>
              <w:rPr>
                <w:sz w:val="21"/>
                <w:szCs w:val="21"/>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21"/>
                <w:szCs w:val="21"/>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6,164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6,274</w:t>
            </w:r>
          </w:p>
        </w:tc>
        <w:tc>
          <w:tcPr>
            <w:tcW w:w="260" w:type="dxa"/>
            <w:vAlign w:val="bottom"/>
          </w:tcPr>
          <w:p>
            <w:pPr>
              <w:spacing w:after="0"/>
              <w:rPr>
                <w:sz w:val="21"/>
                <w:szCs w:val="21"/>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6,260</w:t>
            </w:r>
          </w:p>
        </w:tc>
      </w:tr>
      <w:tr>
        <w:trPr>
          <w:trHeight w:val="230"/>
        </w:trPr>
        <w:tc>
          <w:tcPr>
            <w:tcW w:w="370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12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5,996</w:t>
            </w:r>
          </w:p>
        </w:tc>
        <w:tc>
          <w:tcPr>
            <w:tcW w:w="26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5,970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5,249</w:t>
            </w:r>
          </w:p>
        </w:tc>
        <w:tc>
          <w:tcPr>
            <w:tcW w:w="260" w:type="dxa"/>
            <w:vAlign w:val="bottom"/>
          </w:tcPr>
          <w:p>
            <w:pPr>
              <w:spacing w:after="0"/>
              <w:rPr>
                <w:sz w:val="19"/>
                <w:szCs w:val="19"/>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5,237</w:t>
            </w:r>
          </w:p>
        </w:tc>
      </w:tr>
      <w:tr>
        <w:trPr>
          <w:trHeight w:val="230"/>
        </w:trPr>
        <w:tc>
          <w:tcPr>
            <w:tcW w:w="37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4,736</w:t>
            </w:r>
          </w:p>
        </w:tc>
        <w:tc>
          <w:tcPr>
            <w:tcW w:w="26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w w:val="98"/>
              </w:rPr>
              <w:t>(1,452)</w:t>
            </w:r>
          </w:p>
        </w:tc>
        <w:tc>
          <w:tcPr>
            <w:tcW w:w="200" w:type="dxa"/>
            <w:vAlign w:val="bottom"/>
          </w:tcPr>
          <w:p>
            <w:pPr>
              <w:spacing w:after="0"/>
              <w:rPr>
                <w:sz w:val="19"/>
                <w:szCs w:val="19"/>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3,284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4,166</w:t>
            </w:r>
          </w:p>
        </w:tc>
        <w:tc>
          <w:tcPr>
            <w:tcW w:w="260" w:type="dxa"/>
            <w:vAlign w:val="bottom"/>
          </w:tcPr>
          <w:p>
            <w:pPr>
              <w:spacing w:after="0"/>
              <w:rPr>
                <w:sz w:val="19"/>
                <w:szCs w:val="19"/>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w w:val="98"/>
              </w:rPr>
              <w:t>(1,070)</w:t>
            </w:r>
          </w:p>
        </w:tc>
        <w:tc>
          <w:tcPr>
            <w:tcW w:w="120" w:type="dxa"/>
            <w:vAlign w:val="bottom"/>
          </w:tcPr>
          <w:p>
            <w:pPr>
              <w:spacing w:after="0"/>
              <w:rPr>
                <w:sz w:val="19"/>
                <w:szCs w:val="19"/>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3,096</w:t>
            </w:r>
          </w:p>
        </w:tc>
      </w:tr>
      <w:tr>
        <w:trPr>
          <w:trHeight w:val="212"/>
        </w:trPr>
        <w:tc>
          <w:tcPr>
            <w:tcW w:w="370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250</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(3,702)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3,702</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16,691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8"/>
              </w:rPr>
              <w:t>(1,273)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8"/>
              </w:rPr>
              <w:t>15,418</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11,987</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2,606</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14,593</w:t>
            </w:r>
          </w:p>
        </w:tc>
      </w:tr>
      <w:tr>
        <w:trPr>
          <w:trHeight w:val="470"/>
        </w:trPr>
        <w:tc>
          <w:tcPr>
            <w:tcW w:w="3700" w:type="dxa"/>
            <w:vAlign w:val="bottom"/>
          </w:tcPr>
          <w:p>
            <w:pPr>
              <w:spacing w:after="0"/>
              <w:rPr>
                <w:sz w:val="20"/>
                <w:szCs w:val="20"/>
                <w:color w:val="auto"/>
              </w:rPr>
            </w:pPr>
            <w:r>
              <w:rPr>
                <w:rFonts w:ascii="Arial" w:cs="Arial" w:eastAsia="Arial" w:hAnsi="Arial"/>
                <w:sz w:val="16"/>
                <w:szCs w:val="16"/>
                <w:color w:val="auto"/>
              </w:rPr>
              <w:t>Operating income</w:t>
            </w:r>
          </w:p>
        </w:tc>
        <w:tc>
          <w:tcPr>
            <w:tcW w:w="12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3,227</w:t>
            </w:r>
          </w:p>
        </w:tc>
        <w:tc>
          <w:tcPr>
            <w:tcW w:w="260" w:type="dxa"/>
            <w:vAlign w:val="bottom"/>
          </w:tcPr>
          <w:p>
            <w:pPr>
              <w:spacing w:after="0"/>
              <w:rPr>
                <w:sz w:val="24"/>
                <w:szCs w:val="24"/>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1,276</w:t>
            </w:r>
          </w:p>
        </w:tc>
        <w:tc>
          <w:tcPr>
            <w:tcW w:w="20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4,503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8,449</w:t>
            </w:r>
          </w:p>
        </w:tc>
        <w:tc>
          <w:tcPr>
            <w:tcW w:w="260" w:type="dxa"/>
            <w:vAlign w:val="bottom"/>
          </w:tcPr>
          <w:p>
            <w:pPr>
              <w:spacing w:after="0"/>
              <w:rPr>
                <w:sz w:val="24"/>
                <w:szCs w:val="24"/>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w w:val="98"/>
              </w:rPr>
              <w:t>(2,606)</w:t>
            </w:r>
          </w:p>
        </w:tc>
        <w:tc>
          <w:tcPr>
            <w:tcW w:w="120" w:type="dxa"/>
            <w:vAlign w:val="bottom"/>
          </w:tcPr>
          <w:p>
            <w:pPr>
              <w:spacing w:after="0"/>
              <w:rPr>
                <w:sz w:val="24"/>
                <w:szCs w:val="24"/>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5,843</w:t>
            </w:r>
          </w:p>
        </w:tc>
      </w:tr>
      <w:tr>
        <w:trPr>
          <w:trHeight w:val="199"/>
        </w:trPr>
        <w:tc>
          <w:tcPr>
            <w:tcW w:w="3700" w:type="dxa"/>
            <w:vAlign w:val="bottom"/>
          </w:tcPr>
          <w:p>
            <w:pPr>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15</w:t>
            </w:r>
          </w:p>
        </w:tc>
      </w:tr>
      <w:tr>
        <w:trPr>
          <w:trHeight w:val="470"/>
        </w:trPr>
        <w:tc>
          <w:tcPr>
            <w:tcW w:w="37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3,267</w:t>
            </w:r>
          </w:p>
        </w:tc>
        <w:tc>
          <w:tcPr>
            <w:tcW w:w="260" w:type="dxa"/>
            <w:vAlign w:val="bottom"/>
          </w:tcPr>
          <w:p>
            <w:pPr>
              <w:spacing w:after="0"/>
              <w:rPr>
                <w:sz w:val="24"/>
                <w:szCs w:val="24"/>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1,276</w:t>
            </w:r>
          </w:p>
        </w:tc>
        <w:tc>
          <w:tcPr>
            <w:tcW w:w="20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4,543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8,464</w:t>
            </w:r>
          </w:p>
        </w:tc>
        <w:tc>
          <w:tcPr>
            <w:tcW w:w="260" w:type="dxa"/>
            <w:vAlign w:val="bottom"/>
          </w:tcPr>
          <w:p>
            <w:pPr>
              <w:spacing w:after="0"/>
              <w:rPr>
                <w:sz w:val="24"/>
                <w:szCs w:val="24"/>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w w:val="98"/>
              </w:rPr>
              <w:t>(2,606)</w:t>
            </w:r>
          </w:p>
        </w:tc>
        <w:tc>
          <w:tcPr>
            <w:tcW w:w="120" w:type="dxa"/>
            <w:vAlign w:val="bottom"/>
          </w:tcPr>
          <w:p>
            <w:pPr>
              <w:spacing w:after="0"/>
              <w:rPr>
                <w:sz w:val="24"/>
                <w:szCs w:val="24"/>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5,858</w:t>
            </w:r>
          </w:p>
        </w:tc>
      </w:tr>
      <w:tr>
        <w:trPr>
          <w:trHeight w:val="199"/>
        </w:trPr>
        <w:tc>
          <w:tcPr>
            <w:tcW w:w="370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1,310</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481</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1,791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2,956</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2,013</w:t>
            </w: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1,957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2,752</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8"/>
              </w:rPr>
              <w:t>(1,663)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3,845</w:t>
            </w: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900" w:orient="portrait"/>
          <w:cols w:equalWidth="0" w:num="1">
            <w:col w:w="10219"/>
          </w:cols>
          <w:pgMar w:left="240" w:top="882"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19"/>
              <w:spacing w:after="0"/>
              <w:rPr>
                <w:sz w:val="20"/>
                <w:szCs w:val="20"/>
                <w:color w:val="auto"/>
              </w:rPr>
            </w:pPr>
            <w:r>
              <w:rPr>
                <w:rFonts w:ascii="Arial" w:cs="Arial" w:eastAsia="Arial" w:hAnsi="Arial"/>
                <w:sz w:val="16"/>
                <w:szCs w:val="16"/>
                <w:color w:val="auto"/>
              </w:rPr>
              <w:t>0.21</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0.30</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19"/>
              <w:spacing w:after="0"/>
              <w:rPr>
                <w:sz w:val="20"/>
                <w:szCs w:val="20"/>
                <w:color w:val="auto"/>
              </w:rPr>
            </w:pPr>
            <w:r>
              <w:rPr>
                <w:rFonts w:ascii="Arial" w:cs="Arial" w:eastAsia="Arial" w:hAnsi="Arial"/>
                <w:sz w:val="16"/>
                <w:szCs w:val="16"/>
                <w:color w:val="auto"/>
              </w:rPr>
              <w:t>0.61</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0.43</w:t>
            </w:r>
          </w:p>
        </w:tc>
      </w:tr>
      <w:tr>
        <w:trPr>
          <w:trHeight w:val="233"/>
        </w:trPr>
        <w:tc>
          <w:tcPr>
            <w:tcW w:w="33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19"/>
              <w:spacing w:after="0"/>
              <w:rPr>
                <w:sz w:val="20"/>
                <w:szCs w:val="20"/>
                <w:color w:val="auto"/>
              </w:rPr>
            </w:pPr>
            <w:r>
              <w:rPr>
                <w:rFonts w:ascii="Arial" w:cs="Arial" w:eastAsia="Arial" w:hAnsi="Arial"/>
                <w:sz w:val="16"/>
                <w:szCs w:val="16"/>
                <w:color w:val="auto"/>
              </w:rPr>
              <w:t>0.21</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0.30</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19"/>
              <w:spacing w:after="0"/>
              <w:rPr>
                <w:sz w:val="20"/>
                <w:szCs w:val="20"/>
                <w:color w:val="auto"/>
              </w:rPr>
            </w:pPr>
            <w:r>
              <w:rPr>
                <w:rFonts w:ascii="Arial" w:cs="Arial" w:eastAsia="Arial" w:hAnsi="Arial"/>
                <w:sz w:val="16"/>
                <w:szCs w:val="16"/>
                <w:color w:val="auto"/>
              </w:rPr>
              <w:t>0.59</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0.41</w:t>
            </w:r>
          </w:p>
        </w:tc>
      </w:tr>
      <w:tr>
        <w:trPr>
          <w:trHeight w:val="455"/>
        </w:trPr>
        <w:tc>
          <w:tcPr>
            <w:tcW w:w="330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1720" w:type="dxa"/>
            <w:vAlign w:val="bottom"/>
            <w:gridSpan w:val="2"/>
          </w:tcPr>
          <w:p>
            <w:pPr>
              <w:jc w:val="right"/>
              <w:ind w:right="519"/>
              <w:spacing w:after="0"/>
              <w:rPr>
                <w:sz w:val="20"/>
                <w:szCs w:val="20"/>
                <w:color w:val="auto"/>
              </w:rPr>
            </w:pPr>
            <w:r>
              <w:rPr>
                <w:rFonts w:ascii="Arial" w:cs="Arial" w:eastAsia="Arial" w:hAnsi="Arial"/>
                <w:sz w:val="16"/>
                <w:szCs w:val="16"/>
                <w:color w:val="auto"/>
              </w:rPr>
              <w:t>9,106,455</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9,106,455</w:t>
            </w:r>
          </w:p>
        </w:tc>
        <w:tc>
          <w:tcPr>
            <w:tcW w:w="1500" w:type="dxa"/>
            <w:vAlign w:val="bottom"/>
            <w:gridSpan w:val="2"/>
          </w:tcPr>
          <w:p>
            <w:pPr>
              <w:jc w:val="right"/>
              <w:ind w:right="519"/>
              <w:spacing w:after="0"/>
              <w:rPr>
                <w:sz w:val="20"/>
                <w:szCs w:val="20"/>
                <w:color w:val="auto"/>
              </w:rPr>
            </w:pPr>
            <w:r>
              <w:rPr>
                <w:rFonts w:ascii="Arial" w:cs="Arial" w:eastAsia="Arial" w:hAnsi="Arial"/>
                <w:sz w:val="16"/>
                <w:szCs w:val="16"/>
                <w:color w:val="auto"/>
              </w:rPr>
              <w:t>9,005,221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9,005,221</w:t>
            </w:r>
          </w:p>
        </w:tc>
      </w:tr>
      <w:tr>
        <w:trPr>
          <w:trHeight w:val="233"/>
        </w:trPr>
        <w:tc>
          <w:tcPr>
            <w:tcW w:w="330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1720" w:type="dxa"/>
            <w:vAlign w:val="bottom"/>
            <w:gridSpan w:val="2"/>
          </w:tcPr>
          <w:p>
            <w:pPr>
              <w:jc w:val="right"/>
              <w:ind w:right="519"/>
              <w:spacing w:after="0"/>
              <w:rPr>
                <w:sz w:val="20"/>
                <w:szCs w:val="20"/>
                <w:color w:val="auto"/>
              </w:rPr>
            </w:pPr>
            <w:r>
              <w:rPr>
                <w:rFonts w:ascii="Arial" w:cs="Arial" w:eastAsia="Arial" w:hAnsi="Arial"/>
                <w:sz w:val="16"/>
                <w:szCs w:val="16"/>
                <w:color w:val="auto"/>
              </w:rPr>
              <w:t>9,219,161</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9,219,161</w:t>
            </w:r>
          </w:p>
        </w:tc>
        <w:tc>
          <w:tcPr>
            <w:tcW w:w="1500" w:type="dxa"/>
            <w:vAlign w:val="bottom"/>
            <w:gridSpan w:val="2"/>
          </w:tcPr>
          <w:p>
            <w:pPr>
              <w:jc w:val="right"/>
              <w:ind w:right="519"/>
              <w:spacing w:after="0"/>
              <w:rPr>
                <w:sz w:val="20"/>
                <w:szCs w:val="20"/>
                <w:color w:val="auto"/>
              </w:rPr>
            </w:pPr>
            <w:r>
              <w:rPr>
                <w:rFonts w:ascii="Arial" w:cs="Arial" w:eastAsia="Arial" w:hAnsi="Arial"/>
                <w:sz w:val="16"/>
                <w:szCs w:val="16"/>
                <w:color w:val="auto"/>
              </w:rPr>
              <w:t>9,276,619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9,276,619</w:t>
            </w:r>
          </w:p>
        </w:tc>
      </w:tr>
    </w:tbl>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The adjustments consist of the following:</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64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w w:val="98"/>
              </w:rPr>
              <w:t>(3,702)</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176</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554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6"/>
        </w:trPr>
        <w:tc>
          <w:tcPr>
            <w:tcW w:w="4640" w:type="dxa"/>
            <w:vAlign w:val="bottom"/>
            <w:gridSpan w:val="2"/>
          </w:tcPr>
          <w:p>
            <w:pPr>
              <w:spacing w:after="0"/>
              <w:rPr>
                <w:sz w:val="20"/>
                <w:szCs w:val="20"/>
                <w:color w:val="auto"/>
              </w:rPr>
            </w:pPr>
            <w:r>
              <w:rPr>
                <w:rFonts w:ascii="Arial" w:cs="Arial" w:eastAsia="Arial" w:hAnsi="Arial"/>
                <w:sz w:val="16"/>
                <w:szCs w:val="16"/>
                <w:color w:val="auto"/>
              </w:rPr>
              <w:t>Legal expenses for litigation relating to indemnification of former</w:t>
            </w:r>
          </w:p>
        </w:tc>
        <w:tc>
          <w:tcPr>
            <w:tcW w:w="240" w:type="dxa"/>
            <w:vAlign w:val="bottom"/>
          </w:tcPr>
          <w:p>
            <w:pPr>
              <w:spacing w:after="0"/>
              <w:rPr>
                <w:sz w:val="17"/>
                <w:szCs w:val="17"/>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6"/>
                <w:szCs w:val="16"/>
                <w:color w:val="auto"/>
              </w:rPr>
              <w:t>526</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ind w:right="219"/>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30"/>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officers, intellectual property claims and our claim for damages</w:t>
            </w: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270</w:t>
            </w: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Total of adjustments before taxes</w:t>
            </w:r>
          </w:p>
        </w:tc>
        <w:tc>
          <w:tcPr>
            <w:tcW w:w="24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1,276</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w w:val="98"/>
              </w:rPr>
              <w:t>(2,467)</w:t>
            </w:r>
          </w:p>
        </w:tc>
        <w:tc>
          <w:tcPr>
            <w:tcW w:w="0" w:type="dxa"/>
            <w:vAlign w:val="bottom"/>
          </w:tcPr>
          <w:p>
            <w:pPr>
              <w:spacing w:after="0"/>
              <w:rPr>
                <w:sz w:val="1"/>
                <w:szCs w:val="1"/>
                <w:color w:val="auto"/>
              </w:rPr>
            </w:pPr>
          </w:p>
        </w:tc>
      </w:tr>
      <w:tr>
        <w:trPr>
          <w:trHeight w:val="212"/>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Income taxes affected by the above adjustments</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481</w:t>
            </w:r>
          </w:p>
        </w:tc>
        <w:tc>
          <w:tcPr>
            <w:tcW w:w="1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169"/>
        </w:trPr>
        <w:tc>
          <w:tcPr>
            <w:tcW w:w="4640" w:type="dxa"/>
            <w:vAlign w:val="bottom"/>
            <w:gridSpan w:val="2"/>
          </w:tcPr>
          <w:p>
            <w:pPr>
              <w:ind w:left="180"/>
              <w:spacing w:after="0" w:line="169" w:lineRule="exact"/>
              <w:rPr>
                <w:sz w:val="20"/>
                <w:szCs w:val="20"/>
                <w:color w:val="auto"/>
              </w:rPr>
            </w:pPr>
            <w:r>
              <w:rPr>
                <w:rFonts w:ascii="Arial" w:cs="Arial" w:eastAsia="Arial" w:hAnsi="Arial"/>
                <w:sz w:val="16"/>
                <w:szCs w:val="16"/>
                <w:color w:val="auto"/>
              </w:rPr>
              <w:t>Total adjustments</w:t>
            </w:r>
          </w:p>
        </w:tc>
        <w:tc>
          <w:tcPr>
            <w:tcW w:w="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19"/>
              <w:spacing w:after="0" w:line="169" w:lineRule="exact"/>
              <w:rPr>
                <w:sz w:val="20"/>
                <w:szCs w:val="20"/>
                <w:color w:val="auto"/>
              </w:rPr>
            </w:pPr>
            <w:r>
              <w:rPr>
                <w:rFonts w:ascii="Arial" w:cs="Arial" w:eastAsia="Arial" w:hAnsi="Arial"/>
                <w:sz w:val="16"/>
                <w:szCs w:val="16"/>
                <w:color w:val="auto"/>
              </w:rPr>
              <w:t>795</w:t>
            </w:r>
          </w:p>
        </w:tc>
        <w:tc>
          <w:tcPr>
            <w:tcW w:w="198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98"/>
              </w:rPr>
              <w:t>(1,574)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auto"/>
        </w:rPr>
        <w:t>CLEARONE COMMUNICATIONS, INC.</w:t>
      </w:r>
    </w:p>
    <w:p>
      <w:pPr>
        <w:spacing w:after="0" w:line="46"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auto"/>
        </w:rPr>
        <w:t>RECONCILIATION OF GAAP NET INCOME TO NON-GAAP ADJUSTED EBITDA</w:t>
      </w:r>
    </w:p>
    <w:p>
      <w:pPr>
        <w:spacing w:after="0" w:line="46" w:lineRule="exact"/>
        <w:rPr>
          <w:sz w:val="20"/>
          <w:szCs w:val="20"/>
          <w:color w:val="auto"/>
        </w:rPr>
      </w:pPr>
    </w:p>
    <w:p>
      <w:pPr>
        <w:jc w:val="center"/>
        <w:ind w:right="1219"/>
        <w:spacing w:after="0"/>
        <w:rPr>
          <w:sz w:val="20"/>
          <w:szCs w:val="20"/>
          <w:color w:val="auto"/>
        </w:rPr>
      </w:pPr>
      <w:r>
        <w:rPr>
          <w:rFonts w:ascii="Arial" w:cs="Arial" w:eastAsia="Arial" w:hAnsi="Arial"/>
          <w:sz w:val="16"/>
          <w:szCs w:val="16"/>
          <w:b w:val="1"/>
          <w:bCs w:val="1"/>
          <w:color w:val="auto"/>
        </w:rPr>
        <w:t>(Dollars in thousands, except per share value)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w:t>
            </w:r>
          </w:p>
        </w:tc>
        <w:tc>
          <w:tcPr>
            <w:tcW w:w="8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Nine months ended September</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gridSpan w:val="2"/>
            <w:vMerge w:val="restart"/>
          </w:tcPr>
          <w:p>
            <w:pPr>
              <w:spacing w:after="0"/>
              <w:rPr>
                <w:sz w:val="20"/>
                <w:szCs w:val="20"/>
                <w:color w:val="auto"/>
              </w:rPr>
            </w:pPr>
            <w:r>
              <w:rPr>
                <w:rFonts w:ascii="Arial" w:cs="Arial" w:eastAsia="Arial" w:hAnsi="Arial"/>
                <w:sz w:val="16"/>
                <w:szCs w:val="16"/>
                <w:color w:val="auto"/>
              </w:rPr>
              <w:t>GAAP Net Income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6"/>
        </w:trPr>
        <w:tc>
          <w:tcPr>
            <w:tcW w:w="484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929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3,375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5,508</w:t>
            </w:r>
          </w:p>
        </w:tc>
        <w:tc>
          <w:tcPr>
            <w:tcW w:w="0" w:type="dxa"/>
            <w:vAlign w:val="bottom"/>
          </w:tcPr>
          <w:p>
            <w:pPr>
              <w:spacing w:after="0"/>
              <w:rPr>
                <w:sz w:val="1"/>
                <w:szCs w:val="1"/>
                <w:color w:val="auto"/>
              </w:rPr>
            </w:pPr>
          </w:p>
        </w:tc>
      </w:tr>
      <w:tr>
        <w:trPr>
          <w:trHeight w:val="176"/>
        </w:trPr>
        <w:tc>
          <w:tcPr>
            <w:tcW w:w="484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840" w:type="dxa"/>
            <w:vAlign w:val="bottom"/>
            <w:gridSpan w:val="2"/>
          </w:tcPr>
          <w:p>
            <w:pPr>
              <w:spacing w:after="0"/>
              <w:rPr>
                <w:sz w:val="20"/>
                <w:szCs w:val="20"/>
                <w:color w:val="auto"/>
              </w:rPr>
            </w:pPr>
            <w:r>
              <w:rPr>
                <w:rFonts w:ascii="Arial" w:cs="Arial" w:eastAsia="Arial" w:hAnsi="Arial"/>
                <w:sz w:val="16"/>
                <w:szCs w:val="16"/>
                <w:color w:val="auto"/>
              </w:rPr>
              <w:t>Provision for (benefit from) for income taxes</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492</w:t>
            </w:r>
          </w:p>
        </w:tc>
        <w:tc>
          <w:tcPr>
            <w:tcW w:w="280" w:type="dxa"/>
            <w:vAlign w:val="bottom"/>
          </w:tcPr>
          <w:p>
            <w:pPr>
              <w:spacing w:after="0"/>
              <w:rPr>
                <w:sz w:val="23"/>
                <w:szCs w:val="23"/>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1,987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1,310</w:t>
            </w:r>
          </w:p>
        </w:tc>
        <w:tc>
          <w:tcPr>
            <w:tcW w:w="240" w:type="dxa"/>
            <w:vAlign w:val="bottom"/>
          </w:tcPr>
          <w:p>
            <w:pPr>
              <w:spacing w:after="0"/>
              <w:rPr>
                <w:sz w:val="23"/>
                <w:szCs w:val="23"/>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199"/>
        </w:trPr>
        <w:tc>
          <w:tcPr>
            <w:tcW w:w="48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1,166</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3"/>
        </w:trPr>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Non-GAAP EBITDA</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1,833</w:t>
            </w:r>
          </w:p>
        </w:tc>
        <w:tc>
          <w:tcPr>
            <w:tcW w:w="280" w:type="dxa"/>
            <w:vAlign w:val="bottom"/>
          </w:tcPr>
          <w:p>
            <w:pPr>
              <w:spacing w:after="0"/>
              <w:rPr>
                <w:sz w:val="18"/>
                <w:szCs w:val="18"/>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5,647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4,433</w:t>
            </w:r>
          </w:p>
        </w:tc>
        <w:tc>
          <w:tcPr>
            <w:tcW w:w="240" w:type="dxa"/>
            <w:vAlign w:val="bottom"/>
          </w:tcPr>
          <w:p>
            <w:pPr>
              <w:spacing w:after="0"/>
              <w:rPr>
                <w:sz w:val="18"/>
                <w:szCs w:val="18"/>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9,336</w:t>
            </w:r>
          </w:p>
        </w:tc>
        <w:tc>
          <w:tcPr>
            <w:tcW w:w="0" w:type="dxa"/>
            <w:vAlign w:val="bottom"/>
          </w:tcPr>
          <w:p>
            <w:pPr>
              <w:spacing w:after="0"/>
              <w:rPr>
                <w:sz w:val="1"/>
                <w:szCs w:val="1"/>
                <w:color w:val="auto"/>
              </w:rPr>
            </w:pPr>
          </w:p>
        </w:tc>
      </w:tr>
      <w:tr>
        <w:trPr>
          <w:trHeight w:val="206"/>
        </w:trPr>
        <w:tc>
          <w:tcPr>
            <w:tcW w:w="484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6"/>
                <w:szCs w:val="16"/>
                <w:color w:val="auto"/>
              </w:rPr>
              <w:t>(3,702)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7"/>
                <w:szCs w:val="17"/>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(3,702)</w:t>
            </w:r>
          </w:p>
        </w:tc>
        <w:tc>
          <w:tcPr>
            <w:tcW w:w="0" w:type="dxa"/>
            <w:vAlign w:val="bottom"/>
          </w:tcPr>
          <w:p>
            <w:pPr>
              <w:spacing w:after="0"/>
              <w:rPr>
                <w:sz w:val="1"/>
                <w:szCs w:val="1"/>
                <w:color w:val="auto"/>
              </w:rPr>
            </w:pPr>
          </w:p>
        </w:tc>
      </w:tr>
      <w:tr>
        <w:trPr>
          <w:trHeight w:val="54"/>
        </w:trPr>
        <w:tc>
          <w:tcPr>
            <w:tcW w:w="4840" w:type="dxa"/>
            <w:vAlign w:val="bottom"/>
            <w:gridSpan w:val="2"/>
            <w:vMerge w:val="restart"/>
          </w:tcPr>
          <w:p>
            <w:pPr>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240" w:type="dxa"/>
            <w:vAlign w:val="bottom"/>
          </w:tcPr>
          <w:p>
            <w:pPr>
              <w:spacing w:after="0"/>
              <w:rPr>
                <w:sz w:val="17"/>
                <w:szCs w:val="17"/>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6"/>
        </w:trPr>
        <w:tc>
          <w:tcPr>
            <w:tcW w:w="4840" w:type="dxa"/>
            <w:vAlign w:val="bottom"/>
            <w:gridSpan w:val="2"/>
          </w:tcPr>
          <w:p>
            <w:pPr>
              <w:spacing w:after="0"/>
              <w:rPr>
                <w:sz w:val="20"/>
                <w:szCs w:val="20"/>
                <w:color w:val="auto"/>
              </w:rPr>
            </w:pPr>
            <w:r>
              <w:rPr>
                <w:rFonts w:ascii="Arial" w:cs="Arial" w:eastAsia="Arial" w:hAnsi="Arial"/>
                <w:sz w:val="16"/>
                <w:szCs w:val="16"/>
                <w:color w:val="auto"/>
              </w:rPr>
              <w:t>Legal expenses for litigation relating to indemnification of former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840" w:type="dxa"/>
            <w:vAlign w:val="bottom"/>
            <w:gridSpan w:val="2"/>
          </w:tcPr>
          <w:p>
            <w:pPr>
              <w:ind w:left="180"/>
              <w:spacing w:after="0"/>
              <w:rPr>
                <w:sz w:val="20"/>
                <w:szCs w:val="20"/>
                <w:color w:val="auto"/>
              </w:rPr>
            </w:pPr>
            <w:r>
              <w:rPr>
                <w:rFonts w:ascii="Arial" w:cs="Arial" w:eastAsia="Arial" w:hAnsi="Arial"/>
                <w:sz w:val="16"/>
                <w:szCs w:val="16"/>
                <w:color w:val="auto"/>
              </w:rPr>
              <w:t>officers, intellectual property claims and our claim for damages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21"/>
                <w:szCs w:val="21"/>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526</w:t>
            </w:r>
          </w:p>
        </w:tc>
        <w:tc>
          <w:tcPr>
            <w:tcW w:w="240" w:type="dxa"/>
            <w:vAlign w:val="bottom"/>
          </w:tcPr>
          <w:p>
            <w:pPr>
              <w:spacing w:after="0"/>
              <w:rPr>
                <w:sz w:val="21"/>
                <w:szCs w:val="21"/>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06"/>
        </w:trPr>
        <w:tc>
          <w:tcPr>
            <w:tcW w:w="484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7"/>
                <w:szCs w:val="17"/>
                <w:color w:val="auto"/>
              </w:rPr>
            </w:pPr>
          </w:p>
        </w:tc>
        <w:tc>
          <w:tcPr>
            <w:tcW w:w="920" w:type="dxa"/>
            <w:vAlign w:val="bottom"/>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270</w:t>
            </w:r>
          </w:p>
        </w:tc>
        <w:tc>
          <w:tcPr>
            <w:tcW w:w="240" w:type="dxa"/>
            <w:vAlign w:val="bottom"/>
          </w:tcPr>
          <w:p>
            <w:pPr>
              <w:spacing w:after="0"/>
              <w:rPr>
                <w:sz w:val="17"/>
                <w:szCs w:val="17"/>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Non-GAAP Adjusted EBITDA</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4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2,132</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5,155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6,606</w:t>
            </w:r>
          </w:p>
        </w:tc>
        <w:tc>
          <w:tcPr>
            <w:tcW w:w="0" w:type="dxa"/>
            <w:vAlign w:val="bottom"/>
          </w:tcPr>
          <w:p>
            <w:pPr>
              <w:spacing w:after="0"/>
              <w:rPr>
                <w:sz w:val="1"/>
                <w:szCs w:val="1"/>
                <w:color w:val="auto"/>
              </w:rPr>
            </w:pPr>
          </w:p>
        </w:tc>
      </w:tr>
      <w:tr>
        <w:trPr>
          <w:trHeight w:val="470"/>
        </w:trPr>
        <w:tc>
          <w:tcPr>
            <w:tcW w:w="484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9,113,713</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w w:val="92"/>
              </w:rPr>
              <w:t>9,089,919</w:t>
            </w: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9,106,455</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w w:val="89"/>
              </w:rPr>
              <w:t>9,005,221</w:t>
            </w:r>
          </w:p>
        </w:tc>
        <w:tc>
          <w:tcPr>
            <w:tcW w:w="0" w:type="dxa"/>
            <w:vAlign w:val="bottom"/>
          </w:tcPr>
          <w:p>
            <w:pPr>
              <w:spacing w:after="0"/>
              <w:rPr>
                <w:sz w:val="1"/>
                <w:szCs w:val="1"/>
                <w:color w:val="auto"/>
              </w:rPr>
            </w:pPr>
          </w:p>
        </w:tc>
      </w:tr>
      <w:tr>
        <w:trPr>
          <w:trHeight w:val="233"/>
        </w:trPr>
        <w:tc>
          <w:tcPr>
            <w:tcW w:w="484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9,193,574</w:t>
            </w:r>
          </w:p>
        </w:tc>
        <w:tc>
          <w:tcPr>
            <w:tcW w:w="280" w:type="dxa"/>
            <w:vAlign w:val="bottom"/>
          </w:tcPr>
          <w:p>
            <w:pPr>
              <w:spacing w:after="0"/>
              <w:rPr>
                <w:sz w:val="20"/>
                <w:szCs w:val="20"/>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color w:val="auto"/>
                <w:w w:val="92"/>
              </w:rPr>
              <w:t>9,358,292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w w:val="89"/>
              </w:rPr>
              <w:t>9,219,161</w:t>
            </w:r>
          </w:p>
        </w:tc>
        <w:tc>
          <w:tcPr>
            <w:tcW w:w="240" w:type="dxa"/>
            <w:vAlign w:val="bottom"/>
          </w:tcPr>
          <w:p>
            <w:pPr>
              <w:spacing w:after="0"/>
              <w:rPr>
                <w:sz w:val="20"/>
                <w:szCs w:val="20"/>
                <w:color w:val="auto"/>
              </w:rPr>
            </w:pPr>
          </w:p>
        </w:tc>
        <w:tc>
          <w:tcPr>
            <w:tcW w:w="900" w:type="dxa"/>
            <w:vAlign w:val="bottom"/>
          </w:tcPr>
          <w:p>
            <w:pPr>
              <w:jc w:val="right"/>
              <w:ind w:right="160"/>
              <w:spacing w:after="0"/>
              <w:rPr>
                <w:sz w:val="20"/>
                <w:szCs w:val="20"/>
                <w:color w:val="auto"/>
              </w:rPr>
            </w:pPr>
            <w:r>
              <w:rPr>
                <w:rFonts w:ascii="Arial" w:cs="Arial" w:eastAsia="Arial" w:hAnsi="Arial"/>
                <w:sz w:val="16"/>
                <w:szCs w:val="16"/>
                <w:color w:val="auto"/>
                <w:w w:val="89"/>
              </w:rPr>
              <w:t>9,276,619</w:t>
            </w:r>
          </w:p>
        </w:tc>
        <w:tc>
          <w:tcPr>
            <w:tcW w:w="0" w:type="dxa"/>
            <w:vAlign w:val="bottom"/>
          </w:tcPr>
          <w:p>
            <w:pPr>
              <w:spacing w:after="0"/>
              <w:rPr>
                <w:sz w:val="1"/>
                <w:szCs w:val="1"/>
                <w:color w:val="auto"/>
              </w:rPr>
            </w:pPr>
          </w:p>
        </w:tc>
      </w:tr>
      <w:tr>
        <w:trPr>
          <w:trHeight w:val="455"/>
        </w:trPr>
        <w:tc>
          <w:tcPr>
            <w:tcW w:w="4840" w:type="dxa"/>
            <w:vAlign w:val="bottom"/>
            <w:gridSpan w:val="2"/>
          </w:tcPr>
          <w:p>
            <w:pPr>
              <w:spacing w:after="0"/>
              <w:rPr>
                <w:sz w:val="20"/>
                <w:szCs w:val="20"/>
                <w:color w:val="auto"/>
              </w:rPr>
            </w:pPr>
            <w:r>
              <w:rPr>
                <w:rFonts w:ascii="Arial" w:cs="Arial" w:eastAsia="Arial" w:hAnsi="Arial"/>
                <w:sz w:val="16"/>
                <w:szCs w:val="16"/>
                <w:color w:val="auto"/>
              </w:rPr>
              <w:t>Basic Adjusted EBITDA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0.23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33"/>
        </w:trPr>
        <w:tc>
          <w:tcPr>
            <w:tcW w:w="4840" w:type="dxa"/>
            <w:vAlign w:val="bottom"/>
            <w:gridSpan w:val="2"/>
          </w:tcPr>
          <w:p>
            <w:pPr>
              <w:spacing w:after="0"/>
              <w:rPr>
                <w:sz w:val="20"/>
                <w:szCs w:val="20"/>
                <w:color w:val="auto"/>
              </w:rPr>
            </w:pPr>
            <w:r>
              <w:rPr>
                <w:rFonts w:ascii="Arial" w:cs="Arial" w:eastAsia="Arial" w:hAnsi="Arial"/>
                <w:sz w:val="16"/>
                <w:szCs w:val="16"/>
                <w:color w:val="auto"/>
              </w:rPr>
              <w:t>Diluted Adjusted EBITDA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0.23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0.56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60"/>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bl>
    <w:p>
      <w:pPr>
        <w:spacing w:after="0" w:line="20" w:lineRule="exact"/>
        <w:rPr>
          <w:sz w:val="20"/>
          <w:szCs w:val="20"/>
          <w:color w:val="auto"/>
        </w:rPr>
      </w:pPr>
    </w:p>
    <w:sectPr>
      <w:pgSz w:w="11900" w:h="16838" w:orient="portrait"/>
      <w:cols w:equalWidth="0" w:num="1">
        <w:col w:w="10219"/>
      </w:cols>
      <w:pgMar w:left="240" w:top="4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2019-12-09T09:27:16Z</dcterms:created>
  <dcterms:modified xsi:type="dcterms:W3CDTF">2019-12-09T09:27:16Z</dcterms:modified>
</cp:coreProperties>
</file>