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8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June 30, 2013</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5"/>
              </w:rPr>
              <w:t>Utah</w:t>
            </w:r>
          </w:p>
        </w:tc>
        <w:tc>
          <w:tcPr>
            <w:tcW w:w="578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78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jc w:val="center"/>
              <w:ind w:left="699"/>
              <w:spacing w:after="0"/>
              <w:rPr>
                <w:sz w:val="20"/>
                <w:szCs w:val="20"/>
                <w:color w:val="auto"/>
              </w:rPr>
            </w:pPr>
            <w:r>
              <w:rPr>
                <w:rFonts w:ascii="Arial" w:cs="Arial" w:eastAsia="Arial" w:hAnsi="Arial"/>
                <w:sz w:val="16"/>
                <w:szCs w:val="16"/>
                <w:color w:val="auto"/>
                <w:w w:val="93"/>
              </w:rPr>
              <w:t>(Address of principal executive offices)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620" w:type="dxa"/>
            <w:vAlign w:val="bottom"/>
          </w:tcPr>
          <w:p>
            <w:pPr>
              <w:spacing w:after="0"/>
              <w:rPr>
                <w:sz w:val="22"/>
                <w:szCs w:val="22"/>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477"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11" w:lineRule="exact"/>
        <w:rPr>
          <w:sz w:val="24"/>
          <w:szCs w:val="24"/>
          <w:color w:val="auto"/>
        </w:rPr>
      </w:pPr>
    </w:p>
    <w:p>
      <w:pPr>
        <w:sectPr>
          <w:pgSz w:w="11900" w:h="16838" w:orient="portrait"/>
          <w:cols w:equalWidth="0" w:num="2">
            <w:col w:w="6080" w:space="720"/>
            <w:col w:w="4600"/>
          </w:cols>
          <w:pgMar w:left="240" w:top="477"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20"/>
          </w:cols>
          <w:pgMar w:left="240" w:top="477" w:right="259" w:bottom="1440" w:gutter="0" w:footer="0" w:header="0"/>
          <w:type w:val="continuous"/>
        </w:sectPr>
      </w:pP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ind w:right="440"/>
        <w:spacing w:after="0" w:line="275"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9,080,060 shares issued and outstanding as of August 5, 2013.</w:t>
      </w:r>
    </w:p>
    <w:p>
      <w:pPr>
        <w:sectPr>
          <w:pgSz w:w="11900" w:h="16838" w:orient="portrait"/>
          <w:cols w:equalWidth="0" w:num="1">
            <w:col w:w="11400"/>
          </w:cols>
          <w:pgMar w:left="240" w:top="477" w:right="259" w:bottom="1440" w:gutter="0" w:footer="0" w:header="0"/>
          <w:type w:val="continuous"/>
        </w:sectPr>
      </w:pPr>
    </w:p>
    <w:bookmarkStart w:id="1" w:name="page2"/>
    <w:bookmarkEnd w:id="1"/>
    <w:p>
      <w:pPr>
        <w:jc w:val="center"/>
        <w:ind w:right="-359"/>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QUARTERLY REPORT ON FORM 10-Q FOR THE QUARTER ENDED JUNE 30, 2013</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6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80" w:type="dxa"/>
            <w:vAlign w:val="bottom"/>
            <w:gridSpan w:val="2"/>
          </w:tcPr>
          <w:p>
            <w:pPr>
              <w:spacing w:after="0"/>
              <w:rPr>
                <w:sz w:val="19"/>
                <w:szCs w:val="19"/>
                <w:color w:val="auto"/>
              </w:rPr>
            </w:pPr>
          </w:p>
        </w:tc>
        <w:tc>
          <w:tcPr>
            <w:tcW w:w="1500" w:type="dxa"/>
            <w:vAlign w:val="bottom"/>
            <w:gridSpan w:val="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7580" w:type="dxa"/>
            <w:vAlign w:val="bottom"/>
            <w:gridSpan w:val="9"/>
          </w:tcPr>
          <w:p>
            <w:pPr>
              <w:spacing w:after="0"/>
              <w:rPr>
                <w:sz w:val="19"/>
                <w:szCs w:val="19"/>
                <w:color w:val="auto"/>
              </w:rPr>
            </w:pPr>
          </w:p>
        </w:tc>
        <w:tc>
          <w:tcPr>
            <w:tcW w:w="420" w:type="dxa"/>
            <w:vAlign w:val="bottom"/>
            <w:gridSpan w:val="3"/>
          </w:tcPr>
          <w:p>
            <w:pPr>
              <w:jc w:val="center"/>
              <w:ind w:left="1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80" w:type="dxa"/>
            <w:vAlign w:val="bottom"/>
            <w:gridSpan w:val="1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2013 (Unaudited) and December 31, 2012</w:t>
              </w:r>
            </w:hyperlink>
          </w:p>
        </w:tc>
        <w:tc>
          <w:tcPr>
            <w:tcW w:w="420" w:type="dxa"/>
            <w:vAlign w:val="bottom"/>
            <w:gridSpan w:val="3"/>
          </w:tcPr>
          <w:p>
            <w:pPr>
              <w:jc w:val="center"/>
              <w:ind w:left="1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80" w:type="dxa"/>
            <w:vAlign w:val="bottom"/>
            <w:gridSpan w:val="13"/>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Condensed Consolidated Statements of Operations for the three and six months ended June 30, 2013 and 2012 (Unaudited</w:t>
              </w:r>
            </w:hyperlink>
            <w:r>
              <w:rPr>
                <w:rFonts w:ascii="Arial" w:cs="Arial" w:eastAsia="Arial" w:hAnsi="Arial"/>
                <w:sz w:val="18"/>
                <w:szCs w:val="18"/>
                <w:color w:val="000000"/>
                <w:w w:val="91"/>
              </w:rPr>
              <w:t>)</w:t>
            </w:r>
          </w:p>
        </w:tc>
        <w:tc>
          <w:tcPr>
            <w:tcW w:w="420" w:type="dxa"/>
            <w:vAlign w:val="bottom"/>
            <w:gridSpan w:val="3"/>
          </w:tcPr>
          <w:p>
            <w:pPr>
              <w:jc w:val="center"/>
              <w:ind w:left="1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0" w:type="dxa"/>
            <w:vAlign w:val="bottom"/>
            <w:gridSpan w:val="12"/>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Cash Flows for the six months ended June 30, 2013 and 2012 (Unaudited</w:t>
              </w:r>
            </w:hyperlink>
            <w:r>
              <w:rPr>
                <w:rFonts w:ascii="Arial" w:cs="Arial" w:eastAsia="Arial" w:hAnsi="Arial"/>
                <w:sz w:val="18"/>
                <w:szCs w:val="18"/>
                <w:color w:val="000000"/>
                <w:w w:val="95"/>
              </w:rPr>
              <w:t>)</w:t>
            </w:r>
          </w:p>
        </w:tc>
        <w:tc>
          <w:tcPr>
            <w:tcW w:w="280" w:type="dxa"/>
            <w:vAlign w:val="bottom"/>
          </w:tcPr>
          <w:p>
            <w:pPr>
              <w:spacing w:after="0"/>
              <w:rPr>
                <w:sz w:val="24"/>
                <w:szCs w:val="24"/>
                <w:color w:val="auto"/>
              </w:rPr>
            </w:pPr>
          </w:p>
        </w:tc>
        <w:tc>
          <w:tcPr>
            <w:tcW w:w="420" w:type="dxa"/>
            <w:vAlign w:val="bottom"/>
            <w:gridSpan w:val="3"/>
          </w:tcPr>
          <w:p>
            <w:pPr>
              <w:jc w:val="center"/>
              <w:ind w:left="13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40" w:type="dxa"/>
            <w:vAlign w:val="bottom"/>
            <w:gridSpan w:val="1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 (Unaudited</w:t>
              </w:r>
            </w:hyperlink>
            <w:r>
              <w:rPr>
                <w:rFonts w:ascii="Arial" w:cs="Arial" w:eastAsia="Arial" w:hAnsi="Arial"/>
                <w:sz w:val="18"/>
                <w:szCs w:val="18"/>
                <w:color w:val="000000"/>
              </w:rPr>
              <w:t>)</w:t>
            </w:r>
          </w:p>
        </w:tc>
        <w:tc>
          <w:tcPr>
            <w:tcW w:w="940" w:type="dxa"/>
            <w:vAlign w:val="bottom"/>
            <w:gridSpan w:val="2"/>
          </w:tcPr>
          <w:p>
            <w:pPr>
              <w:spacing w:after="0"/>
              <w:rPr>
                <w:sz w:val="24"/>
                <w:szCs w:val="24"/>
                <w:color w:val="auto"/>
              </w:rPr>
            </w:pPr>
          </w:p>
        </w:tc>
        <w:tc>
          <w:tcPr>
            <w:tcW w:w="420" w:type="dxa"/>
            <w:vAlign w:val="bottom"/>
            <w:gridSpan w:val="3"/>
          </w:tcPr>
          <w:p>
            <w:pPr>
              <w:jc w:val="center"/>
              <w:ind w:left="13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20" w:type="dxa"/>
            <w:vAlign w:val="bottom"/>
          </w:tcPr>
          <w:p>
            <w:pPr>
              <w:spacing w:after="0"/>
              <w:rPr>
                <w:rFonts w:ascii="Arial" w:cs="Arial" w:eastAsia="Arial" w:hAnsi="Arial"/>
                <w:sz w:val="18"/>
                <w:szCs w:val="18"/>
                <w:color w:val="0000FF"/>
                <w:w w:val="90"/>
              </w:rPr>
            </w:pPr>
            <w:hyperlink w:anchor="page13">
              <w:r>
                <w:rPr>
                  <w:rFonts w:ascii="Arial" w:cs="Arial" w:eastAsia="Arial" w:hAnsi="Arial"/>
                  <w:sz w:val="18"/>
                  <w:szCs w:val="18"/>
                  <w:color w:val="0000FF"/>
                  <w:w w:val="90"/>
                </w:rPr>
                <w:t>Item 2.</w:t>
              </w:r>
            </w:hyperlink>
          </w:p>
        </w:tc>
        <w:tc>
          <w:tcPr>
            <w:tcW w:w="480" w:type="dxa"/>
            <w:vAlign w:val="bottom"/>
            <w:gridSpan w:val="2"/>
          </w:tcPr>
          <w:p>
            <w:pPr>
              <w:spacing w:after="0"/>
              <w:rPr>
                <w:sz w:val="24"/>
                <w:szCs w:val="24"/>
                <w:color w:val="auto"/>
              </w:rPr>
            </w:pPr>
          </w:p>
        </w:tc>
        <w:tc>
          <w:tcPr>
            <w:tcW w:w="9080" w:type="dxa"/>
            <w:vAlign w:val="bottom"/>
            <w:gridSpan w:val="13"/>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Management’s Discussion and Analysis of Financial Condition and Results of Operations</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520" w:type="dxa"/>
            <w:vAlign w:val="bottom"/>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3.</w:t>
              </w:r>
            </w:hyperlink>
          </w:p>
        </w:tc>
        <w:tc>
          <w:tcPr>
            <w:tcW w:w="480" w:type="dxa"/>
            <w:vAlign w:val="bottom"/>
            <w:gridSpan w:val="2"/>
          </w:tcPr>
          <w:p>
            <w:pPr>
              <w:spacing w:after="0"/>
              <w:rPr>
                <w:sz w:val="24"/>
                <w:szCs w:val="24"/>
                <w:color w:val="auto"/>
              </w:rPr>
            </w:pPr>
          </w:p>
        </w:tc>
        <w:tc>
          <w:tcPr>
            <w:tcW w:w="4340" w:type="dxa"/>
            <w:vAlign w:val="bottom"/>
            <w:gridSpan w:val="7"/>
          </w:tcPr>
          <w:p>
            <w:pPr>
              <w:spacing w:after="0"/>
              <w:rPr>
                <w:rFonts w:ascii="Arial" w:cs="Arial" w:eastAsia="Arial" w:hAnsi="Arial"/>
                <w:sz w:val="18"/>
                <w:szCs w:val="18"/>
                <w:color w:val="0000FF"/>
                <w:w w:val="91"/>
              </w:rPr>
            </w:pPr>
            <w:hyperlink w:anchor="page20">
              <w:r>
                <w:rPr>
                  <w:rFonts w:ascii="Arial" w:cs="Arial" w:eastAsia="Arial" w:hAnsi="Arial"/>
                  <w:sz w:val="18"/>
                  <w:szCs w:val="18"/>
                  <w:color w:val="0000FF"/>
                  <w:w w:val="91"/>
                </w:rPr>
                <w:t>Quantitative and Qualitative Disclosures About Market Risk</w:t>
              </w:r>
            </w:hyperlink>
          </w:p>
        </w:tc>
        <w:tc>
          <w:tcPr>
            <w:tcW w:w="2080" w:type="dxa"/>
            <w:vAlign w:val="bottom"/>
            <w:gridSpan w:val="2"/>
          </w:tcPr>
          <w:p>
            <w:pPr>
              <w:spacing w:after="0"/>
              <w:rPr>
                <w:sz w:val="24"/>
                <w:szCs w:val="24"/>
                <w:color w:val="auto"/>
              </w:rPr>
            </w:pPr>
          </w:p>
        </w:tc>
        <w:tc>
          <w:tcPr>
            <w:tcW w:w="2660" w:type="dxa"/>
            <w:vAlign w:val="bottom"/>
            <w:gridSpan w:val="4"/>
          </w:tcPr>
          <w:p>
            <w:pPr>
              <w:spacing w:after="0"/>
              <w:rPr>
                <w:sz w:val="24"/>
                <w:szCs w:val="24"/>
                <w:color w:val="auto"/>
              </w:rPr>
            </w:pPr>
          </w:p>
        </w:tc>
        <w:tc>
          <w:tcPr>
            <w:tcW w:w="420" w:type="dxa"/>
            <w:vAlign w:val="bottom"/>
            <w:gridSpan w:val="3"/>
          </w:tcPr>
          <w:p>
            <w:pPr>
              <w:jc w:val="center"/>
              <w:ind w:left="15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19</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740" w:type="dxa"/>
            <w:vAlign w:val="bottom"/>
            <w:tcBorders>
              <w:left w:val="single" w:sz="8" w:color="0000FF"/>
            </w:tcBorders>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520" w:type="dxa"/>
            <w:vAlign w:val="bottom"/>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4.</w:t>
              </w:r>
            </w:hyperlink>
          </w:p>
        </w:tc>
        <w:tc>
          <w:tcPr>
            <w:tcW w:w="480" w:type="dxa"/>
            <w:vAlign w:val="bottom"/>
            <w:gridSpan w:val="2"/>
          </w:tcPr>
          <w:p>
            <w:pPr>
              <w:spacing w:after="0"/>
              <w:rPr>
                <w:sz w:val="24"/>
                <w:szCs w:val="24"/>
                <w:color w:val="auto"/>
              </w:rPr>
            </w:pPr>
          </w:p>
        </w:tc>
        <w:tc>
          <w:tcPr>
            <w:tcW w:w="4340" w:type="dxa"/>
            <w:vAlign w:val="bottom"/>
            <w:gridSpan w:val="7"/>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Controls and Procedures</w:t>
              </w:r>
            </w:hyperlink>
          </w:p>
        </w:tc>
        <w:tc>
          <w:tcPr>
            <w:tcW w:w="4740" w:type="dxa"/>
            <w:vAlign w:val="bottom"/>
            <w:gridSpan w:val="6"/>
          </w:tcPr>
          <w:p>
            <w:pPr>
              <w:spacing w:after="0"/>
              <w:rPr>
                <w:sz w:val="24"/>
                <w:szCs w:val="24"/>
                <w:color w:val="auto"/>
              </w:rPr>
            </w:pPr>
          </w:p>
        </w:tc>
        <w:tc>
          <w:tcPr>
            <w:tcW w:w="420" w:type="dxa"/>
            <w:vAlign w:val="bottom"/>
            <w:gridSpan w:val="3"/>
          </w:tcPr>
          <w:p>
            <w:pPr>
              <w:jc w:val="center"/>
              <w:ind w:left="15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r>
      <w:tr>
        <w:trPr>
          <w:trHeight w:val="480"/>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760" w:type="dxa"/>
            <w:vAlign w:val="bottom"/>
            <w:gridSpan w:val="7"/>
          </w:tcPr>
          <w:p>
            <w:pPr>
              <w:jc w:val="center"/>
              <w:ind w:right="2520"/>
              <w:spacing w:after="0"/>
              <w:rPr>
                <w:sz w:val="20"/>
                <w:szCs w:val="20"/>
                <w:color w:val="auto"/>
              </w:rPr>
            </w:pPr>
            <w:r>
              <w:rPr>
                <w:rFonts w:ascii="Arial" w:cs="Arial" w:eastAsia="Arial" w:hAnsi="Arial"/>
                <w:sz w:val="18"/>
                <w:szCs w:val="18"/>
                <w:b w:val="1"/>
                <w:bCs w:val="1"/>
                <w:color w:val="auto"/>
              </w:rPr>
              <w:t>PART II – OTHER INFORMATION</w:t>
            </w:r>
          </w:p>
        </w:tc>
        <w:tc>
          <w:tcPr>
            <w:tcW w:w="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r>
      <w:tr>
        <w:trPr>
          <w:trHeight w:val="230"/>
        </w:trPr>
        <w:tc>
          <w:tcPr>
            <w:tcW w:w="520" w:type="dxa"/>
            <w:vAlign w:val="bottom"/>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1.</w:t>
              </w:r>
            </w:hyperlink>
          </w:p>
        </w:tc>
        <w:tc>
          <w:tcPr>
            <w:tcW w:w="480" w:type="dxa"/>
            <w:vAlign w:val="bottom"/>
            <w:gridSpan w:val="2"/>
          </w:tcPr>
          <w:p>
            <w:pPr>
              <w:spacing w:after="0"/>
              <w:rPr>
                <w:sz w:val="19"/>
                <w:szCs w:val="19"/>
                <w:color w:val="auto"/>
              </w:rPr>
            </w:pPr>
          </w:p>
        </w:tc>
        <w:tc>
          <w:tcPr>
            <w:tcW w:w="9080" w:type="dxa"/>
            <w:vAlign w:val="bottom"/>
            <w:gridSpan w:val="1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Legal Proceedings</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1000" w:type="dxa"/>
            <w:vAlign w:val="bottom"/>
            <w:gridSpan w:val="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1A.</w:t>
              </w:r>
            </w:hyperlink>
          </w:p>
        </w:tc>
        <w:tc>
          <w:tcPr>
            <w:tcW w:w="9080" w:type="dxa"/>
            <w:vAlign w:val="bottom"/>
            <w:gridSpan w:val="1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Risk Factors</w:t>
              </w:r>
            </w:hyperlink>
          </w:p>
        </w:tc>
        <w:tc>
          <w:tcPr>
            <w:tcW w:w="420" w:type="dxa"/>
            <w:vAlign w:val="bottom"/>
            <w:gridSpan w:val="3"/>
          </w:tcPr>
          <w:p>
            <w:pPr>
              <w:jc w:val="center"/>
              <w:ind w:left="15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520" w:type="dxa"/>
            <w:vAlign w:val="bottom"/>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40" w:type="dxa"/>
            <w:vAlign w:val="bottom"/>
            <w:gridSpan w:val="7"/>
          </w:tcPr>
          <w:p>
            <w:pPr>
              <w:spacing w:after="0"/>
              <w:rPr>
                <w:rFonts w:ascii="Arial" w:cs="Arial" w:eastAsia="Arial" w:hAnsi="Arial"/>
                <w:sz w:val="18"/>
                <w:szCs w:val="18"/>
                <w:color w:val="0000FF"/>
                <w:w w:val="88"/>
              </w:rPr>
            </w:pPr>
            <w:hyperlink w:anchor="page21">
              <w:r>
                <w:rPr>
                  <w:rFonts w:ascii="Arial" w:cs="Arial" w:eastAsia="Arial" w:hAnsi="Arial"/>
                  <w:sz w:val="18"/>
                  <w:szCs w:val="18"/>
                  <w:color w:val="0000FF"/>
                  <w:w w:val="88"/>
                </w:rPr>
                <w:t>Unregistered Sales of Equity Securities and Use of Proceeds</w:t>
              </w:r>
            </w:hyperlink>
          </w:p>
        </w:tc>
        <w:tc>
          <w:tcPr>
            <w:tcW w:w="4740" w:type="dxa"/>
            <w:vAlign w:val="bottom"/>
            <w:gridSpan w:val="6"/>
          </w:tcPr>
          <w:p>
            <w:pPr>
              <w:spacing w:after="0"/>
              <w:rPr>
                <w:sz w:val="24"/>
                <w:szCs w:val="24"/>
                <w:color w:val="auto"/>
              </w:rPr>
            </w:pPr>
          </w:p>
        </w:tc>
        <w:tc>
          <w:tcPr>
            <w:tcW w:w="420" w:type="dxa"/>
            <w:vAlign w:val="bottom"/>
            <w:gridSpan w:val="3"/>
          </w:tcPr>
          <w:p>
            <w:pPr>
              <w:jc w:val="center"/>
              <w:ind w:left="15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r>
      <w:tr>
        <w:trPr>
          <w:trHeight w:val="20"/>
        </w:trPr>
        <w:tc>
          <w:tcPr>
            <w:tcW w:w="5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520" w:type="dxa"/>
            <w:vAlign w:val="bottom"/>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3.</w:t>
              </w:r>
            </w:hyperlink>
          </w:p>
        </w:tc>
        <w:tc>
          <w:tcPr>
            <w:tcW w:w="480" w:type="dxa"/>
            <w:vAlign w:val="bottom"/>
            <w:gridSpan w:val="2"/>
          </w:tcPr>
          <w:p>
            <w:pPr>
              <w:spacing w:after="0"/>
              <w:rPr>
                <w:sz w:val="24"/>
                <w:szCs w:val="24"/>
                <w:color w:val="auto"/>
              </w:rPr>
            </w:pPr>
          </w:p>
        </w:tc>
        <w:tc>
          <w:tcPr>
            <w:tcW w:w="2320" w:type="dxa"/>
            <w:vAlign w:val="bottom"/>
            <w:gridSpan w:val="6"/>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Defaults Upon Senior Securities</w:t>
              </w:r>
            </w:hyperlink>
          </w:p>
        </w:tc>
        <w:tc>
          <w:tcPr>
            <w:tcW w:w="2020" w:type="dxa"/>
            <w:vAlign w:val="bottom"/>
          </w:tcPr>
          <w:p>
            <w:pPr>
              <w:spacing w:after="0"/>
              <w:rPr>
                <w:sz w:val="24"/>
                <w:szCs w:val="24"/>
                <w:color w:val="auto"/>
              </w:rPr>
            </w:pPr>
          </w:p>
        </w:tc>
        <w:tc>
          <w:tcPr>
            <w:tcW w:w="4740" w:type="dxa"/>
            <w:vAlign w:val="bottom"/>
            <w:gridSpan w:val="6"/>
          </w:tcPr>
          <w:p>
            <w:pPr>
              <w:spacing w:after="0"/>
              <w:rPr>
                <w:sz w:val="24"/>
                <w:szCs w:val="24"/>
                <w:color w:val="auto"/>
              </w:rPr>
            </w:pPr>
          </w:p>
        </w:tc>
        <w:tc>
          <w:tcPr>
            <w:tcW w:w="420" w:type="dxa"/>
            <w:vAlign w:val="bottom"/>
            <w:gridSpan w:val="3"/>
          </w:tcPr>
          <w:p>
            <w:pPr>
              <w:jc w:val="center"/>
              <w:ind w:left="15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r>
      <w:tr>
        <w:trPr>
          <w:trHeight w:val="20"/>
        </w:trPr>
        <w:tc>
          <w:tcPr>
            <w:tcW w:w="5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7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520" w:type="dxa"/>
            <w:vAlign w:val="bottom"/>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4.</w:t>
              </w:r>
            </w:hyperlink>
          </w:p>
        </w:tc>
        <w:tc>
          <w:tcPr>
            <w:tcW w:w="480" w:type="dxa"/>
            <w:vAlign w:val="bottom"/>
            <w:gridSpan w:val="2"/>
          </w:tcPr>
          <w:p>
            <w:pPr>
              <w:spacing w:after="0"/>
              <w:rPr>
                <w:sz w:val="24"/>
                <w:szCs w:val="24"/>
                <w:color w:val="auto"/>
              </w:rPr>
            </w:pPr>
          </w:p>
        </w:tc>
        <w:tc>
          <w:tcPr>
            <w:tcW w:w="2320" w:type="dxa"/>
            <w:vAlign w:val="bottom"/>
            <w:gridSpan w:val="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Mine Safety Disclosures</w:t>
              </w:r>
            </w:hyperlink>
          </w:p>
        </w:tc>
        <w:tc>
          <w:tcPr>
            <w:tcW w:w="6760" w:type="dxa"/>
            <w:vAlign w:val="bottom"/>
            <w:gridSpan w:val="7"/>
          </w:tcPr>
          <w:p>
            <w:pPr>
              <w:spacing w:after="0"/>
              <w:rPr>
                <w:sz w:val="24"/>
                <w:szCs w:val="24"/>
                <w:color w:val="auto"/>
              </w:rPr>
            </w:pPr>
          </w:p>
        </w:tc>
        <w:tc>
          <w:tcPr>
            <w:tcW w:w="420" w:type="dxa"/>
            <w:vAlign w:val="bottom"/>
            <w:gridSpan w:val="3"/>
          </w:tcPr>
          <w:p>
            <w:pPr>
              <w:jc w:val="center"/>
              <w:ind w:left="15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r>
      <w:tr>
        <w:trPr>
          <w:trHeight w:val="20"/>
        </w:trPr>
        <w:tc>
          <w:tcPr>
            <w:tcW w:w="5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320" w:type="dxa"/>
            <w:vAlign w:val="bottom"/>
            <w:gridSpan w:val="8"/>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520" w:type="dxa"/>
            <w:vAlign w:val="bottom"/>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5.</w:t>
              </w:r>
            </w:hyperlink>
          </w:p>
        </w:tc>
        <w:tc>
          <w:tcPr>
            <w:tcW w:w="480" w:type="dxa"/>
            <w:vAlign w:val="bottom"/>
            <w:gridSpan w:val="2"/>
          </w:tcPr>
          <w:p>
            <w:pPr>
              <w:spacing w:after="0"/>
              <w:rPr>
                <w:sz w:val="24"/>
                <w:szCs w:val="24"/>
                <w:color w:val="auto"/>
              </w:rPr>
            </w:pPr>
          </w:p>
        </w:tc>
        <w:tc>
          <w:tcPr>
            <w:tcW w:w="1760" w:type="dxa"/>
            <w:vAlign w:val="bottom"/>
            <w:gridSpan w:val="5"/>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Other Information</w:t>
              </w:r>
            </w:hyperlink>
          </w:p>
        </w:tc>
        <w:tc>
          <w:tcPr>
            <w:tcW w:w="7320" w:type="dxa"/>
            <w:vAlign w:val="bottom"/>
            <w:gridSpan w:val="8"/>
          </w:tcPr>
          <w:p>
            <w:pPr>
              <w:spacing w:after="0"/>
              <w:rPr>
                <w:sz w:val="24"/>
                <w:szCs w:val="24"/>
                <w:color w:val="auto"/>
              </w:rPr>
            </w:pPr>
          </w:p>
        </w:tc>
        <w:tc>
          <w:tcPr>
            <w:tcW w:w="420" w:type="dxa"/>
            <w:vAlign w:val="bottom"/>
            <w:gridSpan w:val="3"/>
          </w:tcPr>
          <w:p>
            <w:pPr>
              <w:jc w:val="center"/>
              <w:ind w:left="15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r>
      <w:tr>
        <w:trPr>
          <w:trHeight w:val="20"/>
        </w:trPr>
        <w:tc>
          <w:tcPr>
            <w:tcW w:w="5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520" w:type="dxa"/>
            <w:vAlign w:val="bottom"/>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6.</w:t>
              </w:r>
            </w:hyperlink>
          </w:p>
        </w:tc>
        <w:tc>
          <w:tcPr>
            <w:tcW w:w="480" w:type="dxa"/>
            <w:vAlign w:val="bottom"/>
            <w:gridSpan w:val="2"/>
          </w:tcPr>
          <w:p>
            <w:pPr>
              <w:spacing w:after="0"/>
              <w:rPr>
                <w:sz w:val="24"/>
                <w:szCs w:val="24"/>
                <w:color w:val="auto"/>
              </w:rPr>
            </w:pPr>
          </w:p>
        </w:tc>
        <w:tc>
          <w:tcPr>
            <w:tcW w:w="600" w:type="dxa"/>
            <w:vAlign w:val="bottom"/>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Exhibits</w:t>
              </w:r>
            </w:hyperlink>
          </w:p>
        </w:tc>
        <w:tc>
          <w:tcPr>
            <w:tcW w:w="700" w:type="dxa"/>
            <w:vAlign w:val="bottom"/>
            <w:gridSpan w:val="2"/>
          </w:tcPr>
          <w:p>
            <w:pPr>
              <w:spacing w:after="0"/>
              <w:rPr>
                <w:sz w:val="24"/>
                <w:szCs w:val="24"/>
                <w:color w:val="auto"/>
              </w:rPr>
            </w:pPr>
          </w:p>
        </w:tc>
        <w:tc>
          <w:tcPr>
            <w:tcW w:w="7780" w:type="dxa"/>
            <w:vAlign w:val="bottom"/>
            <w:gridSpan w:val="10"/>
          </w:tcPr>
          <w:p>
            <w:pPr>
              <w:spacing w:after="0"/>
              <w:rPr>
                <w:sz w:val="24"/>
                <w:szCs w:val="24"/>
                <w:color w:val="auto"/>
              </w:rPr>
            </w:pPr>
          </w:p>
        </w:tc>
        <w:tc>
          <w:tcPr>
            <w:tcW w:w="420" w:type="dxa"/>
            <w:vAlign w:val="bottom"/>
            <w:gridSpan w:val="3"/>
          </w:tcPr>
          <w:p>
            <w:pPr>
              <w:jc w:val="center"/>
              <w:ind w:left="15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bl>
    <w:p>
      <w:pPr>
        <w:sectPr>
          <w:pgSz w:w="11900" w:h="16838" w:orient="portrait"/>
          <w:cols w:equalWidth="0" w:num="1">
            <w:col w:w="10500"/>
          </w:cols>
          <w:pgMar w:left="520" w:top="364" w:right="87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 2013</w:t>
            </w:r>
          </w:p>
        </w:tc>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2012</w:t>
            </w:r>
          </w:p>
        </w:tc>
      </w:tr>
      <w:tr>
        <w:trPr>
          <w:trHeight w:val="270"/>
        </w:trPr>
        <w:tc>
          <w:tcPr>
            <w:tcW w:w="7200" w:type="dxa"/>
            <w:vAlign w:val="bottom"/>
          </w:tcPr>
          <w:p>
            <w:pPr>
              <w:ind w:left="330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23"/>
                <w:szCs w:val="23"/>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Unaudited</w:t>
            </w: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32,386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55,509</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Receivables, net of allowance for doubtful accounts of $55 and $60, respectively</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8,439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8,388</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3,148</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79,287</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8,873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inventories, net</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1,955</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4,258</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1,195</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97"/>
        </w:trPr>
        <w:tc>
          <w:tcPr>
            <w:tcW w:w="7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79,388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91,939</w:t>
            </w:r>
          </w:p>
        </w:tc>
      </w:tr>
      <w:tr>
        <w:trPr>
          <w:trHeight w:val="237"/>
        </w:trPr>
        <w:tc>
          <w:tcPr>
            <w:tcW w:w="72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2,143</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product revenue</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3,593</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422</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25,271</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1"/>
              </w:rPr>
              <w:t>Common stock, par value $0.001, 50,000,000 shares authorized, 9,080,060 and 9,163,462 shares</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340" w:type="dxa"/>
            <w:vAlign w:val="bottom"/>
          </w:tcPr>
          <w:p>
            <w:pPr>
              <w:spacing w:after="0"/>
              <w:rPr>
                <w:sz w:val="20"/>
                <w:szCs w:val="20"/>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26,229</w:t>
            </w: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67,655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66,668</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91,939</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87"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520" w:type="dxa"/>
            <w:vAlign w:val="bottom"/>
            <w:gridSpan w:val="4"/>
          </w:tcPr>
          <w:p>
            <w:pPr>
              <w:ind w:left="18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6"/>
                <w:szCs w:val="16"/>
                <w:b w:val="1"/>
                <w:bCs w:val="1"/>
                <w:color w:val="auto"/>
                <w:w w:val="95"/>
              </w:rPr>
              <w:t>2012</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ind w:left="20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2012</w:t>
            </w:r>
          </w:p>
        </w:tc>
      </w:tr>
      <w:tr>
        <w:trPr>
          <w:trHeight w:val="33"/>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11,655</w:t>
            </w: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21,809</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4,562</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8,608</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7,093</w:t>
            </w:r>
          </w:p>
        </w:tc>
        <w:tc>
          <w:tcPr>
            <w:tcW w:w="5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13,201</w:t>
            </w:r>
          </w:p>
        </w:tc>
      </w:tr>
      <w:tr>
        <w:trPr>
          <w:trHeight w:val="291"/>
        </w:trPr>
        <w:tc>
          <w:tcPr>
            <w:tcW w:w="4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2,254</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1,611</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3,091</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litigation, net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7"/>
        </w:trPr>
        <w:tc>
          <w:tcPr>
            <w:tcW w:w="416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5,894</w:t>
            </w:r>
          </w:p>
        </w:tc>
        <w:tc>
          <w:tcPr>
            <w:tcW w:w="5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11,266</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1,199</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1,935</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416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1,194</w:t>
            </w:r>
          </w:p>
        </w:tc>
        <w:tc>
          <w:tcPr>
            <w:tcW w:w="5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5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5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5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8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9,093,461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9,107,420</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9,122,996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9,102,786</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9,459,495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9,226,426</w:t>
            </w: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9,499,452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9,224,727</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4160" w:type="dxa"/>
            <w:vAlign w:val="bottom"/>
          </w:tcPr>
          <w:p>
            <w:pPr>
              <w:ind w:left="160"/>
              <w:spacing w:after="0"/>
              <w:rPr>
                <w:sz w:val="20"/>
                <w:szCs w:val="20"/>
                <w:color w:val="auto"/>
              </w:rPr>
            </w:pPr>
            <w:r>
              <w:rPr>
                <w:rFonts w:ascii="Arial" w:cs="Arial" w:eastAsia="Arial" w:hAnsi="Arial"/>
                <w:sz w:val="18"/>
                <w:szCs w:val="18"/>
                <w:color w:val="auto"/>
                <w:w w:val="95"/>
              </w:rPr>
              <w:t>Unrealized (loss) on available-for-sale securities, net</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of tax</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64"/>
        </w:trPr>
        <w:tc>
          <w:tcPr>
            <w:tcW w:w="416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w:t>
            </w:r>
          </w:p>
        </w:tc>
        <w:tc>
          <w:tcPr>
            <w:tcW w:w="5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19"/>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i w:val="1"/>
                <w:iCs w:val="1"/>
                <w:color w:val="auto"/>
                <w:w w:val="87"/>
              </w:rPr>
              <w:t>See accompanying notes</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900"/>
          </w:cols>
          <w:pgMar w:left="240" w:top="122" w:right="7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8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6"/>
                <w:szCs w:val="16"/>
                <w:b w:val="1"/>
                <w:bCs w:val="1"/>
                <w:color w:val="auto"/>
              </w:rPr>
              <w:t>2012</w:t>
            </w:r>
          </w:p>
        </w:tc>
      </w:tr>
      <w:tr>
        <w:trPr>
          <w:trHeight w:val="33"/>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1"/>
                <w:szCs w:val="21"/>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1,128</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(used in)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4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654</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rent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(recoveries of) doubtful accounts, net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Inventory valuation reserve adjustments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 benefit from the exercise of stock options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Deferred product revenue</w:t>
            </w:r>
          </w:p>
        </w:tc>
        <w:tc>
          <w:tcPr>
            <w:tcW w:w="4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(12,580)</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w:t>
            </w:r>
          </w:p>
        </w:tc>
      </w:tr>
      <w:tr>
        <w:trPr>
          <w:trHeight w:val="27"/>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5"/>
        </w:trPr>
        <w:tc>
          <w:tcPr>
            <w:tcW w:w="8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Purchase of marketable securities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 towards business acquisitions</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(4,834)</w:t>
            </w:r>
          </w:p>
        </w:tc>
      </w:tr>
      <w:tr>
        <w:trPr>
          <w:trHeight w:val="27"/>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5"/>
        </w:trPr>
        <w:tc>
          <w:tcPr>
            <w:tcW w:w="8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Tax benefit from the exercise of stock options</w:t>
            </w:r>
          </w:p>
        </w:tc>
        <w:tc>
          <w:tcPr>
            <w:tcW w:w="4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Treasury stock purchased</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5"/>
        </w:trPr>
        <w:tc>
          <w:tcPr>
            <w:tcW w:w="8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(6,265)</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16,683</w:t>
            </w:r>
          </w:p>
        </w:tc>
      </w:tr>
      <w:tr>
        <w:trPr>
          <w:trHeight w:val="297"/>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32,386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10,418</w:t>
            </w:r>
          </w:p>
        </w:tc>
      </w:tr>
      <w:tr>
        <w:trPr>
          <w:trHeight w:val="284"/>
        </w:trPr>
        <w:tc>
          <w:tcPr>
            <w:tcW w:w="8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r>
      <w:tr>
        <w:trPr>
          <w:trHeight w:val="230"/>
        </w:trPr>
        <w:tc>
          <w:tcPr>
            <w:tcW w:w="8160" w:type="dxa"/>
            <w:vAlign w:val="bottom"/>
          </w:tcPr>
          <w:p>
            <w:pPr>
              <w:ind w:left="4820"/>
              <w:spacing w:after="0"/>
              <w:rPr>
                <w:sz w:val="20"/>
                <w:szCs w:val="20"/>
                <w:color w:val="auto"/>
              </w:rPr>
            </w:pPr>
            <w:r>
              <w:rPr>
                <w:rFonts w:ascii="Arial" w:cs="Arial" w:eastAsia="Arial" w:hAnsi="Arial"/>
                <w:sz w:val="18"/>
                <w:szCs w:val="18"/>
                <w:i w:val="1"/>
                <w:iCs w:val="1"/>
                <w:color w:val="auto"/>
              </w:rPr>
              <w:t>See accompanying notes</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37465</wp:posOffset>
            </wp:positionV>
            <wp:extent cx="1551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80" w:lineRule="exact"/>
        <w:rPr>
          <w:sz w:val="20"/>
          <w:szCs w:val="20"/>
          <w:color w:val="auto"/>
        </w:rPr>
      </w:pPr>
    </w:p>
    <w:p>
      <w:pPr>
        <w:ind w:left="8280"/>
        <w:spacing w:after="0"/>
        <w:tabs>
          <w:tab w:leader="none" w:pos="9540" w:val="left"/>
        </w:tabs>
        <w:rPr>
          <w:sz w:val="20"/>
          <w:szCs w:val="20"/>
          <w:color w:val="auto"/>
        </w:rPr>
      </w:pP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37465</wp:posOffset>
            </wp:positionV>
            <wp:extent cx="584898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18034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Supplemental disclosure of non-cash activities:</w:t>
      </w:r>
    </w:p>
    <w:p>
      <w:pPr>
        <w:spacing w:after="0" w:line="63" w:lineRule="exact"/>
        <w:rPr>
          <w:sz w:val="20"/>
          <w:szCs w:val="20"/>
          <w:color w:val="auto"/>
        </w:rPr>
      </w:pPr>
    </w:p>
    <w:p>
      <w:pPr>
        <w:ind w:left="1140" w:right="2660"/>
        <w:spacing w:after="0" w:line="274" w:lineRule="auto"/>
        <w:rPr>
          <w:sz w:val="20"/>
          <w:szCs w:val="20"/>
          <w:color w:val="auto"/>
        </w:rPr>
      </w:pPr>
      <w:r>
        <w:rPr>
          <w:rFonts w:ascii="Arial" w:cs="Arial" w:eastAsia="Arial" w:hAnsi="Arial"/>
          <w:sz w:val="18"/>
          <w:szCs w:val="18"/>
          <w:color w:val="auto"/>
        </w:rPr>
        <w:t>The Company acquired the business of VCON Video Conferencing, Ltd. in February 2012 and recorded the following assets and liabilities:</w:t>
      </w:r>
    </w:p>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warranty liability</w:t>
            </w: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Proprietary software</w:t>
            </w:r>
          </w:p>
        </w:tc>
        <w:tc>
          <w:tcPr>
            <w:tcW w:w="52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2,247</w:t>
            </w: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w:t>
            </w:r>
          </w:p>
        </w:tc>
      </w:tr>
      <w:tr>
        <w:trPr>
          <w:trHeight w:val="237"/>
        </w:trPr>
        <w:tc>
          <w:tcPr>
            <w:tcW w:w="6760" w:type="dxa"/>
            <w:vAlign w:val="bottom"/>
          </w:tcPr>
          <w:p>
            <w:pPr>
              <w:ind w:left="20"/>
              <w:spacing w:after="0"/>
              <w:rPr>
                <w:sz w:val="20"/>
                <w:szCs w:val="20"/>
                <w:color w:val="auto"/>
              </w:rPr>
            </w:pPr>
            <w:r>
              <w:rPr>
                <w:rFonts w:ascii="Arial" w:cs="Arial" w:eastAsia="Arial" w:hAnsi="Arial"/>
                <w:sz w:val="18"/>
                <w:szCs w:val="18"/>
                <w:color w:val="auto"/>
              </w:rPr>
              <w:t>Cash paid</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4,632</w:t>
            </w:r>
          </w:p>
        </w:tc>
      </w:tr>
      <w:tr>
        <w:trPr>
          <w:trHeight w:val="27"/>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20"/>
          </w:cols>
          <w:pgMar w:left="240" w:top="121" w:right="1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60"/>
        <w:spacing w:after="0" w:line="216"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These accompanying interim condensed consolidated financial statements for the three and six months ended June 30, 2013 and 2012,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the Company's financial position as of June 30, 2013 and December 31, 2012, the results of operations for the three and six months ended June 30, 2013 and 2012, and the statements of cash flows for the six months ended June 30, 2013 and 2012. The results of operations for the three and six months ended June 30, 2013 and 2012 are not necessarily indicative of the results for a full-year period. These interim condensed consolidated financial statements should be read in conjunction with the financial statements included in the Company's Annual Report on Form 10-K for the year ended December 31, 2012 filed with the SEC on March 25, 2013 as amended on April 30,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significant accounting policies were described in Note 2 to the audited consolidated financial statements included in the Company’s annual report on Form 10-K for the year ended December 31, 2012. There have been no changes to these policies during the six months ended June 30, 2013 that are of significance or potential significance to the Company.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1700" w:type="dxa"/>
            <w:vAlign w:val="bottom"/>
          </w:tcPr>
          <w:p>
            <w:pPr>
              <w:jc w:val="right"/>
              <w:ind w:right="33"/>
              <w:spacing w:after="0"/>
              <w:rPr>
                <w:sz w:val="20"/>
                <w:szCs w:val="20"/>
                <w:color w:val="auto"/>
              </w:rPr>
            </w:pPr>
            <w:r>
              <w:rPr>
                <w:rFonts w:ascii="Arial" w:cs="Arial" w:eastAsia="Arial" w:hAnsi="Arial"/>
                <w:sz w:val="16"/>
                <w:szCs w:val="16"/>
                <w:b w:val="1"/>
                <w:bCs w:val="1"/>
                <w:color w:val="auto"/>
              </w:rPr>
              <w:t>June 30, 2013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right"/>
              <w:ind w:right="452"/>
              <w:spacing w:after="0"/>
              <w:rPr>
                <w:sz w:val="20"/>
                <w:szCs w:val="20"/>
                <w:color w:val="auto"/>
              </w:rPr>
            </w:pPr>
            <w:r>
              <w:rPr>
                <w:rFonts w:ascii="Arial" w:cs="Arial" w:eastAsia="Arial" w:hAnsi="Arial"/>
                <w:sz w:val="16"/>
                <w:szCs w:val="16"/>
                <w:b w:val="1"/>
                <w:bCs w:val="1"/>
                <w:color w:val="auto"/>
                <w:w w:val="99"/>
              </w:rPr>
              <w:t>December 31, 2012</w:t>
            </w:r>
          </w:p>
        </w:tc>
      </w:tr>
      <w:tr>
        <w:trPr>
          <w:trHeight w:val="33"/>
        </w:trPr>
        <w:tc>
          <w:tcPr>
            <w:tcW w:w="67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Balance at the beginning of year</w:t>
            </w:r>
          </w:p>
        </w:tc>
        <w:tc>
          <w:tcPr>
            <w:tcW w:w="1700" w:type="dxa"/>
            <w:vAlign w:val="bottom"/>
          </w:tcPr>
          <w:p>
            <w:pPr>
              <w:jc w:val="right"/>
              <w:ind w:right="1373"/>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467</w:t>
            </w:r>
          </w:p>
        </w:tc>
      </w:tr>
      <w:tr>
        <w:trPr>
          <w:trHeight w:val="27"/>
        </w:trPr>
        <w:tc>
          <w:tcPr>
            <w:tcW w:w="6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Warranty accruals/additions</w:t>
            </w:r>
          </w:p>
        </w:tc>
        <w:tc>
          <w:tcPr>
            <w:tcW w:w="1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r>
      <w:tr>
        <w:trPr>
          <w:trHeight w:val="243"/>
        </w:trPr>
        <w:tc>
          <w:tcPr>
            <w:tcW w:w="6700" w:type="dxa"/>
            <w:vAlign w:val="bottom"/>
          </w:tcPr>
          <w:p>
            <w:pPr>
              <w:ind w:left="220"/>
              <w:spacing w:after="0"/>
              <w:rPr>
                <w:sz w:val="20"/>
                <w:szCs w:val="20"/>
                <w:color w:val="auto"/>
              </w:rPr>
            </w:pPr>
            <w:r>
              <w:rPr>
                <w:rFonts w:ascii="Arial" w:cs="Arial" w:eastAsia="Arial" w:hAnsi="Arial"/>
                <w:sz w:val="18"/>
                <w:szCs w:val="18"/>
                <w:color w:val="auto"/>
              </w:rPr>
              <w:t>Warranty usage</w:t>
            </w:r>
          </w:p>
        </w:tc>
        <w:tc>
          <w:tcPr>
            <w:tcW w:w="17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67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700" w:type="dxa"/>
            <w:vAlign w:val="bottom"/>
            <w:tcBorders>
              <w:bottom w:val="single" w:sz="8" w:color="auto"/>
            </w:tcBorders>
            <w:shd w:val="clear" w:color="auto" w:fill="CCEEFF"/>
          </w:tcPr>
          <w:p>
            <w:pPr>
              <w:jc w:val="right"/>
              <w:ind w:right="137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r>
      <w:tr>
        <w:trPr>
          <w:trHeight w:val="20"/>
        </w:trPr>
        <w:tc>
          <w:tcPr>
            <w:tcW w:w="67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48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6"/>
              </w:rPr>
              <w:t>Six months ended June 30,</w:t>
            </w:r>
          </w:p>
        </w:tc>
      </w:tr>
      <w:tr>
        <w:trPr>
          <w:trHeight w:val="270"/>
        </w:trPr>
        <w:tc>
          <w:tcPr>
            <w:tcW w:w="5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1,128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9,093,461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9,107,420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9,122,996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9,102,786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Dilutive common stock equivalents using treasury stock method</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366,034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376,456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121,941</w:t>
            </w:r>
          </w:p>
        </w:tc>
      </w:tr>
      <w:tr>
        <w:trPr>
          <w:trHeight w:val="297"/>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9,459,495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9,226,426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9,499,452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9,224,727</w:t>
            </w:r>
          </w:p>
        </w:tc>
      </w:tr>
      <w:tr>
        <w:trPr>
          <w:trHeight w:val="311"/>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r>
      <w:tr>
        <w:trPr>
          <w:trHeight w:val="324"/>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1,122,797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1,207,302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1,185,414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2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94,789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630,737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94,789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630,737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w:t>
      </w:r>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net of the related tax effect,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June 30, 2013 and December 31, 2012 were as follows:</w:t>
      </w:r>
    </w:p>
    <w:p>
      <w:pPr>
        <w:spacing w:after="0" w:line="306" w:lineRule="exact"/>
        <w:rPr>
          <w:sz w:val="20"/>
          <w:szCs w:val="20"/>
          <w:color w:val="auto"/>
        </w:rPr>
      </w:pPr>
    </w:p>
    <w:tbl>
      <w:tblPr>
        <w:tblLayout w:type="fixed"/>
        <w:tblInd w:w="104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Gross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left="176"/>
              <w:spacing w:after="0"/>
              <w:rPr>
                <w:sz w:val="20"/>
                <w:szCs w:val="20"/>
                <w:color w:val="auto"/>
              </w:rPr>
            </w:pPr>
            <w:r>
              <w:rPr>
                <w:rFonts w:ascii="Arial" w:cs="Arial" w:eastAsia="Arial" w:hAnsi="Arial"/>
                <w:sz w:val="16"/>
                <w:szCs w:val="16"/>
                <w:b w:val="1"/>
                <w:bCs w:val="1"/>
                <w:color w:val="auto"/>
                <w:w w:val="90"/>
              </w:rPr>
              <w:t>unrealized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5"/>
          </w:tcPr>
          <w:p>
            <w:pPr>
              <w:ind w:left="300"/>
              <w:spacing w:after="0"/>
              <w:rPr>
                <w:sz w:val="20"/>
                <w:szCs w:val="20"/>
                <w:color w:val="auto"/>
              </w:rPr>
            </w:pPr>
            <w:r>
              <w:rPr>
                <w:rFonts w:ascii="Arial" w:cs="Arial" w:eastAsia="Arial" w:hAnsi="Arial"/>
                <w:sz w:val="16"/>
                <w:szCs w:val="16"/>
                <w:b w:val="1"/>
                <w:bCs w:val="1"/>
                <w:color w:val="auto"/>
              </w:rPr>
              <w:t>unrealized</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1"/>
              </w:rPr>
              <w:t>Amortized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left="176"/>
              <w:spacing w:after="0"/>
              <w:rPr>
                <w:sz w:val="20"/>
                <w:szCs w:val="20"/>
                <w:color w:val="auto"/>
              </w:rPr>
            </w:pPr>
            <w:r>
              <w:rPr>
                <w:rFonts w:ascii="Arial" w:cs="Arial" w:eastAsia="Arial" w:hAnsi="Arial"/>
                <w:sz w:val="16"/>
                <w:szCs w:val="16"/>
                <w:b w:val="1"/>
                <w:bCs w:val="1"/>
                <w:color w:val="auto"/>
                <w:w w:val="89"/>
              </w:rPr>
              <w:t>holding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ind w:left="400"/>
              <w:spacing w:after="0"/>
              <w:rPr>
                <w:sz w:val="20"/>
                <w:szCs w:val="20"/>
                <w:color w:val="auto"/>
              </w:rPr>
            </w:pPr>
            <w:r>
              <w:rPr>
                <w:rFonts w:ascii="Arial" w:cs="Arial" w:eastAsia="Arial" w:hAnsi="Arial"/>
                <w:sz w:val="16"/>
                <w:szCs w:val="16"/>
                <w:b w:val="1"/>
                <w:bCs w:val="1"/>
                <w:color w:val="auto"/>
                <w:w w:val="89"/>
              </w:rPr>
              <w:t>holding</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234"/>
              <w:spacing w:after="0"/>
              <w:rPr>
                <w:sz w:val="20"/>
                <w:szCs w:val="20"/>
                <w:color w:val="auto"/>
              </w:rPr>
            </w:pPr>
            <w:r>
              <w:rPr>
                <w:rFonts w:ascii="Arial" w:cs="Arial" w:eastAsia="Arial" w:hAnsi="Arial"/>
                <w:sz w:val="16"/>
                <w:szCs w:val="16"/>
                <w:b w:val="1"/>
                <w:bCs w:val="1"/>
                <w:color w:val="auto"/>
                <w:w w:val="81"/>
              </w:rPr>
              <w:t>Estimated</w:t>
            </w:r>
          </w:p>
        </w:tc>
        <w:tc>
          <w:tcPr>
            <w:tcW w:w="0" w:type="dxa"/>
            <w:vAlign w:val="bottom"/>
          </w:tcPr>
          <w:p>
            <w:pPr>
              <w:spacing w:after="0"/>
              <w:rPr>
                <w:sz w:val="1"/>
                <w:szCs w:val="1"/>
                <w:color w:val="auto"/>
              </w:rPr>
            </w:pPr>
          </w:p>
        </w:tc>
      </w:tr>
      <w:tr>
        <w:trPr>
          <w:trHeight w:val="216"/>
        </w:trPr>
        <w:tc>
          <w:tcPr>
            <w:tcW w:w="37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cost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gains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losses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254"/>
              <w:spacing w:after="0"/>
              <w:rPr>
                <w:sz w:val="20"/>
                <w:szCs w:val="20"/>
                <w:color w:val="auto"/>
              </w:rPr>
            </w:pPr>
            <w:r>
              <w:rPr>
                <w:rFonts w:ascii="Arial" w:cs="Arial" w:eastAsia="Arial" w:hAnsi="Arial"/>
                <w:sz w:val="16"/>
                <w:szCs w:val="16"/>
                <w:b w:val="1"/>
                <w:bCs w:val="1"/>
                <w:color w:val="auto"/>
                <w:w w:val="85"/>
              </w:rPr>
              <w:t>fair value</w:t>
            </w:r>
          </w:p>
        </w:tc>
        <w:tc>
          <w:tcPr>
            <w:tcW w:w="0" w:type="dxa"/>
            <w:vAlign w:val="bottom"/>
          </w:tcPr>
          <w:p>
            <w:pPr>
              <w:spacing w:after="0"/>
              <w:rPr>
                <w:sz w:val="1"/>
                <w:szCs w:val="1"/>
                <w:color w:val="auto"/>
              </w:rPr>
            </w:pPr>
          </w:p>
        </w:tc>
      </w:tr>
      <w:tr>
        <w:trPr>
          <w:trHeight w:val="27"/>
        </w:trPr>
        <w:tc>
          <w:tcPr>
            <w:tcW w:w="96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June 30, 2013</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3"/>
          </w:tcPr>
          <w:p>
            <w:pPr>
              <w:ind w:left="64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 and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88"/>
              </w:rPr>
              <w:t>—</w:t>
            </w:r>
          </w:p>
        </w:tc>
        <w:tc>
          <w:tcPr>
            <w:tcW w:w="780" w:type="dxa"/>
            <w:vAlign w:val="bottom"/>
            <w:tcBorders>
              <w:bottom w:val="single" w:sz="8" w:color="CCEEFF"/>
            </w:tcBorders>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2780" w:type="dxa"/>
            <w:vAlign w:val="bottom"/>
            <w:gridSpan w:val="2"/>
          </w:tcPr>
          <w:p>
            <w:pPr>
              <w:ind w:left="22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right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40" w:type="dxa"/>
            <w:vAlign w:val="bottom"/>
            <w:gridSpan w:val="3"/>
          </w:tcPr>
          <w:p>
            <w:pPr>
              <w:ind w:left="64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9,297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2"/>
                <w:szCs w:val="22"/>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4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9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unrealized</w:t>
            </w:r>
          </w:p>
        </w:tc>
        <w:tc>
          <w:tcPr>
            <w:tcW w:w="20" w:type="dxa"/>
            <w:vAlign w:val="bottom"/>
          </w:tcPr>
          <w:p>
            <w:pPr>
              <w:spacing w:after="0"/>
              <w:rPr>
                <w:sz w:val="17"/>
                <w:szCs w:val="17"/>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unrealized</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278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7"/>
              </w:rPr>
              <w:t>Amortized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holding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holding</w:t>
            </w:r>
          </w:p>
        </w:tc>
        <w:tc>
          <w:tcPr>
            <w:tcW w:w="102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rPr>
              <w:t>Estimated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cost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gains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76"/>
              </w:rPr>
              <w:t>losses</w:t>
            </w:r>
          </w:p>
        </w:tc>
        <w:tc>
          <w:tcPr>
            <w:tcW w:w="180" w:type="dxa"/>
            <w:vAlign w:val="bottom"/>
          </w:tcPr>
          <w:p>
            <w:pPr>
              <w:spacing w:after="0"/>
              <w:rPr>
                <w:sz w:val="18"/>
                <w:szCs w:val="18"/>
                <w:color w:val="auto"/>
              </w:rPr>
            </w:pPr>
          </w:p>
        </w:tc>
        <w:tc>
          <w:tcPr>
            <w:tcW w:w="84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w w:val="91"/>
              </w:rPr>
              <w:t>fair value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2780" w:type="dxa"/>
            <w:vAlign w:val="bottom"/>
            <w:gridSpan w:val="2"/>
          </w:tcPr>
          <w:p>
            <w:pPr>
              <w:ind w:left="4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w w:val="88"/>
              </w:rPr>
              <w:t>Corporate bonds and notes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2780" w:type="dxa"/>
            <w:vAlign w:val="bottom"/>
            <w:gridSpan w:val="2"/>
          </w:tcPr>
          <w:p>
            <w:pPr>
              <w:ind w:left="84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9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tcPr>
          <w:p>
            <w:pPr>
              <w:spacing w:after="0"/>
              <w:rPr>
                <w:sz w:val="23"/>
                <w:szCs w:val="23"/>
                <w:color w:val="auto"/>
              </w:rPr>
            </w:pPr>
          </w:p>
        </w:tc>
        <w:tc>
          <w:tcPr>
            <w:tcW w:w="2940" w:type="dxa"/>
            <w:vAlign w:val="bottom"/>
            <w:gridSpan w:val="3"/>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right w:val="single" w:sz="8" w:color="CCEEFF"/>
            </w:tcBorders>
            <w:shd w:val="clear" w:color="auto" w:fill="CCEEFF"/>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color w:val="auto"/>
              </w:rPr>
              <w:t>Total available-for-sale securities  $</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June 30, 2013:</w:t>
      </w:r>
    </w:p>
    <w:p>
      <w:pPr>
        <w:sectPr>
          <w:pgSz w:w="11900" w:h="16838" w:orient="portrait"/>
          <w:cols w:equalWidth="0" w:num="1">
            <w:col w:w="11340"/>
          </w:cols>
          <w:pgMar w:left="240" w:top="121" w:right="319" w:bottom="1440" w:gutter="0" w:footer="0" w:header="0"/>
        </w:sect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40"/>
          </w:cols>
          <w:pgMar w:left="240" w:top="121" w:right="31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30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Amortized</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ind w:right="453"/>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4900" w:type="dxa"/>
            <w:vAlign w:val="bottom"/>
            <w:tcBorders>
              <w:bottom w:val="single" w:sz="8" w:color="B6DDE8"/>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cost</w:t>
            </w: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B6DD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fair value</w:t>
            </w:r>
          </w:p>
        </w:tc>
      </w:tr>
      <w:tr>
        <w:trPr>
          <w:trHeight w:val="162"/>
        </w:trPr>
        <w:tc>
          <w:tcPr>
            <w:tcW w:w="4900" w:type="dxa"/>
            <w:vAlign w:val="bottom"/>
            <w:shd w:val="clear" w:color="auto" w:fill="B6DDE8"/>
          </w:tcPr>
          <w:p>
            <w:pPr>
              <w:spacing w:after="0"/>
              <w:rPr>
                <w:sz w:val="14"/>
                <w:szCs w:val="14"/>
                <w:color w:val="auto"/>
              </w:rPr>
            </w:pPr>
          </w:p>
        </w:tc>
        <w:tc>
          <w:tcPr>
            <w:tcW w:w="1280" w:type="dxa"/>
            <w:vAlign w:val="bottom"/>
            <w:shd w:val="clear" w:color="auto" w:fill="B6DDE8"/>
          </w:tcPr>
          <w:p>
            <w:pPr>
              <w:spacing w:after="0"/>
              <w:rPr>
                <w:sz w:val="14"/>
                <w:szCs w:val="14"/>
                <w:color w:val="auto"/>
              </w:rPr>
            </w:pPr>
          </w:p>
        </w:tc>
        <w:tc>
          <w:tcPr>
            <w:tcW w:w="500" w:type="dxa"/>
            <w:vAlign w:val="bottom"/>
            <w:shd w:val="clear" w:color="auto" w:fill="B6DDE8"/>
          </w:tcPr>
          <w:p>
            <w:pPr>
              <w:spacing w:after="0"/>
              <w:rPr>
                <w:sz w:val="14"/>
                <w:szCs w:val="14"/>
                <w:color w:val="auto"/>
              </w:rPr>
            </w:pPr>
          </w:p>
        </w:tc>
        <w:tc>
          <w:tcPr>
            <w:tcW w:w="360" w:type="dxa"/>
            <w:vAlign w:val="bottom"/>
            <w:shd w:val="clear" w:color="auto" w:fill="B6DDE8"/>
          </w:tcPr>
          <w:p>
            <w:pPr>
              <w:spacing w:after="0"/>
              <w:rPr>
                <w:sz w:val="14"/>
                <w:szCs w:val="14"/>
                <w:color w:val="auto"/>
              </w:rPr>
            </w:pPr>
          </w:p>
        </w:tc>
        <w:tc>
          <w:tcPr>
            <w:tcW w:w="320" w:type="dxa"/>
            <w:vAlign w:val="bottom"/>
            <w:shd w:val="clear" w:color="auto" w:fill="B6DDE8"/>
          </w:tcPr>
          <w:p>
            <w:pPr>
              <w:spacing w:after="0"/>
              <w:rPr>
                <w:sz w:val="14"/>
                <w:szCs w:val="14"/>
                <w:color w:val="auto"/>
              </w:rPr>
            </w:pPr>
          </w:p>
        </w:tc>
        <w:tc>
          <w:tcPr>
            <w:tcW w:w="1460" w:type="dxa"/>
            <w:vAlign w:val="bottom"/>
            <w:shd w:val="clear" w:color="auto" w:fill="B6DDE8"/>
          </w:tcPr>
          <w:p>
            <w:pPr>
              <w:spacing w:after="0"/>
              <w:rPr>
                <w:sz w:val="14"/>
                <w:szCs w:val="14"/>
                <w:color w:val="auto"/>
              </w:rPr>
            </w:pPr>
          </w:p>
        </w:tc>
      </w:tr>
      <w:tr>
        <w:trPr>
          <w:trHeight w:val="243"/>
        </w:trPr>
        <w:tc>
          <w:tcPr>
            <w:tcW w:w="4900" w:type="dxa"/>
            <w:vAlign w:val="bottom"/>
          </w:tcPr>
          <w:p>
            <w:pPr>
              <w:ind w:left="540"/>
              <w:spacing w:after="0"/>
              <w:rPr>
                <w:sz w:val="20"/>
                <w:szCs w:val="20"/>
                <w:color w:val="auto"/>
              </w:rPr>
            </w:pPr>
            <w:r>
              <w:rPr>
                <w:rFonts w:ascii="Arial" w:cs="Arial" w:eastAsia="Arial" w:hAnsi="Arial"/>
                <w:sz w:val="18"/>
                <w:szCs w:val="18"/>
                <w:color w:val="auto"/>
              </w:rPr>
              <w:t>Due within one year</w:t>
            </w:r>
          </w:p>
        </w:tc>
        <w:tc>
          <w:tcPr>
            <w:tcW w:w="1280" w:type="dxa"/>
            <w:vAlign w:val="bottom"/>
          </w:tcPr>
          <w:p>
            <w:pPr>
              <w:jc w:val="right"/>
              <w:ind w:right="107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3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4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00" w:type="dxa"/>
            <w:vAlign w:val="bottom"/>
            <w:tcBorders>
              <w:bottom w:val="single" w:sz="8" w:color="B6DDE8"/>
            </w:tcBorders>
            <w:shd w:val="clear" w:color="auto" w:fill="B6DDE8"/>
          </w:tcPr>
          <w:p>
            <w:pPr>
              <w:ind w:left="540"/>
              <w:spacing w:after="0"/>
              <w:rPr>
                <w:sz w:val="20"/>
                <w:szCs w:val="20"/>
                <w:color w:val="auto"/>
              </w:rPr>
            </w:pPr>
            <w:r>
              <w:rPr>
                <w:rFonts w:ascii="Arial" w:cs="Arial" w:eastAsia="Arial" w:hAnsi="Arial"/>
                <w:sz w:val="18"/>
                <w:szCs w:val="18"/>
                <w:color w:val="auto"/>
              </w:rPr>
              <w:t>Due after one year through five years</w:t>
            </w:r>
          </w:p>
        </w:tc>
        <w:tc>
          <w:tcPr>
            <w:tcW w:w="1280" w:type="dxa"/>
            <w:vAlign w:val="bottom"/>
            <w:tcBorders>
              <w:bottom w:val="single" w:sz="8" w:color="B6DDE8"/>
            </w:tcBorders>
            <w:shd w:val="clear" w:color="auto" w:fill="B6DDE8"/>
          </w:tcPr>
          <w:p>
            <w:pPr>
              <w:spacing w:after="0"/>
              <w:rPr>
                <w:sz w:val="21"/>
                <w:szCs w:val="21"/>
                <w:color w:val="auto"/>
              </w:rPr>
            </w:pPr>
          </w:p>
        </w:tc>
        <w:tc>
          <w:tcPr>
            <w:tcW w:w="500" w:type="dxa"/>
            <w:vAlign w:val="bottom"/>
            <w:tcBorders>
              <w:bottom w:val="single" w:sz="8" w:color="B6DDE8"/>
            </w:tcBorders>
            <w:shd w:val="clear" w:color="auto" w:fill="B6DDE8"/>
          </w:tcPr>
          <w:p>
            <w:pPr>
              <w:jc w:val="right"/>
              <w:spacing w:after="0"/>
              <w:rPr>
                <w:sz w:val="20"/>
                <w:szCs w:val="20"/>
                <w:color w:val="auto"/>
              </w:rPr>
            </w:pPr>
            <w:r>
              <w:rPr>
                <w:rFonts w:ascii="Arial" w:cs="Arial" w:eastAsia="Arial" w:hAnsi="Arial"/>
                <w:sz w:val="18"/>
                <w:szCs w:val="18"/>
                <w:color w:val="auto"/>
                <w:w w:val="88"/>
              </w:rPr>
              <w:t>8,528</w:t>
            </w:r>
          </w:p>
        </w:tc>
        <w:tc>
          <w:tcPr>
            <w:tcW w:w="360" w:type="dxa"/>
            <w:vAlign w:val="bottom"/>
            <w:tcBorders>
              <w:bottom w:val="single" w:sz="8" w:color="B6DDE8"/>
            </w:tcBorders>
            <w:shd w:val="clear" w:color="auto" w:fill="B6DDE8"/>
          </w:tcPr>
          <w:p>
            <w:pPr>
              <w:spacing w:after="0"/>
              <w:rPr>
                <w:sz w:val="21"/>
                <w:szCs w:val="21"/>
                <w:color w:val="auto"/>
              </w:rPr>
            </w:pPr>
          </w:p>
        </w:tc>
        <w:tc>
          <w:tcPr>
            <w:tcW w:w="320" w:type="dxa"/>
            <w:vAlign w:val="bottom"/>
            <w:tcBorders>
              <w:bottom w:val="single" w:sz="8" w:color="B6DDE8"/>
            </w:tcBorders>
            <w:shd w:val="clear" w:color="auto" w:fill="B6DDE8"/>
          </w:tcPr>
          <w:p>
            <w:pPr>
              <w:spacing w:after="0"/>
              <w:rPr>
                <w:sz w:val="21"/>
                <w:szCs w:val="21"/>
                <w:color w:val="auto"/>
              </w:rPr>
            </w:pPr>
          </w:p>
        </w:tc>
        <w:tc>
          <w:tcPr>
            <w:tcW w:w="1460" w:type="dxa"/>
            <w:vAlign w:val="bottom"/>
            <w:tcBorders>
              <w:bottom w:val="single" w:sz="8" w:color="B6DDE8"/>
            </w:tcBorders>
            <w:shd w:val="clear" w:color="auto" w:fill="B6DDE8"/>
          </w:tcPr>
          <w:p>
            <w:pPr>
              <w:jc w:val="right"/>
              <w:spacing w:after="0"/>
              <w:rPr>
                <w:sz w:val="20"/>
                <w:szCs w:val="20"/>
                <w:color w:val="auto"/>
              </w:rPr>
            </w:pPr>
            <w:r>
              <w:rPr>
                <w:rFonts w:ascii="Arial" w:cs="Arial" w:eastAsia="Arial" w:hAnsi="Arial"/>
                <w:sz w:val="18"/>
                <w:szCs w:val="18"/>
                <w:color w:val="auto"/>
              </w:rPr>
              <w:t>8,449</w:t>
            </w:r>
          </w:p>
        </w:tc>
      </w:tr>
      <w:tr>
        <w:trPr>
          <w:trHeight w:val="243"/>
        </w:trPr>
        <w:tc>
          <w:tcPr>
            <w:tcW w:w="4900" w:type="dxa"/>
            <w:vAlign w:val="bottom"/>
          </w:tcPr>
          <w:p>
            <w:pPr>
              <w:ind w:left="540"/>
              <w:spacing w:after="0"/>
              <w:rPr>
                <w:sz w:val="20"/>
                <w:szCs w:val="20"/>
                <w:color w:val="auto"/>
              </w:rPr>
            </w:pPr>
            <w:r>
              <w:rPr>
                <w:rFonts w:ascii="Arial" w:cs="Arial" w:eastAsia="Arial" w:hAnsi="Arial"/>
                <w:sz w:val="18"/>
                <w:szCs w:val="18"/>
                <w:color w:val="auto"/>
              </w:rPr>
              <w:t>Due after five years through ten years</w:t>
            </w:r>
          </w:p>
        </w:tc>
        <w:tc>
          <w:tcPr>
            <w:tcW w:w="12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432</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4900" w:type="dxa"/>
            <w:vAlign w:val="bottom"/>
            <w:tcBorders>
              <w:bottom w:val="single" w:sz="8" w:color="B6DDE8"/>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B6DD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4900" w:type="dxa"/>
            <w:vAlign w:val="bottom"/>
            <w:shd w:val="clear" w:color="auto" w:fill="B6DDE8"/>
          </w:tcPr>
          <w:p>
            <w:pPr>
              <w:spacing w:after="0"/>
              <w:rPr>
                <w:sz w:val="21"/>
                <w:szCs w:val="21"/>
                <w:color w:val="auto"/>
              </w:rPr>
            </w:pPr>
          </w:p>
        </w:tc>
        <w:tc>
          <w:tcPr>
            <w:tcW w:w="1280" w:type="dxa"/>
            <w:vAlign w:val="bottom"/>
            <w:shd w:val="clear" w:color="auto" w:fill="B6DDE8"/>
          </w:tcPr>
          <w:p>
            <w:pPr>
              <w:spacing w:after="0"/>
              <w:rPr>
                <w:sz w:val="21"/>
                <w:szCs w:val="21"/>
                <w:color w:val="auto"/>
              </w:rPr>
            </w:pPr>
          </w:p>
        </w:tc>
        <w:tc>
          <w:tcPr>
            <w:tcW w:w="500" w:type="dxa"/>
            <w:vAlign w:val="bottom"/>
            <w:shd w:val="clear" w:color="auto" w:fill="B6DDE8"/>
          </w:tcPr>
          <w:p>
            <w:pPr>
              <w:spacing w:after="0"/>
              <w:rPr>
                <w:sz w:val="21"/>
                <w:szCs w:val="21"/>
                <w:color w:val="auto"/>
              </w:rPr>
            </w:pPr>
          </w:p>
        </w:tc>
        <w:tc>
          <w:tcPr>
            <w:tcW w:w="360" w:type="dxa"/>
            <w:vAlign w:val="bottom"/>
            <w:shd w:val="clear" w:color="auto" w:fill="B6DDE8"/>
          </w:tcPr>
          <w:p>
            <w:pPr>
              <w:spacing w:after="0"/>
              <w:rPr>
                <w:sz w:val="21"/>
                <w:szCs w:val="21"/>
                <w:color w:val="auto"/>
              </w:rPr>
            </w:pPr>
          </w:p>
        </w:tc>
        <w:tc>
          <w:tcPr>
            <w:tcW w:w="320" w:type="dxa"/>
            <w:vAlign w:val="bottom"/>
            <w:shd w:val="clear" w:color="auto" w:fill="B6DDE8"/>
          </w:tcPr>
          <w:p>
            <w:pPr>
              <w:spacing w:after="0"/>
              <w:rPr>
                <w:sz w:val="21"/>
                <w:szCs w:val="21"/>
                <w:color w:val="auto"/>
              </w:rPr>
            </w:pPr>
          </w:p>
        </w:tc>
        <w:tc>
          <w:tcPr>
            <w:tcW w:w="1460" w:type="dxa"/>
            <w:vAlign w:val="bottom"/>
            <w:shd w:val="clear" w:color="auto" w:fill="B6DDE8"/>
          </w:tcPr>
          <w:p>
            <w:pPr>
              <w:spacing w:after="0"/>
              <w:rPr>
                <w:sz w:val="21"/>
                <w:szCs w:val="21"/>
                <w:color w:val="auto"/>
              </w:rPr>
            </w:pPr>
          </w:p>
        </w:tc>
      </w:tr>
      <w:tr>
        <w:trPr>
          <w:trHeight w:val="264"/>
        </w:trPr>
        <w:tc>
          <w:tcPr>
            <w:tcW w:w="490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1280" w:type="dxa"/>
            <w:vAlign w:val="bottom"/>
            <w:tcBorders>
              <w:bottom w:val="single" w:sz="8" w:color="auto"/>
            </w:tcBorders>
          </w:tcPr>
          <w:p>
            <w:pPr>
              <w:jc w:val="right"/>
              <w:ind w:right="10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9,297</w:t>
            </w:r>
          </w:p>
        </w:tc>
        <w:tc>
          <w:tcPr>
            <w:tcW w:w="36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9,210</w:t>
            </w:r>
          </w:p>
        </w:tc>
      </w:tr>
      <w:tr>
        <w:trPr>
          <w:trHeight w:val="20"/>
        </w:trPr>
        <w:tc>
          <w:tcPr>
            <w:tcW w:w="4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2013 and December 31, 2012 consisted of the following: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left="33"/>
              <w:spacing w:after="0"/>
              <w:rPr>
                <w:sz w:val="20"/>
                <w:szCs w:val="20"/>
                <w:color w:val="auto"/>
              </w:rPr>
            </w:pPr>
            <w:r>
              <w:rPr>
                <w:rFonts w:ascii="Arial" w:cs="Arial" w:eastAsia="Arial" w:hAnsi="Arial"/>
                <w:sz w:val="16"/>
                <w:szCs w:val="16"/>
                <w:b w:val="1"/>
                <w:bCs w:val="1"/>
                <w:color w:val="auto"/>
                <w:w w:val="90"/>
              </w:rPr>
              <w:t>Estimated useful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0"/>
        </w:trPr>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33"/>
              <w:spacing w:after="0"/>
              <w:rPr>
                <w:sz w:val="20"/>
                <w:szCs w:val="20"/>
                <w:color w:val="auto"/>
              </w:rPr>
            </w:pPr>
            <w:r>
              <w:rPr>
                <w:rFonts w:ascii="Arial" w:cs="Arial" w:eastAsia="Arial" w:hAnsi="Arial"/>
                <w:sz w:val="16"/>
                <w:szCs w:val="16"/>
                <w:b w:val="1"/>
                <w:bCs w:val="1"/>
                <w:color w:val="auto"/>
                <w:w w:val="89"/>
              </w:rPr>
              <w:t>lives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4"/>
          </w:tcPr>
          <w:p>
            <w:pPr>
              <w:ind w:left="140"/>
              <w:spacing w:after="0"/>
              <w:rPr>
                <w:sz w:val="20"/>
                <w:szCs w:val="20"/>
                <w:color w:val="auto"/>
              </w:rPr>
            </w:pPr>
            <w:r>
              <w:rPr>
                <w:rFonts w:ascii="Arial" w:cs="Arial" w:eastAsia="Arial" w:hAnsi="Arial"/>
                <w:sz w:val="16"/>
                <w:szCs w:val="16"/>
                <w:b w:val="1"/>
                <w:bCs w:val="1"/>
                <w:color w:val="auto"/>
              </w:rPr>
              <w:t>June 30, 2013</w:t>
            </w:r>
          </w:p>
        </w:tc>
        <w:tc>
          <w:tcPr>
            <w:tcW w:w="120" w:type="dxa"/>
            <w:vAlign w:val="bottom"/>
          </w:tcPr>
          <w:p>
            <w:pPr>
              <w:spacing w:after="0"/>
              <w:rPr>
                <w:sz w:val="18"/>
                <w:szCs w:val="18"/>
                <w:color w:val="auto"/>
              </w:rPr>
            </w:pPr>
          </w:p>
        </w:tc>
        <w:tc>
          <w:tcPr>
            <w:tcW w:w="176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auto"/>
                <w:w w:val="95"/>
              </w:rPr>
              <w:t>December 31, 2012</w:t>
            </w:r>
          </w:p>
        </w:tc>
      </w:tr>
      <w:tr>
        <w:trPr>
          <w:trHeight w:val="33"/>
        </w:trPr>
        <w:tc>
          <w:tcPr>
            <w:tcW w:w="40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88"/>
              </w:rPr>
              <w:t>7 years</w:t>
            </w:r>
          </w:p>
        </w:tc>
        <w:tc>
          <w:tcPr>
            <w:tcW w:w="5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left="33"/>
              <w:spacing w:after="0"/>
              <w:rPr>
                <w:sz w:val="20"/>
                <w:szCs w:val="20"/>
                <w:color w:val="auto"/>
              </w:rPr>
            </w:pPr>
            <w:r>
              <w:rPr>
                <w:rFonts w:ascii="Arial" w:cs="Arial" w:eastAsia="Arial" w:hAnsi="Arial"/>
                <w:sz w:val="18"/>
                <w:szCs w:val="18"/>
                <w:color w:val="auto"/>
                <w:w w:val="86"/>
              </w:rPr>
              <w:t>10 years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2,070</w:t>
            </w:r>
          </w:p>
        </w:tc>
      </w:tr>
      <w:tr>
        <w:trPr>
          <w:trHeight w:val="27"/>
        </w:trPr>
        <w:tc>
          <w:tcPr>
            <w:tcW w:w="4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88"/>
              </w:rPr>
              <w:t>3 to 15 years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95"/>
              </w:rPr>
              <w:t>Indefinite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4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88"/>
              </w:rPr>
              <w:t>5 years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37"/>
        </w:trPr>
        <w:tc>
          <w:tcPr>
            <w:tcW w:w="4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5,674</w:t>
            </w:r>
          </w:p>
        </w:tc>
      </w:tr>
      <w:tr>
        <w:trPr>
          <w:trHeight w:val="27"/>
        </w:trPr>
        <w:tc>
          <w:tcPr>
            <w:tcW w:w="4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1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37"/>
        </w:trPr>
        <w:tc>
          <w:tcPr>
            <w:tcW w:w="4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4,258</w:t>
            </w:r>
          </w:p>
        </w:tc>
      </w:tr>
      <w:tr>
        <w:trPr>
          <w:trHeight w:val="27"/>
        </w:trPr>
        <w:tc>
          <w:tcPr>
            <w:tcW w:w="5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5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13"/>
        </w:trPr>
        <w:tc>
          <w:tcPr>
            <w:tcW w:w="9540" w:type="dxa"/>
            <w:vAlign w:val="bottom"/>
            <w:gridSpan w:val="13"/>
          </w:tcPr>
          <w:p>
            <w:pPr>
              <w:spacing w:after="0"/>
              <w:rPr>
                <w:sz w:val="20"/>
                <w:szCs w:val="20"/>
                <w:color w:val="auto"/>
              </w:rPr>
            </w:pPr>
            <w:r>
              <w:rPr>
                <w:rFonts w:ascii="Arial" w:cs="Arial" w:eastAsia="Arial" w:hAnsi="Arial"/>
                <w:sz w:val="18"/>
                <w:szCs w:val="18"/>
                <w:color w:val="auto"/>
                <w:w w:val="97"/>
              </w:rPr>
              <w:t>The amortization of intangibles with finite lives for the three and six months ended June 30, 2013 and 2012 was as follows: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2"/>
        </w:trPr>
        <w:tc>
          <w:tcPr>
            <w:tcW w:w="4020" w:type="dxa"/>
            <w:vAlign w:val="bottom"/>
          </w:tcPr>
          <w:p>
            <w:pPr>
              <w:spacing w:after="0"/>
              <w:rPr>
                <w:sz w:val="24"/>
                <w:szCs w:val="24"/>
                <w:color w:val="auto"/>
              </w:rPr>
            </w:pPr>
          </w:p>
        </w:tc>
        <w:tc>
          <w:tcPr>
            <w:tcW w:w="324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gridSpan w:val="5"/>
          </w:tcPr>
          <w:p>
            <w:pPr>
              <w:jc w:val="center"/>
              <w:ind w:left="92"/>
              <w:spacing w:after="0"/>
              <w:rPr>
                <w:sz w:val="20"/>
                <w:szCs w:val="20"/>
                <w:color w:val="auto"/>
              </w:rPr>
            </w:pPr>
            <w:r>
              <w:rPr>
                <w:rFonts w:ascii="Arial" w:cs="Arial" w:eastAsia="Arial" w:hAnsi="Arial"/>
                <w:sz w:val="16"/>
                <w:szCs w:val="16"/>
                <w:b w:val="1"/>
                <w:bCs w:val="1"/>
                <w:color w:val="auto"/>
                <w:w w:val="90"/>
              </w:rPr>
              <w:t>Six months ended June 30,</w:t>
            </w:r>
          </w:p>
        </w:tc>
        <w:tc>
          <w:tcPr>
            <w:tcW w:w="640" w:type="dxa"/>
            <w:vAlign w:val="bottom"/>
          </w:tcPr>
          <w:p>
            <w:pPr>
              <w:spacing w:after="0"/>
              <w:rPr>
                <w:sz w:val="24"/>
                <w:szCs w:val="24"/>
                <w:color w:val="auto"/>
              </w:rPr>
            </w:pPr>
          </w:p>
        </w:tc>
      </w:tr>
      <w:tr>
        <w:trPr>
          <w:trHeight w:val="270"/>
        </w:trPr>
        <w:tc>
          <w:tcPr>
            <w:tcW w:w="4020" w:type="dxa"/>
            <w:vAlign w:val="bottom"/>
          </w:tcPr>
          <w:p>
            <w:pPr>
              <w:spacing w:after="0"/>
              <w:rPr>
                <w:sz w:val="23"/>
                <w:szCs w:val="23"/>
                <w:color w:val="auto"/>
              </w:rPr>
            </w:pPr>
          </w:p>
        </w:tc>
        <w:tc>
          <w:tcPr>
            <w:tcW w:w="1220" w:type="dxa"/>
            <w:vAlign w:val="bottom"/>
          </w:tcPr>
          <w:p>
            <w:pPr>
              <w:jc w:val="right"/>
              <w:ind w:right="96"/>
              <w:spacing w:after="0"/>
              <w:rPr>
                <w:sz w:val="20"/>
                <w:szCs w:val="20"/>
                <w:color w:val="auto"/>
              </w:rPr>
            </w:pPr>
            <w:r>
              <w:rPr>
                <w:rFonts w:ascii="Arial" w:cs="Arial" w:eastAsia="Arial" w:hAnsi="Arial"/>
                <w:sz w:val="16"/>
                <w:szCs w:val="16"/>
                <w:b w:val="1"/>
                <w:bCs w:val="1"/>
                <w:color w:val="auto"/>
              </w:rPr>
              <w:t>2013</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23"/>
                <w:szCs w:val="23"/>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 with finite lives</w:t>
            </w:r>
          </w:p>
        </w:tc>
        <w:tc>
          <w:tcPr>
            <w:tcW w:w="122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3"/>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459"/>
        </w:trPr>
        <w:tc>
          <w:tcPr>
            <w:tcW w:w="4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3"/>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34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5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2013 (remainder)  $</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5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5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73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40" w:type="dxa"/>
            <w:vAlign w:val="bottom"/>
            <w:gridSpan w:val="3"/>
          </w:tcPr>
          <w:p>
            <w:pPr>
              <w:spacing w:after="0"/>
              <w:rPr>
                <w:sz w:val="20"/>
                <w:szCs w:val="20"/>
                <w:color w:val="auto"/>
              </w:rPr>
            </w:pPr>
            <w:r>
              <w:rPr>
                <w:rFonts w:ascii="Arial" w:cs="Arial" w:eastAsia="Arial" w:hAnsi="Arial"/>
                <w:sz w:val="18"/>
                <w:szCs w:val="18"/>
                <w:color w:val="auto"/>
                <w:w w:val="92"/>
              </w:rPr>
              <w:t>Inventories, net of reserves, as of June 30, 2013 and December 31, 2012 consisted of the following:</w:t>
            </w: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2013</w:t>
            </w:r>
          </w:p>
        </w:tc>
        <w:tc>
          <w:tcPr>
            <w:tcW w:w="204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December 31, 2012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0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4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11,402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12,304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080" w:type="dxa"/>
            <w:vAlign w:val="bottom"/>
            <w:tcBorders>
              <w:bottom w:val="single" w:sz="8" w:color="CCEEFF"/>
            </w:tcBorders>
          </w:tcPr>
          <w:p>
            <w:pPr>
              <w:spacing w:after="0"/>
              <w:rPr>
                <w:sz w:val="5"/>
                <w:szCs w:val="5"/>
                <w:color w:val="auto"/>
              </w:rPr>
            </w:pPr>
          </w:p>
        </w:tc>
        <w:tc>
          <w:tcPr>
            <w:tcW w:w="52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0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4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$1,605 and $1,289 as of June 30, 2013 and December 31, 2012, respectively. Consigned inventory represents inventory at distributors and other customers where revenue recognition criteria have not yet been achieved.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and six months ended June 30, 2013 and 2012, respectively.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5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4"/>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ind w:left="220"/>
              <w:spacing w:after="0"/>
              <w:rPr>
                <w:sz w:val="20"/>
                <w:szCs w:val="20"/>
                <w:color w:val="auto"/>
              </w:rPr>
            </w:pPr>
            <w:r>
              <w:rPr>
                <w:rFonts w:ascii="Arial" w:cs="Arial" w:eastAsia="Arial" w:hAnsi="Arial"/>
                <w:sz w:val="16"/>
                <w:szCs w:val="16"/>
                <w:b w:val="1"/>
                <w:bCs w:val="1"/>
                <w:color w:val="auto"/>
              </w:rPr>
              <w:t>2013</w:t>
            </w:r>
          </w:p>
        </w:tc>
        <w:tc>
          <w:tcPr>
            <w:tcW w:w="10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2012</w:t>
            </w:r>
          </w:p>
        </w:tc>
      </w:tr>
      <w:tr>
        <w:trPr>
          <w:trHeight w:val="33"/>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incurred on valuation of inventory and write-off of</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obsolete 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r>
      <w:tr>
        <w:trPr>
          <w:trHeight w:val="891"/>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recorded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25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4"/>
          </w:tcPr>
          <w:p>
            <w:pPr>
              <w:ind w:left="200"/>
              <w:spacing w:after="0"/>
              <w:rPr>
                <w:sz w:val="20"/>
                <w:szCs w:val="20"/>
                <w:color w:val="auto"/>
              </w:rPr>
            </w:pPr>
            <w:r>
              <w:rPr>
                <w:rFonts w:ascii="Arial" w:cs="Arial" w:eastAsia="Arial" w:hAnsi="Arial"/>
                <w:sz w:val="16"/>
                <w:szCs w:val="16"/>
                <w:b w:val="1"/>
                <w:bCs w:val="1"/>
                <w:color w:val="auto"/>
              </w:rPr>
              <w:t>Six months ended June 30,</w:t>
            </w:r>
          </w:p>
        </w:tc>
      </w:tr>
      <w:tr>
        <w:trPr>
          <w:trHeight w:val="270"/>
        </w:trPr>
        <w:tc>
          <w:tcPr>
            <w:tcW w:w="3700" w:type="dxa"/>
            <w:vAlign w:val="bottom"/>
          </w:tcPr>
          <w:p>
            <w:pPr>
              <w:spacing w:after="0"/>
              <w:rPr>
                <w:sz w:val="23"/>
                <w:szCs w:val="23"/>
                <w:color w:val="auto"/>
              </w:rPr>
            </w:pPr>
          </w:p>
        </w:tc>
        <w:tc>
          <w:tcPr>
            <w:tcW w:w="1000" w:type="dxa"/>
            <w:vAlign w:val="bottom"/>
          </w:tcPr>
          <w:p>
            <w:pPr>
              <w:jc w:val="right"/>
              <w:ind w:right="54"/>
              <w:spacing w:after="0"/>
              <w:rPr>
                <w:sz w:val="20"/>
                <w:szCs w:val="20"/>
                <w:color w:val="auto"/>
              </w:rPr>
            </w:pPr>
            <w:r>
              <w:rPr>
                <w:rFonts w:ascii="Arial" w:cs="Arial" w:eastAsia="Arial" w:hAnsi="Arial"/>
                <w:sz w:val="16"/>
                <w:szCs w:val="16"/>
                <w:b w:val="1"/>
                <w:bCs w:val="1"/>
                <w:color w:val="auto"/>
              </w:rPr>
              <w:t>2013</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113"/>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ind w:left="20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2012</w:t>
            </w:r>
          </w:p>
        </w:tc>
      </w:tr>
      <w:tr>
        <w:trPr>
          <w:trHeight w:val="33"/>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June 30, 2013, the total remaining unrecognized compensation cost related to non-vested stock options, net of forfeitures, was approximately $681, which will be recognized over a weighted average period of 2.90 years.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and six months ended June 30, 2013, we granted 57,500 and 57,500 stock options, respectively. During the three and six months ended June 30, 2012, we granted 65,000 and 95,000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660" w:type="dxa"/>
            <w:vAlign w:val="bottom"/>
            <w:gridSpan w:val="4"/>
          </w:tcPr>
          <w:p>
            <w:pPr>
              <w:ind w:left="600"/>
              <w:spacing w:after="0"/>
              <w:rPr>
                <w:sz w:val="20"/>
                <w:szCs w:val="20"/>
                <w:color w:val="auto"/>
              </w:rPr>
            </w:pPr>
            <w:r>
              <w:rPr>
                <w:rFonts w:ascii="Arial" w:cs="Arial" w:eastAsia="Arial" w:hAnsi="Arial"/>
                <w:sz w:val="16"/>
                <w:szCs w:val="16"/>
                <w:b w:val="1"/>
                <w:bCs w:val="1"/>
                <w:color w:val="auto"/>
              </w:rPr>
              <w:t>Three months ended June 30,</w:t>
            </w:r>
          </w:p>
        </w:tc>
        <w:tc>
          <w:tcPr>
            <w:tcW w:w="3220" w:type="dxa"/>
            <w:vAlign w:val="bottom"/>
            <w:gridSpan w:val="2"/>
          </w:tcPr>
          <w:p>
            <w:pPr>
              <w:ind w:left="700"/>
              <w:spacing w:after="0"/>
              <w:rPr>
                <w:sz w:val="20"/>
                <w:szCs w:val="20"/>
                <w:color w:val="auto"/>
              </w:rPr>
            </w:pPr>
            <w:r>
              <w:rPr>
                <w:rFonts w:ascii="Arial" w:cs="Arial" w:eastAsia="Arial" w:hAnsi="Arial"/>
                <w:sz w:val="16"/>
                <w:szCs w:val="16"/>
                <w:b w:val="1"/>
                <w:bCs w:val="1"/>
                <w:color w:val="auto"/>
              </w:rPr>
              <w:t>Six months ended June 30,</w:t>
            </w:r>
          </w:p>
        </w:tc>
      </w:tr>
      <w:tr>
        <w:trPr>
          <w:trHeight w:val="270"/>
        </w:trPr>
        <w:tc>
          <w:tcPr>
            <w:tcW w:w="424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42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42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average</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Expected option life, average</w:t>
            </w:r>
          </w:p>
        </w:tc>
        <w:tc>
          <w:tcPr>
            <w:tcW w:w="1680" w:type="dxa"/>
            <w:vAlign w:val="bottom"/>
            <w:gridSpan w:val="2"/>
          </w:tcPr>
          <w:p>
            <w:pPr>
              <w:ind w:left="460"/>
              <w:spacing w:after="0"/>
              <w:rPr>
                <w:sz w:val="20"/>
                <w:szCs w:val="20"/>
                <w:color w:val="auto"/>
              </w:rPr>
            </w:pPr>
            <w:r>
              <w:rPr>
                <w:rFonts w:ascii="Arial" w:cs="Arial" w:eastAsia="Arial" w:hAnsi="Arial"/>
                <w:sz w:val="18"/>
                <w:szCs w:val="18"/>
                <w:color w:val="auto"/>
              </w:rPr>
              <w:t>6.8 years</w:t>
            </w:r>
          </w:p>
        </w:tc>
        <w:tc>
          <w:tcPr>
            <w:tcW w:w="1980" w:type="dxa"/>
            <w:vAlign w:val="bottom"/>
            <w:gridSpan w:val="2"/>
          </w:tcPr>
          <w:p>
            <w:pPr>
              <w:ind w:left="460"/>
              <w:spacing w:after="0"/>
              <w:rPr>
                <w:sz w:val="20"/>
                <w:szCs w:val="20"/>
                <w:color w:val="auto"/>
              </w:rPr>
            </w:pPr>
            <w:r>
              <w:rPr>
                <w:rFonts w:ascii="Arial" w:cs="Arial" w:eastAsia="Arial" w:hAnsi="Arial"/>
                <w:sz w:val="18"/>
                <w:szCs w:val="18"/>
                <w:color w:val="auto"/>
              </w:rPr>
              <w:t>7.0 years</w:t>
            </w:r>
          </w:p>
        </w:tc>
        <w:tc>
          <w:tcPr>
            <w:tcW w:w="1620" w:type="dxa"/>
            <w:vAlign w:val="bottom"/>
          </w:tcPr>
          <w:p>
            <w:pPr>
              <w:ind w:left="460"/>
              <w:spacing w:after="0"/>
              <w:rPr>
                <w:sz w:val="20"/>
                <w:szCs w:val="20"/>
                <w:color w:val="auto"/>
              </w:rPr>
            </w:pPr>
            <w:r>
              <w:rPr>
                <w:rFonts w:ascii="Arial" w:cs="Arial" w:eastAsia="Arial" w:hAnsi="Arial"/>
                <w:sz w:val="18"/>
                <w:szCs w:val="18"/>
                <w:color w:val="auto"/>
              </w:rPr>
              <w:t>6.8 years</w:t>
            </w:r>
          </w:p>
        </w:tc>
        <w:tc>
          <w:tcPr>
            <w:tcW w:w="1600" w:type="dxa"/>
            <w:vAlign w:val="bottom"/>
          </w:tcPr>
          <w:p>
            <w:pPr>
              <w:ind w:left="500"/>
              <w:spacing w:after="0"/>
              <w:rPr>
                <w:sz w:val="20"/>
                <w:szCs w:val="20"/>
                <w:color w:val="auto"/>
              </w:rPr>
            </w:pPr>
            <w:r>
              <w:rPr>
                <w:rFonts w:ascii="Arial" w:cs="Arial" w:eastAsia="Arial" w:hAnsi="Arial"/>
                <w:sz w:val="18"/>
                <w:szCs w:val="18"/>
                <w:color w:val="auto"/>
              </w:rPr>
              <w:t>7.1 years</w:t>
            </w:r>
          </w:p>
        </w:tc>
      </w:tr>
      <w:tr>
        <w:trPr>
          <w:trHeight w:val="27"/>
        </w:trPr>
        <w:tc>
          <w:tcPr>
            <w:tcW w:w="4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price volatility, average</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51.7%</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50.1%</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51.6%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Weighted average per share fair value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$4.49</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$2.07</w:t>
            </w:r>
          </w:p>
        </w:tc>
        <w:tc>
          <w:tcPr>
            <w:tcW w:w="42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$4.49</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$2.23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 in shareholders’ equity during the three and six months ended June 30, 2013 and 2012, respectively: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34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278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Six months ended June 30,</w:t>
            </w:r>
          </w:p>
        </w:tc>
      </w:tr>
      <w:tr>
        <w:trPr>
          <w:trHeight w:val="270"/>
        </w:trPr>
        <w:tc>
          <w:tcPr>
            <w:tcW w:w="4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2012</w:t>
            </w:r>
          </w:p>
        </w:tc>
      </w:tr>
      <w:tr>
        <w:trPr>
          <w:trHeight w:val="33"/>
        </w:trPr>
        <w:tc>
          <w:tcPr>
            <w:tcW w:w="4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period</w:t>
            </w:r>
          </w:p>
        </w:tc>
        <w:tc>
          <w:tcPr>
            <w:tcW w:w="94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66,960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40,193</w:t>
            </w: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39,664</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9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1,128</w:t>
            </w:r>
          </w:p>
        </w:tc>
      </w:tr>
      <w:tr>
        <w:trPr>
          <w:trHeight w:val="27"/>
        </w:trPr>
        <w:tc>
          <w:tcPr>
            <w:tcW w:w="4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111</w:t>
            </w:r>
          </w:p>
        </w:tc>
      </w:tr>
      <w:tr>
        <w:trPr>
          <w:trHeight w:val="27"/>
        </w:trPr>
        <w:tc>
          <w:tcPr>
            <w:tcW w:w="4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Unrealized gain or loss in investments</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the period</w:t>
            </w:r>
          </w:p>
        </w:tc>
        <w:tc>
          <w:tcPr>
            <w:tcW w:w="94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67,655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40,892</w:t>
            </w:r>
          </w:p>
        </w:tc>
        <w:tc>
          <w:tcPr>
            <w:tcW w:w="3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67,655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40,892</w:t>
            </w:r>
          </w:p>
        </w:tc>
      </w:tr>
      <w:tr>
        <w:trPr>
          <w:trHeight w:val="20"/>
        </w:trPr>
        <w:tc>
          <w:tcPr>
            <w:tcW w:w="4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4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39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90"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 The Company's marketable securities primarily utilize broker quotes in a non-active market for valuation of these securities.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Level 2 securities, the Company uses a third party pricing service which provides documentation on an ongoing basis that includes, among other things, pricing information with respect to reference data, methodology, inputs summarized by asset class, pricing application and corroborative information. The Company reviews, tests and validates this information. The following table sets forth the fair value of the financial instruments re-measured by the Company:</w:t>
      </w:r>
    </w:p>
    <w:p>
      <w:pPr>
        <w:spacing w:after="0" w:line="282"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2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24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2013</w:t>
            </w:r>
          </w:p>
        </w:tc>
        <w:tc>
          <w:tcPr>
            <w:tcW w:w="1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Corporate bonds and notes</w:t>
            </w:r>
          </w:p>
        </w:tc>
        <w:tc>
          <w:tcPr>
            <w:tcW w:w="1160" w:type="dxa"/>
            <w:vAlign w:val="bottom"/>
          </w:tcPr>
          <w:p>
            <w:pPr>
              <w:jc w:val="right"/>
              <w:ind w:right="97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5,818</w:t>
            </w:r>
          </w:p>
        </w:tc>
        <w:tc>
          <w:tcPr>
            <w:tcW w:w="300" w:type="dxa"/>
            <w:vAlign w:val="bottom"/>
          </w:tcPr>
          <w:p>
            <w:pPr>
              <w:spacing w:after="0"/>
              <w:rPr>
                <w:sz w:val="21"/>
                <w:szCs w:val="21"/>
                <w:color w:val="auto"/>
              </w:rPr>
            </w:pP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3,392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70"/>
        </w:trPr>
        <w:tc>
          <w:tcPr>
            <w:tcW w:w="324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9,210</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tbl>
      <w:tblPr>
        <w:tblLayout w:type="fixed"/>
        <w:tblInd w:w="176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4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40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2012</w:t>
            </w:r>
          </w:p>
        </w:tc>
        <w:tc>
          <w:tcPr>
            <w:tcW w:w="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Corporate bonds and notes</w:t>
            </w:r>
          </w:p>
        </w:tc>
        <w:tc>
          <w:tcPr>
            <w:tcW w:w="880" w:type="dxa"/>
            <w:vAlign w:val="bottom"/>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forecasted effective tax rate at June 30, 2013 was 33.3%, a (4.1)% decrease from the 37.4% effective tax rate recorded at December 31, 2012. The forecasted effective tax rate of 33.3% excludes jurisdictions for which no benefit from forecasted current year losses is anticipated. Including losses from such jurisdictions results in a forecasted effective tax rate of 37.2%. Our forecasted effective tax rate could fluctuate significantly on a quarterly basis and could change, to the extent that earnings in countries with tax rates that differ from that of the U.S. from amounts anticipated at June 30, 2013.</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After discrete benefit of $272, the effective tax rate for the six months ended June 30, 2013 was 31.6%. The discrete benefit is primarily attributable to the recognition of the U.S. research and development credit for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evaluated its consolidated financial statements as of and for the six months ended June 30, 2013 for subsequent events through the date the financial statements were issued. Other than the Utah Supreme Court's denial of Dorsey's petitions for rehearing as described in detail in Part II, Item I, Legal Proceedings, within this Form 10-Q, the Company is not aware of any subsequent event which would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122"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December 31, 2012.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both large and small businesses. We occupy the number one global market share position, with a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February 16, 2012, we completed the acquisition of the video conferencing business of Israel-based VCON Video Conferencing, Ltd. (“VCON”). VCON was a pioneer in software-based video conferencing solutions with product offerings that included group video conferencing endpoints, desktop video conferencing endpoints, video conferencing infrastructure solutions and software development kits. This acquisition and the combination of our streaming and digital signage technologies has provided us with complementary technology opportunities allowing us to enter new growth markets. Pursuant to the asset purchase agreement, ClearOne paid $4.6 million in cash to VCON in consideration for all VCON's assets, including intellectual property, fixed assets and inventory, and assumed no debt.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the video conferencing, streaming and digital signage technologies we recently acquired to enter new growth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Capitalize on the growing adoption of unified communications and introduce new products through emerging information technology channels;</w:t>
      </w:r>
    </w:p>
    <w:p>
      <w:pPr>
        <w:spacing w:after="0" w:line="20" w:lineRule="exact"/>
        <w:rPr>
          <w:rFonts w:ascii="Arial" w:cs="Arial" w:eastAsia="Arial" w:hAnsi="Arial"/>
          <w:sz w:val="17"/>
          <w:szCs w:val="17"/>
          <w:color w:val="auto"/>
        </w:rPr>
      </w:pPr>
    </w:p>
    <w:p>
      <w:pPr>
        <w:ind w:left="660" w:right="5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will continue to improve our existing high-quality products and develop new products for the burgeoning conferencing and collaboration and multimedia streaming markets and focus on strategic initiatives to achieve our business goals.</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revenues were $11.7 million and $11.7 million during the three months ended June 30, 2013 and 2012, respectively. The increased revenues from our new products introduced in the last 18 months was offset by decline in revenue from other products. Our gross profit reduced by $229,000 during the three months ended June 30, 2013 compared to the three months ended June 30, 2012. Net income increased by $395,000 during the three months ended June 30, 2013 compared to the three months ended June 30, 2012, primarily due to lower operating costs and lower tax rates.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revenues were $23.0 million and $21.8 million during the six months ended June 30, 2013 and 2012, respectively. The increase in revenue was primarily from our new products introduced in the last 18 months and from our video products. Our gross profit increased by $662,000 during the six months ended June 30, 2013 compared to the six months ended June 30, 2012. Net income increased by $647,000 during the six months ended June 30, 2013 compared to the six months ended June 30, 2012 primarily due to higher gross profits from higher revenue.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overall growth in revenue from our products, especially video products and new products. However, the prospects of growth and its magnitude in both revenues and profits in the near future will depend on the strength of the global economy and the penetration level of our new products, including products added through acquisitions. We continue to closely monitor the economic situation caused by the US government's budget cuts and global economic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six months ended June 30, 2013, and 2012</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and six months ended June 30, 2013 and 2012, respectively, together with the percentage of total revenue which each such item represents: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5" w:right="29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Three months ended June 30,</w:t>
            </w: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101"/>
              <w:spacing w:after="0"/>
              <w:rPr>
                <w:sz w:val="20"/>
                <w:szCs w:val="20"/>
                <w:color w:val="auto"/>
              </w:rPr>
            </w:pPr>
            <w:r>
              <w:rPr>
                <w:rFonts w:ascii="Arial" w:cs="Arial" w:eastAsia="Arial" w:hAnsi="Arial"/>
                <w:sz w:val="14"/>
                <w:szCs w:val="14"/>
                <w:b w:val="1"/>
                <w:bCs w:val="1"/>
                <w:color w:val="auto"/>
                <w:w w:val="90"/>
              </w:rPr>
              <w:t>Six months ended June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1020" w:type="dxa"/>
            <w:vAlign w:val="bottom"/>
          </w:tcPr>
          <w:p>
            <w:pPr>
              <w:jc w:val="right"/>
              <w:ind w:right="301"/>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7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10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5"/>
              </w:rPr>
              <w:t>% of Revenue</w:t>
            </w:r>
          </w:p>
        </w:tc>
        <w:tc>
          <w:tcPr>
            <w:tcW w:w="260" w:type="dxa"/>
            <w:vAlign w:val="bottom"/>
          </w:tcPr>
          <w:p>
            <w:pPr>
              <w:spacing w:after="0"/>
              <w:rPr>
                <w:sz w:val="13"/>
                <w:szCs w:val="13"/>
                <w:color w:val="auto"/>
              </w:rPr>
            </w:pPr>
          </w:p>
        </w:tc>
        <w:tc>
          <w:tcPr>
            <w:tcW w:w="7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980" w:type="dxa"/>
            <w:vAlign w:val="bottom"/>
          </w:tcPr>
          <w:p>
            <w:pPr>
              <w:jc w:val="right"/>
              <w:ind w:right="281"/>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8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10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192"/>
        </w:trPr>
        <w:tc>
          <w:tcPr>
            <w:tcW w:w="2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Revenue</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Revenue</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11,703</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11,655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22,996</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21,809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4,839</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4,562</w:t>
            </w:r>
          </w:p>
        </w:tc>
        <w:tc>
          <w:tcPr>
            <w:tcW w:w="1000" w:type="dxa"/>
            <w:vAlign w:val="bottom"/>
          </w:tcPr>
          <w:p>
            <w:pPr>
              <w:jc w:val="right"/>
              <w:spacing w:after="0"/>
              <w:rPr>
                <w:sz w:val="20"/>
                <w:szCs w:val="20"/>
                <w:color w:val="auto"/>
              </w:rPr>
            </w:pPr>
            <w:r>
              <w:rPr>
                <w:rFonts w:ascii="Arial" w:cs="Arial" w:eastAsia="Arial" w:hAnsi="Arial"/>
                <w:sz w:val="16"/>
                <w:szCs w:val="16"/>
                <w:color w:val="auto"/>
              </w:rPr>
              <w:t>39 %</w:t>
            </w:r>
          </w:p>
        </w:tc>
        <w:tc>
          <w:tcPr>
            <w:tcW w:w="260" w:type="dxa"/>
            <w:vAlign w:val="bottom"/>
          </w:tcPr>
          <w:p>
            <w:pPr>
              <w:spacing w:after="0"/>
              <w:rPr>
                <w:sz w:val="20"/>
                <w:szCs w:val="20"/>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9,133</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8,608</w:t>
            </w:r>
          </w:p>
        </w:tc>
        <w:tc>
          <w:tcPr>
            <w:tcW w:w="108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6,864</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7,093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13,863</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13,201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2,088</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2,254</w:t>
            </w:r>
          </w:p>
        </w:tc>
        <w:tc>
          <w:tcPr>
            <w:tcW w:w="1000" w:type="dxa"/>
            <w:vAlign w:val="bottom"/>
          </w:tcPr>
          <w:p>
            <w:pPr>
              <w:jc w:val="right"/>
              <w:spacing w:after="0"/>
              <w:rPr>
                <w:sz w:val="20"/>
                <w:szCs w:val="20"/>
                <w:color w:val="auto"/>
              </w:rPr>
            </w:pPr>
            <w:r>
              <w:rPr>
                <w:rFonts w:ascii="Arial" w:cs="Arial" w:eastAsia="Arial" w:hAnsi="Arial"/>
                <w:sz w:val="16"/>
                <w:szCs w:val="16"/>
                <w:color w:val="auto"/>
              </w:rPr>
              <w:t>19 %</w:t>
            </w:r>
          </w:p>
        </w:tc>
        <w:tc>
          <w:tcPr>
            <w:tcW w:w="260" w:type="dxa"/>
            <w:vAlign w:val="bottom"/>
          </w:tcPr>
          <w:p>
            <w:pPr>
              <w:spacing w:after="0"/>
              <w:rPr>
                <w:sz w:val="20"/>
                <w:szCs w:val="20"/>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4,356</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4,388</w:t>
            </w:r>
          </w:p>
        </w:tc>
        <w:tc>
          <w:tcPr>
            <w:tcW w:w="108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product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1,843</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2,029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3,709</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4,037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1,437</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20"/>
                <w:szCs w:val="20"/>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1,611</w:t>
            </w:r>
          </w:p>
        </w:tc>
        <w:tc>
          <w:tcPr>
            <w:tcW w:w="1000" w:type="dxa"/>
            <w:vAlign w:val="bottom"/>
          </w:tcPr>
          <w:p>
            <w:pPr>
              <w:jc w:val="right"/>
              <w:spacing w:after="0"/>
              <w:rPr>
                <w:sz w:val="20"/>
                <w:szCs w:val="20"/>
                <w:color w:val="auto"/>
              </w:rPr>
            </w:pPr>
            <w:r>
              <w:rPr>
                <w:rFonts w:ascii="Arial" w:cs="Arial" w:eastAsia="Arial" w:hAnsi="Arial"/>
                <w:sz w:val="16"/>
                <w:szCs w:val="16"/>
                <w:color w:val="auto"/>
              </w:rPr>
              <w:t>14 %</w:t>
            </w:r>
          </w:p>
        </w:tc>
        <w:tc>
          <w:tcPr>
            <w:tcW w:w="260" w:type="dxa"/>
            <w:vAlign w:val="bottom"/>
          </w:tcPr>
          <w:p>
            <w:pPr>
              <w:spacing w:after="0"/>
              <w:rPr>
                <w:sz w:val="20"/>
                <w:szCs w:val="20"/>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3,234</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3,091</w:t>
            </w:r>
          </w:p>
        </w:tc>
        <w:tc>
          <w:tcPr>
            <w:tcW w:w="108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litigation</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266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1,496</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1,199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2,564</w:t>
            </w: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1,935</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31"/>
        </w:trPr>
        <w:tc>
          <w:tcPr>
            <w:tcW w:w="2660" w:type="dxa"/>
            <w:vAlign w:val="bottom"/>
          </w:tcPr>
          <w:p>
            <w:pPr>
              <w:ind w:left="20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1,543</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1,194</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2,597</w:t>
            </w: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1,946</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498</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544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822</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818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57"/>
        </w:trPr>
        <w:tc>
          <w:tcPr>
            <w:tcW w:w="26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1,045</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650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1,775</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w:t>
            </w: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1,128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for the three months ended June 30, 2013 ("2013 Q2") was essentially flat compared to revenue for the three months ended June 30, 2012 ("2012 Q2"). The increase in revenue from new products introduced in the last 18 months was offset by a decline in revenue from other products. An overall increase in demand for our products in North America was offset by a decline in demand in Asia and Europe.</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 for the six months ended June 30, 2013 ("2013 H1") increased by approximately 5% over the six months ended June 30, 2012 ("2012 H1"). The revenue primarily increased due to the increase in revenue from video products and new products introduced in the last 18 months. The revenue grew across all regions in the world.</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net change in deferred revenue during the three months ended June 30, 2013 and 2012 was a net increase (decrease) of deferred revenue of $108,000 and $(371,000), respectively. The net change in deferred revenue during the six months ended June 30, 2013 and 2012 was a net increase of deferred revenue of $707,000 and $47,000, respectively. See “Critical Accounting Policies and Estimates” under “Revenue and Associated Allowance for Revenue Adjustments and Doubtful Accounts” below for a detailed discussion of deferred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Costs of Goods Sold and Gross Profit</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gross profit margin (GPM), which is gross profit as a percentage of revenue, was 59% and 61% for 2013 Q2 and 2012 Q2, respectively. The decline in gross margin was due to increase in inventory obsolescence costs and changes in our product mix. Our GPM was 60% and 61% for 2013 H1 and 2012 H1, respectively. The slight decrease in gross margin was due to changes in our product mix.</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Operating Expenses</w:t>
      </w:r>
    </w:p>
    <w:p>
      <w:pPr>
        <w:spacing w:after="0" w:line="18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2013 Q2 operating expenses were approximately $5.4 million, compared to 2012 Q2 operating expenses of approximately $5.9 million. 2013 H1 operating expenses were approximately $11.3 million, compared to 2012 H1 operating expenses, excluding litigation proceeds of $250,000, of approximately $11.5 million.</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S&amp;M expenses during 2013 Q2 decreased $166,000, or 7%, when compared to 2012 Q2 due to reduced commissions to sales persons and independent representatives and reduction in marketing expenses. S&amp;M expenses during 2013 H1 decreased $32,000, or 1%, when compared to 2012 H1 primarily due to reduced commissions to sales persons and independent representatives and reduction in marketing expenses.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R&amp;D expenses during 2013 Q2 decreased by $186,000, or 9%, compared to R&amp;D expenses during 2012 Q2. The decrease was mainly due to reduced employee costs and consulting fees, partially offset by an increase in R&amp;D project costs. R&amp;D expenses during 2013 H1 decreased by $328,000, or 8%, compared to R&amp;D expenses during 2012 H1. The decrease was mainly due to reduced employee costs and consulting fees, partially offset by an increase in R&amp;D project costs.</w:t>
      </w:r>
    </w:p>
    <w:p>
      <w:pPr>
        <w:spacing w:after="0" w:line="187"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i w:val="1"/>
          <w:iCs w:val="1"/>
          <w:color w:val="auto"/>
        </w:rPr>
        <w:t xml:space="preserve">General and Administrative (“G&amp;A”) Expenses. </w:t>
      </w:r>
      <w:r>
        <w:rPr>
          <w:rFonts w:ascii="Arial" w:cs="Arial" w:eastAsia="Arial" w:hAnsi="Arial"/>
          <w:sz w:val="17"/>
          <w:szCs w:val="17"/>
          <w:color w:val="auto"/>
        </w:rPr>
        <w:t>G&amp;A expenses include employee-related costs, professional service fees, allocations of overhead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costs, and corporate administrative costs, including finance, information technology and human resources costs.</w:t>
      </w:r>
    </w:p>
    <w:p>
      <w:pPr>
        <w:spacing w:after="0" w:line="14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G&amp;A expenses during 2013 Q2 decreased by $174,000, or 11%, compared to G&amp;A expenses during 2012 Q2. The decrease was mainly due to reduced legal fees partially offset by increased consulting and accounting fees. G&amp;A expenses during 2013 H1 increased by $143,000, or 5%, compared to G&amp;A expenses during 2012 H1.</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first part of 2013 H1, we continued to incur high legal expenses due to various legal proceedings explained in detail in our Form 10-K for the year ended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Proceeds from Litigation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litigation proceeds received in 2012 H1 of $250,000 represent the receipt of a settlement of amounts due from a defendant in our litigation related to the “Theft of Intellectual Property and Related Cases” described in detail in Note 8 – Commitments and Contingencies of the Notes to the Consolidated Financial Statements in our Form 10-K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Provision for income taxes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2013 Q2, we accrued income taxes at the expected annualized rate of 33.3% as compared to an annualized rate of 37.4% in 2012 Q2. The decrease in the expected annualized rate in 2013 Q2 was primarily due to earnings anticipated in countries that have lower statutory tax rates. In addition, a discrete tax benefit of $272 related to the U.S. research and development credit was recognized in the first half of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2013, our cash, cash equivalents, and marketable securities were approximately $41.6 million, a decrease of $13.9 million compared to cash and cash equivalents of approximately $55.5 million as of December 31, 2012.</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operating activities was $12.8 million in 2013 H1, an increase in outflow of approximately $11.4 million compared to $1.4 million cash used in operating activities in 2012 H1. The increase in outflow was primarily due to payment of income taxes associated with the arbitration settlement proceeds received in 2012, reduction in collections from receivables and reduction in accrued payables partially offset by reduction in payments for inventories and accounts payable.</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Net cash used in investing activities in 2013 H1 was approximately $9.8 million, which consisted of purchases of marketable securities of $9.3 million and purchases of equipment of $457,000. Net cash used in investing activities in 2012 H1 consisted of the acquisition of the business of VCON for $4.6 million and $202,000 towards purchases of equipment.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Net cash used in financing activities in 2013 H1 was approximately $583,000, which consisted of the acquisition of outstanding stock totaling $991,000, offset by $408,000 in proceeds received through exercise of stock options. In 2012 H1, net cash used in financing activities was $11,000 which consisted of the acquisition of outstanding stock totaling $92,000, offset by $81,000 in proceeds received through the exercise of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our working capital was $49.1 million as compared to $56.5 million as of December 31, 2012.</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current cash balance,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finance the repurchase of our outstanding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significant accounting policies are described in Note 2 of the Notes to the Consolidated Financial Statements included in our Annual Report on Form 10-K for the year ended December 31, 2012 and Note 1 to the Condensed Consolidated Financial Statements set forth in Part I, Item I herein.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 and Associated Allowances for Revenue Adjustments and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a right of return on product sales to major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 as of June 30, 2013 and December 31, 2012: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As of</w:t>
            </w:r>
          </w:p>
        </w:tc>
        <w:tc>
          <w:tcPr>
            <w:tcW w:w="260" w:type="dxa"/>
            <w:vAlign w:val="bottom"/>
          </w:tcPr>
          <w:p>
            <w:pPr>
              <w:spacing w:after="0"/>
              <w:rPr>
                <w:sz w:val="17"/>
                <w:szCs w:val="17"/>
                <w:color w:val="auto"/>
              </w:rPr>
            </w:pPr>
          </w:p>
        </w:tc>
        <w:tc>
          <w:tcPr>
            <w:tcW w:w="1800" w:type="dxa"/>
            <w:vAlign w:val="bottom"/>
          </w:tcPr>
          <w:p>
            <w:pPr>
              <w:jc w:val="right"/>
              <w:ind w:right="754"/>
              <w:spacing w:after="0"/>
              <w:rPr>
                <w:sz w:val="20"/>
                <w:szCs w:val="20"/>
                <w:color w:val="auto"/>
              </w:rPr>
            </w:pPr>
            <w:r>
              <w:rPr>
                <w:rFonts w:ascii="Arial" w:cs="Arial" w:eastAsia="Arial" w:hAnsi="Arial"/>
                <w:sz w:val="16"/>
                <w:szCs w:val="16"/>
                <w:b w:val="1"/>
                <w:bCs w:val="1"/>
                <w:color w:val="auto"/>
              </w:rPr>
              <w:t>As of</w:t>
            </w:r>
          </w:p>
        </w:tc>
      </w:tr>
      <w:tr>
        <w:trPr>
          <w:trHeight w:val="210"/>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 2013</w:t>
            </w:r>
          </w:p>
        </w:tc>
        <w:tc>
          <w:tcPr>
            <w:tcW w:w="260" w:type="dxa"/>
            <w:vAlign w:val="bottom"/>
          </w:tcPr>
          <w:p>
            <w:pPr>
              <w:spacing w:after="0"/>
              <w:rPr>
                <w:sz w:val="18"/>
                <w:szCs w:val="18"/>
                <w:color w:val="auto"/>
              </w:rPr>
            </w:pPr>
          </w:p>
        </w:tc>
        <w:tc>
          <w:tcPr>
            <w:tcW w:w="1800" w:type="dxa"/>
            <w:vAlign w:val="bottom"/>
          </w:tcPr>
          <w:p>
            <w:pPr>
              <w:jc w:val="right"/>
              <w:ind w:right="294"/>
              <w:spacing w:after="0"/>
              <w:rPr>
                <w:sz w:val="20"/>
                <w:szCs w:val="20"/>
                <w:color w:val="auto"/>
              </w:rPr>
            </w:pPr>
            <w:r>
              <w:rPr>
                <w:rFonts w:ascii="Arial" w:cs="Arial" w:eastAsia="Arial" w:hAnsi="Arial"/>
                <w:sz w:val="16"/>
                <w:szCs w:val="16"/>
                <w:b w:val="1"/>
                <w:bCs w:val="1"/>
                <w:color w:val="auto"/>
                <w:w w:val="97"/>
              </w:rPr>
              <w:t>December 31, 2012</w:t>
            </w:r>
          </w:p>
        </w:tc>
      </w:tr>
      <w:tr>
        <w:trPr>
          <w:trHeight w:val="33"/>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1,289</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2,304</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Goodwill and Intangible Assets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allocated the purchase price for the acquisitions of NetStreams in 2009, MagicBox in 2011 and VCON in 2012 on the basis of well-established valuation techniques performed by qualified experts. 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In connection with the acquisition of NetStreams, $726,000 and $400,000 were recorded as goodwill and intangible assets with indefinite useful life, respectively. With respect to the MagicBox acquisition, $427,000 and $159,000 were recorded as goodwill and intangible assets with indefinite useful life, respectively. Goodwill of $2.3 million was recorded in connection with the VCON acquisition. There were no impairments recorded in 2013 or 2012 as no impairment indicators existed. However, due to uncertainty in the industrial, technological, and competitive environments in which we operate, we might be required to exit or dispose of the assets acquired through the NetStreams, MagicBox or VCON acquisitions, which could result in an impairment of goodwill and intangible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Long-Lived Assets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Accounting for Income Taxes</w:t>
      </w:r>
    </w:p>
    <w:p>
      <w:pPr>
        <w:spacing w:after="0" w:line="117"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2012 and determined that, based upon available evidence, it is more likely than not that certain of our deferred tax assets related to capital loss carryovers and state research and development credits will not be realized and, accordingly, we have recorded a valuation allowance against these deferred tax assets in the amount of $270,000.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Lower-of-Cost or Market Adjustments and Reserves for Excess and Obsolete Inventory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Share-Based Compensation</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of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June 30, 2013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June 30, 2013 to ensure that information required to be disclosed by us in reports we file or submit under the Exchange Act is recorded, processed, summarized and reported as specified in the SEC’s rules and forms.</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June 30, 2013 that materially affected, or that we believe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is an update to the status of the legal proceedings and commitments and contingencies reported in our Form 10-K for the year ended December 31, 2012 under Part I, Item 3. Legal Proceedings and Note 8 - Commitments and Contingencies of the Notes to Consolidated Financial Statements (Part II, Item 8), and our Form 10-Q for the period ended March 31, 2013 under Part II, Item I,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Former Officer Indemnification: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Strohm:</w:t>
      </w:r>
      <w:r>
        <w:rPr>
          <w:rFonts w:ascii="Arial" w:cs="Arial" w:eastAsia="Arial" w:hAnsi="Arial"/>
          <w:sz w:val="18"/>
          <w:szCs w:val="18"/>
          <w:color w:val="auto"/>
        </w:rPr>
        <w:t xml:space="preserve"> On April 9, 2013, the Utah Supreme Court issued its Opinion declaring that Strohm's attorney, Dorsey, is not entitled to recover any attorneys' fees or expenses in connection with its civil action against ClearOne but that Dorsey is entitled to recover post-verdict criminal fees incurred in connection with Strohm's sentencing and appeal. On April 23, 2013, Dorsey filed a petition for rehearing with the Utah Supreme Court seeking to recover its attorneys' fees and expenses incurred in obtaining court-ordered indemnification for Strohm. Dorsey has further requested that the Court reverse its public policy ruling that Dorsey is not entitled to attorneys' fees and expenses in connection with its civil action against ClearOne. In early August 2013, the Utah Supreme Court denied Dorsey's petitions for rehearing.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table below summarizes information about our purchases of our equity securities registered pursuant to Section 12 of the Exchange Act of 1934, as amended, during the quarterly period ended June 30,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Plans or Program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Shares Purchased (1)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Share (2)</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April 1, 2013 through April 30, 2013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9,042,065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May 1, 2013 through May 31, 2013</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45,150</w:t>
            </w:r>
          </w:p>
        </w:tc>
        <w:tc>
          <w:tcPr>
            <w:tcW w:w="12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416,943.15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8,625,122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June 1, 2013 through June 30, 2013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8,625,122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gridSpan w:val="2"/>
          </w:tcPr>
          <w:p>
            <w:pPr>
              <w:ind w:left="218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jc w:val="right"/>
              <w:ind w:right="36"/>
              <w:spacing w:after="0"/>
              <w:rPr>
                <w:sz w:val="20"/>
                <w:szCs w:val="20"/>
                <w:color w:val="auto"/>
              </w:rPr>
            </w:pPr>
            <w:r>
              <w:rPr>
                <w:rFonts w:ascii="Arial" w:cs="Arial" w:eastAsia="Arial" w:hAnsi="Arial"/>
                <w:sz w:val="18"/>
                <w:szCs w:val="18"/>
                <w:b w:val="1"/>
                <w:bCs w:val="1"/>
                <w:color w:val="auto"/>
              </w:rPr>
              <w:t>45,150</w:t>
            </w:r>
          </w:p>
        </w:tc>
        <w:tc>
          <w:tcPr>
            <w:tcW w:w="12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9.23</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b w:val="1"/>
                <w:bCs w:val="1"/>
                <w:color w:val="auto"/>
              </w:rPr>
              <w:t>416,943.15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80" w:type="dxa"/>
            <w:vAlign w:val="bottom"/>
          </w:tcPr>
          <w:p>
            <w:pPr>
              <w:spacing w:after="0" w:line="198" w:lineRule="exact"/>
              <w:rPr>
                <w:sz w:val="20"/>
                <w:szCs w:val="20"/>
                <w:color w:val="auto"/>
              </w:rPr>
            </w:pPr>
            <w:r>
              <w:rPr>
                <w:rFonts w:ascii="Arial" w:cs="Arial" w:eastAsia="Arial" w:hAnsi="Arial"/>
                <w:sz w:val="18"/>
                <w:szCs w:val="18"/>
                <w:color w:val="auto"/>
              </w:rPr>
              <w:t>___________________</w:t>
            </w:r>
          </w:p>
        </w:tc>
        <w:tc>
          <w:tcPr>
            <w:tcW w:w="12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2012, our Board of Directors authorized a stock repurchase program. Under the program, we were originally authorized to repurchase up to $2 million of our outstanding common stock from time to time over the following 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INC.</w:t>
      </w:r>
    </w:p>
    <w:p>
      <w:pPr>
        <w:spacing w:after="0" w:line="263" w:lineRule="exact"/>
        <w:rPr>
          <w:sz w:val="20"/>
          <w:szCs w:val="20"/>
          <w:color w:val="auto"/>
        </w:rPr>
      </w:pPr>
    </w:p>
    <w:p>
      <w:pPr>
        <w:ind w:left="340"/>
        <w:spacing w:after="0" w:line="302" w:lineRule="auto"/>
        <w:rPr>
          <w:sz w:val="20"/>
          <w:szCs w:val="20"/>
          <w:color w:val="auto"/>
        </w:rPr>
      </w:pPr>
      <w:r>
        <w:rPr>
          <w:rFonts w:ascii="Arial" w:cs="Arial" w:eastAsia="Arial" w:hAnsi="Arial"/>
          <w:sz w:val="18"/>
          <w:szCs w:val="18"/>
          <w:color w:val="auto"/>
        </w:rPr>
        <w:t>months. Any stock repurchases may be made through open market and privately negotiated transactions, at times and in such amounts as management deems appropriate, including pursuant to one or more Rule 10b5-1 trading plans. Rule 10b5-1 permits us to establish, while not in possession of material nonpublic information, prearranged plans to buy stock at a specific price in the future, regardless of any subsequent possession of material nonpublic information. The timing and actual number of shares repurchased will depend on a variety of factors, including market conditions and other factors. The stock repurchase program may be suspended or discontinued at any time without prior notice. On July 30, 2012, the Board of Directors increased the repurchase amount to $3 million from the original $2 million. On February 20, 2013, the Board of Directors increased the repurchase amount to $10 million from $3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(2)  The price paid per share of common stock includes the related transaction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17"/>
                <w:szCs w:val="17"/>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August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August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600"/>
          </w:cols>
          <w:pgMar w:left="240" w:top="121" w:right="10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August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100330</wp:posOffset>
            </wp:positionV>
            <wp:extent cx="2710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380" w:val="left"/>
          <w:tab w:leader="none" w:pos="5000" w:val="left"/>
        </w:tabs>
        <w:rPr>
          <w:sz w:val="20"/>
          <w:szCs w:val="20"/>
          <w:color w:val="auto"/>
        </w:rPr>
      </w:pPr>
      <w:r>
        <w:rPr>
          <w:rFonts w:ascii="Arial" w:cs="Arial" w:eastAsia="Arial" w:hAnsi="Arial"/>
          <w:sz w:val="18"/>
          <w:szCs w:val="18"/>
          <w:color w:val="auto"/>
        </w:rPr>
        <w:t>August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100330</wp:posOffset>
            </wp:positionV>
            <wp:extent cx="3413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6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June 30, 2013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August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100330</wp:posOffset>
            </wp:positionV>
            <wp:extent cx="2710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June 30, 2013,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20" w:val="left"/>
          <w:tab w:leader="none" w:pos="5020" w:val="left"/>
        </w:tabs>
        <w:rPr>
          <w:sz w:val="20"/>
          <w:szCs w:val="20"/>
          <w:color w:val="auto"/>
        </w:rPr>
      </w:pPr>
      <w:r>
        <w:rPr>
          <w:rFonts w:ascii="Arial" w:cs="Arial" w:eastAsia="Arial" w:hAnsi="Arial"/>
          <w:sz w:val="18"/>
          <w:szCs w:val="18"/>
          <w:color w:val="auto"/>
        </w:rPr>
        <w:t>August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100330</wp:posOffset>
            </wp:positionV>
            <wp:extent cx="31642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6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2019-12-06T03:17:00Z</dcterms:created>
  <dcterms:modified xsi:type="dcterms:W3CDTF">2019-12-06T03:17:00Z</dcterms:modified>
</cp:coreProperties>
</file>